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C147A">
      <w:pPr>
        <w:divId w:val="836506871"/>
        <w:rPr>
          <w:rFonts w:eastAsia="Times New Roman"/>
          <w:vanish/>
        </w:rPr>
      </w:pPr>
      <w:r>
        <w:rPr>
          <w:rFonts w:eastAsia="Times New Roman"/>
          <w:vanish/>
        </w:rPr>
        <w:t>Q32020FALSE0001333986--12-310.010.012,000,000,0002,000,000,000552,896,328552,896,328444,708,017463,711,392108,188,31189,184,9361125,00025,00070,30762,9371370—us-gaap:AccountingStandardsUpdate201613Member0.170.150.490.4340—51.368.174.770.055.333366.56.5</w:t>
      </w:r>
      <w:r>
        <w:rPr>
          <w:rFonts w:eastAsia="Times New Roman"/>
          <w:vanish/>
        </w:rPr>
        <w:t>64.070.067.85.70.72.533366.56.5687378767335310101072747270713.363.36.566.50.0220.0610.02783.531.814.45.125.4100.92510.73.527.99.5810.0110.0060.01250.00720.6161.56—20.96—616.371634250.010.182.720.070.540.4242.20.01411.125.73.060.42.00.96—100.05.920.010.191.</w:t>
      </w:r>
      <w:r>
        <w:rPr>
          <w:rFonts w:eastAsia="Times New Roman"/>
          <w:vanish/>
        </w:rPr>
        <w:t>480.060.530.4141.390.00920.01950.01471.111.11.560.622.21.1100.00.96—306.3714.034.0250.01410.8161.56—8.00.9610016.034.024.570.01410.815.61.56—2.00.96—100.06.3716.034.0251.410.816.01.5616.034.0250.00650.0580.01843.356.714.33.916.510.00.848.110.78.010.0110.00</w:t>
      </w:r>
      <w:r>
        <w:rPr>
          <w:rFonts w:eastAsia="Times New Roman"/>
          <w:vanish/>
        </w:rPr>
        <w:t>550.01090.810.0—8.0—499.030.00.010.180.070.540.4242.200.01240.819.90.311.0—100.00.010.190.060.530.4141.390.00610.01411.111.10.622.21.1100—309300.01240.810.0—7.01009.030.00.01241.219.9—8.0—100.09.030.0110.0930.0611988707596719250.04P10YP30YP5Y00013339862020</w:t>
      </w:r>
      <w:r>
        <w:rPr>
          <w:rFonts w:eastAsia="Times New Roman"/>
          <w:vanish/>
        </w:rPr>
        <w:t>-01-012020-09-300001333986us-gaap:CommonClassAMemberexch:XNYS2020-01-012020-09-300001333986us-gaap:SeriesAPreferredStockMemberexch:XNYS2020-01-012020-09-30xbrli:shares00013339862020-11-03iso4217:USD00013339862020-09-3000013339862019-12-31iso4217:USDxbrli:s</w:t>
      </w:r>
      <w:r>
        <w:rPr>
          <w:rFonts w:eastAsia="Times New Roman"/>
          <w:vanish/>
        </w:rPr>
        <w:t>hares0001333986us-gaap:FixedMaturitiesMember2020-09-300001333986us-gaap:FixedMaturitiesMember2019-12-3100013339862020-07-012020-09-3000013339862019-07-012019-09-3000013339862019-01-012019-09-300001333986us-gaap:PreferredStockIncludingAdditionalPaidInCapita</w:t>
      </w:r>
      <w:r>
        <w:rPr>
          <w:rFonts w:eastAsia="Times New Roman"/>
          <w:vanish/>
        </w:rPr>
        <w:t>lMember2020-06-300001333986us-gaap:CommonStockMember2020-06-300001333986us-gaap:AdditionalPaidInCapitalMember2020-06-300001333986us-gaap:TreasuryStockMember2020-06-300001333986us-gaap:RetainedEarningsMember2020-06-300001333986us-gaap:AccumulatedOtherCompre</w:t>
      </w:r>
      <w:r>
        <w:rPr>
          <w:rFonts w:eastAsia="Times New Roman"/>
          <w:vanish/>
        </w:rPr>
        <w:t>hensiveIncomeMember2020-06-300001333986us-gaap:ParentMember2020-06-300001333986us-gaap:NoncontrollingInterestMember2020-06-3000013339862020-06-300001333986us-gaap:AdditionalPaidInCapitalMember2020-07-012020-09-300001333986us-gaap:ParentMember2020-07-012020</w:t>
      </w:r>
      <w:r>
        <w:rPr>
          <w:rFonts w:eastAsia="Times New Roman"/>
          <w:vanish/>
        </w:rPr>
        <w:t>-09-300001333986us-gaap:NoncontrollingInterestMember2020-07-012020-09-300001333986us-gaap:TreasuryStockMember2020-07-012020-09-300001333986us-gaap:RetainedEarningsMember2020-07-012020-09-300001333986us-gaap:PreferredStockIncludingAdditionalPaidInCapitalMem</w:t>
      </w:r>
      <w:r>
        <w:rPr>
          <w:rFonts w:eastAsia="Times New Roman"/>
          <w:vanish/>
        </w:rPr>
        <w:t>ber2020-07-012020-09-300001333986us-gaap:AccumulatedOtherComprehensiveIncomeMember2020-07-012020-09-300001333986us-gaap:PreferredStockIncludingAdditionalPaidInCapitalMember2020-09-300001333986us-gaap:CommonStockMember2020-09-300001333986us-gaap:AdditionalP</w:t>
      </w:r>
      <w:r>
        <w:rPr>
          <w:rFonts w:eastAsia="Times New Roman"/>
          <w:vanish/>
        </w:rPr>
        <w:t>aidInCapitalMember2020-09-300001333986us-gaap:TreasuryStockMember2020-09-300001333986us-gaap:RetainedEarningsMember2020-09-300001333986us-gaap:AccumulatedOtherComprehensiveIncomeMember2020-09-300001333986us-gaap:ParentMember2020-09-300001333986us-gaap:Nonc</w:t>
      </w:r>
      <w:r>
        <w:rPr>
          <w:rFonts w:eastAsia="Times New Roman"/>
          <w:vanish/>
        </w:rPr>
        <w:t>ontrollingInterestMember2020-09-300001333986us-gaap:PreferredStockIncludingAdditionalPaidInCapitalMember2019-06-300001333986us-gaap:CommonStockMember2019-06-300001333986us-gaap:AdditionalPaidInCapitalMember2019-06-300001333986us-gaap:TreasuryStockMember201</w:t>
      </w:r>
      <w:r>
        <w:rPr>
          <w:rFonts w:eastAsia="Times New Roman"/>
          <w:vanish/>
        </w:rPr>
        <w:t>9-06-300001333986us-gaap:RetainedEarningsMember2019-06-300001333986us-gaap:AccumulatedOtherComprehensiveIncomeMember2019-06-300001333986us-gaap:ParentMember2019-06-300001333986us-gaap:NoncontrollingInterestMember2019-06-3000013339862019-06-300001333986us-g</w:t>
      </w:r>
      <w:r>
        <w:rPr>
          <w:rFonts w:eastAsia="Times New Roman"/>
          <w:vanish/>
        </w:rPr>
        <w:t>aap:AdditionalPaidInCapitalMember2019-07-012019-09-300001333986us-gaap:TreasuryStockMember2019-07-012019-09-300001333986us-gaap:ParentMember2019-07-012019-09-300001333986us-gaap:NoncontrollingInterestMember2019-07-012019-09-300001333986us-gaap:RetainedEarn</w:t>
      </w:r>
      <w:r>
        <w:rPr>
          <w:rFonts w:eastAsia="Times New Roman"/>
          <w:vanish/>
        </w:rPr>
        <w:t>ingsMember2019-07-012019-09-300001333986us-gaap:AccumulatedOtherComprehensiveIncomeMember2019-07-012019-09-300001333986us-gaap:PreferredStockIncludingAdditionalPaidInCapitalMember2019-09-300001333986us-gaap:CommonStockMember2019-09-300001333986us-gaap:Addi</w:t>
      </w:r>
      <w:r>
        <w:rPr>
          <w:rFonts w:eastAsia="Times New Roman"/>
          <w:vanish/>
        </w:rPr>
        <w:t>tionalPaidInCapitalMember2019-09-300001333986us-gaap:TreasuryStockMember2019-09-300001333986us-gaap:RetainedEarningsMember2019-09-300001333986us-gaap:AccumulatedOtherComprehensiveIncomeMember2019-09-300001333986us-gaap:ParentMember2019-09-300001333986us-ga</w:t>
      </w:r>
      <w:r>
        <w:rPr>
          <w:rFonts w:eastAsia="Times New Roman"/>
          <w:vanish/>
        </w:rPr>
        <w:t>ap:NoncontrollingInterestMember2019-09-3000013339862019-09-300001333986us-gaap:PreferredStockIncludingAdditionalPaidInCapitalMember2019-12-310001333986us-gaap:CommonStockMember2019-12-310001333986us-gaap:AdditionalPaidInCapitalMember2019-12-310001333986us-</w:t>
      </w:r>
      <w:r>
        <w:rPr>
          <w:rFonts w:eastAsia="Times New Roman"/>
          <w:vanish/>
        </w:rPr>
        <w:t>gaap:TreasuryStockMember2019-12-310001333986us-gaap:RetainedEarningsMember2019-12-310001333986us-gaap:AccumulatedOtherComprehensiveIncomeMember2019-12-310001333986us-gaap:ParentMember2019-12-310001333986us-gaap:NoncontrollingInterestMember2019-12-310001333</w:t>
      </w:r>
      <w:r>
        <w:rPr>
          <w:rFonts w:eastAsia="Times New Roman"/>
          <w:vanish/>
        </w:rPr>
        <w:t>986srt:CumulativeEffectPeriodOfAdoptionAdjustedBalanceMemberus-gaap:RetainedEarningsMember2019-12-310001333986srt:CumulativeEffectPeriodOfAdoptionAdjustedBalanceMemberus-gaap:ParentMember2019-12-310001333986srt:CumulativeEffectPeriodOfAdoptionAdjustedBalan</w:t>
      </w:r>
      <w:r>
        <w:rPr>
          <w:rFonts w:eastAsia="Times New Roman"/>
          <w:vanish/>
        </w:rPr>
        <w:t>ceMember2019-12-310001333986us-gaap:AdditionalPaidInCapitalMember2020-01-012020-09-300001333986us-gaap:TreasuryStockMember2020-01-012020-09-300001333986us-gaap:ParentMember2020-01-012020-09-300001333986us-gaap:NoncontrollingInterestMember2020-01-012020-09-</w:t>
      </w:r>
      <w:r>
        <w:rPr>
          <w:rFonts w:eastAsia="Times New Roman"/>
          <w:vanish/>
        </w:rPr>
        <w:t>300001333986us-gaap:RetainedEarningsMember2020-01-012020-09-300001333986us-gaap:PreferredStockIncludingAdditionalPaidInCapitalMember2020-01-012020-09-300001333986us-gaap:AccumulatedOtherComprehensiveIncomeMember2020-01-012020-09-300001333986us-gaap:Preferr</w:t>
      </w:r>
      <w:r>
        <w:rPr>
          <w:rFonts w:eastAsia="Times New Roman"/>
          <w:vanish/>
        </w:rPr>
        <w:t>edStockIncludingAdditionalPaidInCapitalMember2018-12-310001333986us-gaap:CommonStockMember2018-12-310001333986us-gaap:AdditionalPaidInCapitalMember2018-12-310001333986us-gaap:TreasuryStockMember2018-12-310001333986us-gaap:RetainedEarningsMember2018-12-3100</w:t>
      </w:r>
      <w:r>
        <w:rPr>
          <w:rFonts w:eastAsia="Times New Roman"/>
          <w:vanish/>
        </w:rPr>
        <w:t>01333986us-gaap:AccumulatedOtherComprehensiveIncomeMember2018-12-310001333986us-gaap:ParentMember2018-12-310001333986us-gaap:NoncontrollingInterestMember2018-12-3100013339862018-12-310001333986us-gaap:AdditionalPaidInCapitalMember2019-01-012019-09-30000133</w:t>
      </w:r>
      <w:r>
        <w:rPr>
          <w:rFonts w:eastAsia="Times New Roman"/>
          <w:vanish/>
        </w:rPr>
        <w:t>3986us-gaap:TreasuryStockMember2019-01-012019-09-300001333986us-gaap:ParentMember2019-01-012019-09-300001333986us-gaap:NoncontrollingInterestMember2019-01-012019-09-300001333986us-gaap:RetainedEarningsMember2019-01-012019-09-300001333986us-gaap:Accumulated</w:t>
      </w:r>
      <w:r>
        <w:rPr>
          <w:rFonts w:eastAsia="Times New Roman"/>
          <w:vanish/>
        </w:rPr>
        <w:t>OtherComprehensiveIncomeMember2019-01-012019-09-30eqh:segmentxbrli:pure0001333986eqh:AllianceBernsteinMember2019-01-012019-12-310001333986eqh:AllianceBernsteinMember2020-01-012020-09-300001333986eqh:U.S.FinancialLifeInsuranceCompanyandMONYLifeInsuranceComp</w:t>
      </w:r>
      <w:r>
        <w:rPr>
          <w:rFonts w:eastAsia="Times New Roman"/>
          <w:vanish/>
        </w:rPr>
        <w:t>anyoftheAmericasLtdMember2020-01-012020-09-300001333986eqh:U.S.FinancialLifeInsuranceCompanyandMONYLifeInsuranceCompanyoftheAmericasLtdMember2019-01-012019-12-310001333986srt:CumulativeEffectPeriodOfAdoptionAdjustedBalanceMemberus-gaap:RetainedEarningsMemb</w:t>
      </w:r>
      <w:r>
        <w:rPr>
          <w:rFonts w:eastAsia="Times New Roman"/>
          <w:vanish/>
        </w:rPr>
        <w:t>erus-gaap:AccountingStandardsUpdate201613Member2020-01-010001333986us-gaap:RealEstateMembersrt:MinimumMember2020-01-012020-09-300001333986srt:MaximumMemberus-gaap:RealEstateMember2020-01-012020-09-30eqh:joint_venture0001333986us-gaap:VariableInterestEntity</w:t>
      </w:r>
      <w:r>
        <w:rPr>
          <w:rFonts w:eastAsia="Times New Roman"/>
          <w:vanish/>
        </w:rPr>
        <w:t>PrimaryBeneficiaryMember2019-12-310001333986us-gaap:VariableInterestEntityPrimaryBeneficiaryMember2020-09-300001333986eqh:SpecialPurposeEntitySPEMember2020-09-300001333986us-gaap:VariableInterestEntityPrimaryBeneficiaryMembereqh:ABSponsoredInvestmentFundsM</w:t>
      </w:r>
      <w:r>
        <w:rPr>
          <w:rFonts w:eastAsia="Times New Roman"/>
          <w:vanish/>
        </w:rPr>
        <w:t>ember2020-09-300001333986us-gaap:VariableInterestEntityPrimaryBeneficiaryMembereqh:ABSponsoredInvestmentFundsMember2019-12-310001333986eqh:VOEConsolidationModelMembereqh:ABSponsoredInvestmentFundsMember2020-09-300001333986eqh:VOEConsolidationModelMembereqh</w:t>
      </w:r>
      <w:r>
        <w:rPr>
          <w:rFonts w:eastAsia="Times New Roman"/>
          <w:vanish/>
        </w:rPr>
        <w:t>:ABSponsoredInvestmentFundsMember2019-12-310001333986eqh:NonConsolidatedVairableInterestEntitiesVIEMember2020-09-300001333986eqh:NonConsolidatedVairableInterestEntitiesVIEMember2019-12-310001333986eqh:NonConsolidatedVairableInterestEntitiesVIEMember2020-01</w:t>
      </w:r>
      <w:r>
        <w:rPr>
          <w:rFonts w:eastAsia="Times New Roman"/>
          <w:vanish/>
        </w:rPr>
        <w:t>-012020-09-300001333986eqh:NonConsolidatedVairableInterestEntitiesVIEMember2019-01-012019-12-310001333986eqh:NonConsolidatedVairableInterestEntitiesVIEMembereqh:ABSponsoredInvestmentFundsMember2020-09-300001333986eqh:NonConsolidatedVairableInterestEntities</w:t>
      </w:r>
      <w:r>
        <w:rPr>
          <w:rFonts w:eastAsia="Times New Roman"/>
          <w:vanish/>
        </w:rPr>
        <w:t>VIEMembereqh:ABSponsoredInvestmentFundsMember2019-12-310001333986eqh:LongtermLapsesPartialWithdrawalRatesAndElectionAssumptionsUpdatesMember2020-07-012020-09-300001333986eqh:CreditRiskAdjustmentFairValueScenarioCalibrationMember2020-07-012020-09-3000013339</w:t>
      </w:r>
      <w:r>
        <w:rPr>
          <w:rFonts w:eastAsia="Times New Roman"/>
          <w:vanish/>
        </w:rPr>
        <w:t>86eqh:LongtermLapsesPartialWithdrawalRatesAndElectionAssumptionsUpdatesMember2019-07-012019-09-300001333986eqh:A5yearHistoricalAverageOverA10yearPeriodMember2020-03-310001333986eqh:LongtermLapsesPartialWithdrawalRatesAndElectionAssumptionsUpdatesMember2020</w:t>
      </w:r>
      <w:r>
        <w:rPr>
          <w:rFonts w:eastAsia="Times New Roman"/>
          <w:vanish/>
        </w:rPr>
        <w:t>-01-012020-03-310001333986eqh:EconomicScenarioGeneratorMember2020-01-012020-09-300001333986us-gaap:FixedMaturitiesMember2020-07-012020-09-300001333986us-gaap:FixedMaturitiesMember2020-01-012020-09-300001333986us-gaap:CorporateDebtSecuritiesMember2020-09-30</w:t>
      </w:r>
      <w:r>
        <w:rPr>
          <w:rFonts w:eastAsia="Times New Roman"/>
          <w:vanish/>
        </w:rPr>
        <w:t>0001333986us-gaap:USTreasuryAndGovernmentMember2020-09-300001333986us-gaap:USStatesAndPoliticalSubdivisionsMember2020-09-300001333986us-gaap:ForeignGovernmentDebtSecuritiesMember2020-09-300001333986us-gaap:ResidentialMortgageBackedSecuritiesMember2020-09-3</w:t>
      </w:r>
      <w:r>
        <w:rPr>
          <w:rFonts w:eastAsia="Times New Roman"/>
          <w:vanish/>
        </w:rPr>
        <w:t>00001333986us-gaap:AssetBackedSecuritiesMember2020-09-300001333986us-gaap:CommercialMortgageBackedSecuritiesMember2020-09-300001333986us-gaap:RedeemablePreferredStockMember2020-09-300001333986us-gaap:CorporateDebtSecuritiesMember2019-12-310001333986us-gaap</w:t>
      </w:r>
      <w:r>
        <w:rPr>
          <w:rFonts w:eastAsia="Times New Roman"/>
          <w:vanish/>
        </w:rPr>
        <w:t>:USTreasuryAndGovernmentMember2019-12-310001333986us-gaap:USStatesAndPoliticalSubdivisionsMember2019-12-310001333986us-gaap:ForeignGovernmentDebtSecuritiesMember2019-12-310001333986us-gaap:ResidentialMortgageBackedSecuritiesMember2019-12-310001333986us-gaa</w:t>
      </w:r>
      <w:r>
        <w:rPr>
          <w:rFonts w:eastAsia="Times New Roman"/>
          <w:vanish/>
        </w:rPr>
        <w:t>p:AssetBackedSecuritiesMember2019-12-310001333986us-gaap:RedeemablePreferredStockMember2019-12-310001333986us-gaap:AccumulatedNetUnrealizedInvestmentGainLossMembereqh:NetUnrealizedGainsLossesOnInvestmentsMembereqh:UnrealizedInvestmentGainsLossesAllOtherMem</w:t>
      </w:r>
      <w:r>
        <w:rPr>
          <w:rFonts w:eastAsia="Times New Roman"/>
          <w:vanish/>
        </w:rPr>
        <w:t>ber2020-06-300001333986us-gaap:AccumulatedNetUnrealizedInvestmentGainLossMembereqh:UnrealizedInvestmentGainsLossesAllOtherMembereqh:DacMember2020-06-300001333986us-gaap:AccumulatedNetUnrealizedInvestmentGainLossMembereqh:UnrealizedInvestmentGainsLossesAllO</w:t>
      </w:r>
      <w:r>
        <w:rPr>
          <w:rFonts w:eastAsia="Times New Roman"/>
          <w:vanish/>
        </w:rPr>
        <w:t>therMembereqh:PolicyholdersLiabilitiesMember2020-06-300001333986us-gaap:AccumulatedNetUnrealizedInvestmentGainLossMembereqh:UnrealizedInvestmentGainsLossesAllOtherMembereqh:DeferredIncomeTaxAssetLiabilityMember2020-06-300001333986us-gaap:AccumulatedNetUnre</w:t>
      </w:r>
      <w:r>
        <w:rPr>
          <w:rFonts w:eastAsia="Times New Roman"/>
          <w:vanish/>
        </w:rPr>
        <w:t>alizedInvestmentGainLossMembereqh:UnrealizedInvestmentGainsLossesAllOtherMembereqh:AociGainLossesRelatedToNetUnrealizedInvestmentGainsLossesMember2020-06-300001333986us-gaap:AccumulatedNetUnrealizedInvestmentGainLossMembereqh:NetUnrealizedGainsLossesOnInve</w:t>
      </w:r>
      <w:r>
        <w:rPr>
          <w:rFonts w:eastAsia="Times New Roman"/>
          <w:vanish/>
        </w:rPr>
        <w:t>stmentsMembereqh:UnrealizedInvestmentGainsLossesAllOtherMember2020-07-012020-09-300001333986us-gaap:AccumulatedNetUnrealizedInvestmentGainLossMembereqh:UnrealizedInvestmentGainsLossesAllOtherMembereqh:AociGainLossesRelatedToNetUnrealizedInvestmentGainsLoss</w:t>
      </w:r>
      <w:r>
        <w:rPr>
          <w:rFonts w:eastAsia="Times New Roman"/>
          <w:vanish/>
        </w:rPr>
        <w:t>esMember2020-07-012020-09-300001333986us-gaap:AccumulatedNetUnrealizedInvestmentGainLossMembereqh:UnrealizedInvestmentGainsLossesAllOtherMembereqh:DacMember2020-07-012020-09-300001333986us-gaap:AccumulatedNetUnrealizedInvestmentGainLossMembereqh:Unrealized</w:t>
      </w:r>
      <w:r>
        <w:rPr>
          <w:rFonts w:eastAsia="Times New Roman"/>
          <w:vanish/>
        </w:rPr>
        <w:t>InvestmentGainsLossesAllOtherMembereqh:PolicyholdersLiabilitiesMember2020-07-012020-09-300001333986us-gaap:AccumulatedNetUnrealizedInvestmentGainLossMembereqh:UnrealizedInvestmentGainsLossesAllOtherMembereqh:DeferredIncomeTaxAssetLiabilityMember2020-07-012</w:t>
      </w:r>
      <w:r>
        <w:rPr>
          <w:rFonts w:eastAsia="Times New Roman"/>
          <w:vanish/>
        </w:rPr>
        <w:t>020-09-300001333986us-gaap:AccumulatedNetUnrealizedInvestmentGainLossMemberus-gaap:FixedMaturitiesMembereqh:UnrealizedInvestmentGainsLossesAllOtherMembereqh:DacMember2020-07-012020-09-300001333986us-gaap:AccumulatedNetUnrealizedInvestmentGainLossMemberus-g</w:t>
      </w:r>
      <w:r>
        <w:rPr>
          <w:rFonts w:eastAsia="Times New Roman"/>
          <w:vanish/>
        </w:rPr>
        <w:t>aap:FixedMaturitiesMembereqh:UnrealizedInvestmentGainsLossesAllOtherMembereqh:PolicyholdersLiabilitiesMember2020-07-012020-09-300001333986us-gaap:AccumulatedNetUnrealizedInvestmentGainLossMemberus-gaap:FixedMaturitiesMembereqh:UnrealizedInvestmentGainsLoss</w:t>
      </w:r>
      <w:r>
        <w:rPr>
          <w:rFonts w:eastAsia="Times New Roman"/>
          <w:vanish/>
        </w:rPr>
        <w:t>esAllOtherMembereqh:DeferredIncomeTaxAssetLiabilityMember2020-07-012020-09-300001333986us-gaap:AccumulatedNetUnrealizedInvestmentGainLossMembereqh:NetUnrealizedGainsLossesOnInvestmentsMembereqh:UnrealizedInvestmentGainsLossesAllOtherMember2020-09-300001333</w:t>
      </w:r>
      <w:r>
        <w:rPr>
          <w:rFonts w:eastAsia="Times New Roman"/>
          <w:vanish/>
        </w:rPr>
        <w:t>986us-gaap:AccumulatedNetUnrealizedInvestmentGainLossMembereqh:UnrealizedInvestmentGainsLossesAllOtherMembereqh:DacMember2020-09-300001333986us-gaap:AccumulatedNetUnrealizedInvestmentGainLossMembereqh:UnrealizedInvestmentGainsLossesAllOtherMembereqh:Policy</w:t>
      </w:r>
      <w:r>
        <w:rPr>
          <w:rFonts w:eastAsia="Times New Roman"/>
          <w:vanish/>
        </w:rPr>
        <w:t>holdersLiabilitiesMember2020-09-300001333986us-gaap:AccumulatedNetUnrealizedInvestmentGainLossMembereqh:UnrealizedInvestmentGainsLossesAllOtherMembereqh:DeferredIncomeTaxAssetLiabilityMember2020-09-300001333986us-gaap:AccumulatedNetUnrealizedInvestmentGain</w:t>
      </w:r>
      <w:r>
        <w:rPr>
          <w:rFonts w:eastAsia="Times New Roman"/>
          <w:vanish/>
        </w:rPr>
        <w:t>LossMembereqh:UnrealizedInvestmentGainsLossesAllOtherMembereqh:AociGainLossesRelatedToNetUnrealizedInvestmentGainsLossesMember2020-09-300001333986us-gaap:AccumulatedNetUnrealizedInvestmentGainLossMembereqh:NetUnrealizedGainsLossesOnInvestmentsMembereqh:Unr</w:t>
      </w:r>
      <w:r>
        <w:rPr>
          <w:rFonts w:eastAsia="Times New Roman"/>
          <w:vanish/>
        </w:rPr>
        <w:t>ealizedInvestmentGainsLossesAllOtherMember2019-06-300001333986us-gaap:AccumulatedNetUnrealizedInvestmentGainLossMembereqh:UnrealizedInvestmentGainsLossesAllOtherMembereqh:DacMember2019-06-300001333986us-gaap:AccumulatedNetUnrealizedInvestmentGainLossMember</w:t>
      </w:r>
      <w:r>
        <w:rPr>
          <w:rFonts w:eastAsia="Times New Roman"/>
          <w:vanish/>
        </w:rPr>
        <w:t>eqh:UnrealizedInvestmentGainsLossesAllOtherMembereqh:PolicyholdersLiabilitiesMember2019-06-300001333986us-gaap:AccumulatedNetUnrealizedInvestmentGainLossMembereqh:UnrealizedInvestmentGainsLossesAllOtherMembereqh:DeferredIncomeTaxAssetLiabilityMember2019-06</w:t>
      </w:r>
      <w:r>
        <w:rPr>
          <w:rFonts w:eastAsia="Times New Roman"/>
          <w:vanish/>
        </w:rPr>
        <w:t>-300001333986us-gaap:AccumulatedNetUnrealizedInvestmentGainLossMembereqh:UnrealizedInvestmentGainsLossesAllOtherMembereqh:AociGainLossesRelatedToNetUnrealizedInvestmentGainsLossesMember2019-06-300001333986us-gaap:AccumulatedNetUnrealizedInvestmentGainLossM</w:t>
      </w:r>
      <w:r>
        <w:rPr>
          <w:rFonts w:eastAsia="Times New Roman"/>
          <w:vanish/>
        </w:rPr>
        <w:t>embereqh:NetUnrealizedGainsLossesOnInvestmentsMembereqh:UnrealizedInvestmentGainsLossesAllOtherMember2019-07-012019-09-300001333986us-gaap:AccumulatedNetUnrealizedInvestmentGainLossMembereqh:UnrealizedInvestmentGainsLossesAllOtherMembereqh:AociGainLossesRe</w:t>
      </w:r>
      <w:r>
        <w:rPr>
          <w:rFonts w:eastAsia="Times New Roman"/>
          <w:vanish/>
        </w:rPr>
        <w:t>latedToNetUnrealizedInvestmentGainsLossesMember2019-07-012019-09-300001333986us-gaap:AccumulatedNetUnrealizedInvestmentGainLossMembereqh:UnrealizedInvestmentGainsLossesAllOtherMembereqh:DacMember2019-07-012019-09-300001333986us-gaap:AccumulatedNetUnrealize</w:t>
      </w:r>
      <w:r>
        <w:rPr>
          <w:rFonts w:eastAsia="Times New Roman"/>
          <w:vanish/>
        </w:rPr>
        <w:t>dInvestmentGainLossMembereqh:UnrealizedInvestmentGainsLossesAllOtherMembereqh:PolicyholdersLiabilitiesMember2019-07-012019-09-300001333986us-gaap:AccumulatedNetUnrealizedInvestmentGainLossMembereqh:UnrealizedInvestmentGainsLossesAllOtherMembereqh:DeferredI</w:t>
      </w:r>
      <w:r>
        <w:rPr>
          <w:rFonts w:eastAsia="Times New Roman"/>
          <w:vanish/>
        </w:rPr>
        <w:t>ncomeTaxAssetLiabilityMember2019-07-012019-09-300001333986us-gaap:AccumulatedNetUnrealizedInvestmentGainLossMemberus-gaap:FixedMaturitiesMembereqh:UnrealizedInvestmentGainsLossesAllOtherMembereqh:DacMember2019-07-012019-09-300001333986us-gaap:AccumulatedNe</w:t>
      </w:r>
      <w:r>
        <w:rPr>
          <w:rFonts w:eastAsia="Times New Roman"/>
          <w:vanish/>
        </w:rPr>
        <w:t>tUnrealizedInvestmentGainLossMemberus-gaap:FixedMaturitiesMembereqh:UnrealizedInvestmentGainsLossesAllOtherMembereqh:PolicyholdersLiabilitiesMember2019-07-012019-09-300001333986us-gaap:AccumulatedNetUnrealizedInvestmentGainLossMemberus-gaap:FixedMaturities</w:t>
      </w:r>
      <w:r>
        <w:rPr>
          <w:rFonts w:eastAsia="Times New Roman"/>
          <w:vanish/>
        </w:rPr>
        <w:t>Membereqh:UnrealizedInvestmentGainsLossesAllOtherMembereqh:DeferredIncomeTaxAssetLiabilityMember2019-07-012019-09-300001333986us-gaap:AccumulatedNetUnrealizedInvestmentGainLossMembereqh:NetUnrealizedGainsLossesOnInvestmentsMembereqh:UnrealizedInvestmentGai</w:t>
      </w:r>
      <w:r>
        <w:rPr>
          <w:rFonts w:eastAsia="Times New Roman"/>
          <w:vanish/>
        </w:rPr>
        <w:t>nsLossesAllOtherMember2019-09-300001333986us-gaap:AccumulatedNetUnrealizedInvestmentGainLossMembereqh:UnrealizedInvestmentGainsLossesAllOtherMembereqh:DacMember2019-09-300001333986us-gaap:AccumulatedNetUnrealizedInvestmentGainLossMembereqh:UnrealizedInvest</w:t>
      </w:r>
      <w:r>
        <w:rPr>
          <w:rFonts w:eastAsia="Times New Roman"/>
          <w:vanish/>
        </w:rPr>
        <w:t>mentGainsLossesAllOtherMembereqh:PolicyholdersLiabilitiesMember2019-09-300001333986us-gaap:AccumulatedNetUnrealizedInvestmentGainLossMembereqh:UnrealizedInvestmentGainsLossesAllOtherMembereqh:DeferredIncomeTaxAssetLiabilityMember2019-09-300001333986us-gaap</w:t>
      </w:r>
      <w:r>
        <w:rPr>
          <w:rFonts w:eastAsia="Times New Roman"/>
          <w:vanish/>
        </w:rPr>
        <w:t>:AccumulatedNetUnrealizedInvestmentGainLossMembereqh:UnrealizedInvestmentGainsLossesAllOtherMembereqh:AociGainLossesRelatedToNetUnrealizedInvestmentGainsLossesMember2019-09-300001333986us-gaap:AccumulatedNetUnrealizedInvestmentGainLossMembereqh:NetUnrealiz</w:t>
      </w:r>
      <w:r>
        <w:rPr>
          <w:rFonts w:eastAsia="Times New Roman"/>
          <w:vanish/>
        </w:rPr>
        <w:t>edGainsLossesOnInvestmentsMembereqh:UnrealizedInvestmentGainsLossesAllOtherMember2019-12-310001333986us-gaap:AccumulatedNetUnrealizedInvestmentGainLossMembereqh:UnrealizedInvestmentGainsLossesAllOtherMembereqh:DacMember2019-12-310001333986us-gaap:Accumulat</w:t>
      </w:r>
      <w:r>
        <w:rPr>
          <w:rFonts w:eastAsia="Times New Roman"/>
          <w:vanish/>
        </w:rPr>
        <w:t>edNetUnrealizedInvestmentGainLossMembereqh:UnrealizedInvestmentGainsLossesAllOtherMembereqh:PolicyholdersLiabilitiesMember2019-12-310001333986us-gaap:AccumulatedNetUnrealizedInvestmentGainLossMembereqh:UnrealizedInvestmentGainsLossesAllOtherMembereqh:Defer</w:t>
      </w:r>
      <w:r>
        <w:rPr>
          <w:rFonts w:eastAsia="Times New Roman"/>
          <w:vanish/>
        </w:rPr>
        <w:t>redIncomeTaxAssetLiabilityMember2019-12-310001333986us-gaap:AccumulatedNetUnrealizedInvestmentGainLossMembereqh:UnrealizedInvestmentGainsLossesAllOtherMembereqh:AociGainLossesRelatedToNetUnrealizedInvestmentGainsLossesMember2019-12-310001333986us-gaap:Accu</w:t>
      </w:r>
      <w:r>
        <w:rPr>
          <w:rFonts w:eastAsia="Times New Roman"/>
          <w:vanish/>
        </w:rPr>
        <w:t>mulatedNetUnrealizedInvestmentGainLossMembereqh:NetUnrealizedGainsLossesOnInvestmentsMembereqh:UnrealizedInvestmentGainsLossesAllOtherMember2020-01-012020-09-300001333986us-gaap:AccumulatedNetUnrealizedInvestmentGainLossMembereqh:UnrealizedInvestmentGainsL</w:t>
      </w:r>
      <w:r>
        <w:rPr>
          <w:rFonts w:eastAsia="Times New Roman"/>
          <w:vanish/>
        </w:rPr>
        <w:t>ossesAllOtherMembereqh:AociGainLossesRelatedToNetUnrealizedInvestmentGainsLossesMember2020-01-012020-09-300001333986us-gaap:AccumulatedNetUnrealizedInvestmentGainLossMembereqh:UnrealizedInvestmentGainsLossesAllOtherMembereqh:DacMember2020-01-012020-09-3000</w:t>
      </w:r>
      <w:r>
        <w:rPr>
          <w:rFonts w:eastAsia="Times New Roman"/>
          <w:vanish/>
        </w:rPr>
        <w:t>01333986us-gaap:AccumulatedNetUnrealizedInvestmentGainLossMembereqh:UnrealizedInvestmentGainsLossesAllOtherMembereqh:PolicyholdersLiabilitiesMember2020-01-012020-09-300001333986us-gaap:AccumulatedNetUnrealizedInvestmentGainLossMembereqh:UnrealizedInvestmen</w:t>
      </w:r>
      <w:r>
        <w:rPr>
          <w:rFonts w:eastAsia="Times New Roman"/>
          <w:vanish/>
        </w:rPr>
        <w:t>tGainsLossesAllOtherMembereqh:DeferredIncomeTaxAssetLiabilityMember2020-01-012020-09-300001333986us-gaap:AccumulatedNetUnrealizedInvestmentGainLossMemberus-gaap:FixedMaturitiesMembereqh:UnrealizedInvestmentGainsLossesAllOtherMembereqh:DacMember2020-01-0120</w:t>
      </w:r>
      <w:r>
        <w:rPr>
          <w:rFonts w:eastAsia="Times New Roman"/>
          <w:vanish/>
        </w:rPr>
        <w:t>20-09-300001333986us-gaap:AccumulatedNetUnrealizedInvestmentGainLossMemberus-gaap:FixedMaturitiesMembereqh:UnrealizedInvestmentGainsLossesAllOtherMembereqh:PolicyholdersLiabilitiesMember2020-01-012020-09-300001333986us-gaap:AccumulatedNetUnrealizedInvestme</w:t>
      </w:r>
      <w:r>
        <w:rPr>
          <w:rFonts w:eastAsia="Times New Roman"/>
          <w:vanish/>
        </w:rPr>
        <w:t>ntGainLossMemberus-gaap:FixedMaturitiesMembereqh:UnrealizedInvestmentGainsLossesAllOtherMembereqh:DeferredIncomeTaxAssetLiabilityMember2020-01-012020-09-300001333986us-gaap:AccumulatedNetUnrealizedInvestmentGainLossMembereqh:NetUnrealizedGainsLossesOnInves</w:t>
      </w:r>
      <w:r>
        <w:rPr>
          <w:rFonts w:eastAsia="Times New Roman"/>
          <w:vanish/>
        </w:rPr>
        <w:t>tmentsMembereqh:UnrealizedInvestmentGainsLossesAllOtherMember2018-12-310001333986us-gaap:AccumulatedNetUnrealizedInvestmentGainLossMembereqh:UnrealizedInvestmentGainsLossesAllOtherMembereqh:DacMember2018-12-310001333986us-gaap:AccumulatedNetUnrealizedInves</w:t>
      </w:r>
      <w:r>
        <w:rPr>
          <w:rFonts w:eastAsia="Times New Roman"/>
          <w:vanish/>
        </w:rPr>
        <w:t>tmentGainLossMembereqh:UnrealizedInvestmentGainsLossesAllOtherMembereqh:PolicyholdersLiabilitiesMember2018-12-310001333986us-gaap:AccumulatedNetUnrealizedInvestmentGainLossMembereqh:UnrealizedInvestmentGainsLossesAllOtherMembereqh:DeferredIncomeTaxAssetLia</w:t>
      </w:r>
      <w:r>
        <w:rPr>
          <w:rFonts w:eastAsia="Times New Roman"/>
          <w:vanish/>
        </w:rPr>
        <w:t>bilityMember2018-12-310001333986us-gaap:AccumulatedNetUnrealizedInvestmentGainLossMembereqh:UnrealizedInvestmentGainsLossesAllOtherMembereqh:AociGainLossesRelatedToNetUnrealizedInvestmentGainsLossesMember2018-12-310001333986us-gaap:AccumulatedNetUnrealized</w:t>
      </w:r>
      <w:r>
        <w:rPr>
          <w:rFonts w:eastAsia="Times New Roman"/>
          <w:vanish/>
        </w:rPr>
        <w:t>InvestmentGainLossMembereqh:NetUnrealizedGainsLossesOnInvestmentsMembereqh:UnrealizedInvestmentGainsLossesAllOtherMember2019-01-012019-09-300001333986us-gaap:AccumulatedNetUnrealizedInvestmentGainLossMembereqh:UnrealizedInvestmentGainsLossesAllOtherMembere</w:t>
      </w:r>
      <w:r>
        <w:rPr>
          <w:rFonts w:eastAsia="Times New Roman"/>
          <w:vanish/>
        </w:rPr>
        <w:t>qh:AociGainLossesRelatedToNetUnrealizedInvestmentGainsLossesMember2019-01-012019-09-300001333986us-gaap:AccumulatedNetUnrealizedInvestmentGainLossMembereqh:UnrealizedInvestmentGainsLossesAllOtherMembereqh:DacMember2019-01-012019-09-300001333986us-gaap:Accu</w:t>
      </w:r>
      <w:r>
        <w:rPr>
          <w:rFonts w:eastAsia="Times New Roman"/>
          <w:vanish/>
        </w:rPr>
        <w:t>mulatedNetUnrealizedInvestmentGainLossMembereqh:UnrealizedInvestmentGainsLossesAllOtherMembereqh:PolicyholdersLiabilitiesMember2019-01-012019-09-300001333986us-gaap:AccumulatedNetUnrealizedInvestmentGainLossMembereqh:UnrealizedInvestmentGainsLossesAllOther</w:t>
      </w:r>
      <w:r>
        <w:rPr>
          <w:rFonts w:eastAsia="Times New Roman"/>
          <w:vanish/>
        </w:rPr>
        <w:t>Membereqh:DeferredIncomeTaxAssetLiabilityMember2019-01-012019-09-300001333986us-gaap:AccumulatedNetUnrealizedInvestmentGainLossMemberus-gaap:FixedMaturitiesMembereqh:UnrealizedInvestmentGainsLossesAllOtherMembereqh:DacMember2019-01-012019-09-300001333986us</w:t>
      </w:r>
      <w:r>
        <w:rPr>
          <w:rFonts w:eastAsia="Times New Roman"/>
          <w:vanish/>
        </w:rPr>
        <w:t>-gaap:AccumulatedNetUnrealizedInvestmentGainLossMemberus-gaap:FixedMaturitiesMembereqh:UnrealizedInvestmentGainsLossesAllOtherMembereqh:PolicyholdersLiabilitiesMember2019-01-012019-09-300001333986us-gaap:AccumulatedNetUnrealizedInvestmentGainLossMemberus-g</w:t>
      </w:r>
      <w:r>
        <w:rPr>
          <w:rFonts w:eastAsia="Times New Roman"/>
          <w:vanish/>
        </w:rPr>
        <w:t>aap:FixedMaturitiesMembereqh:UnrealizedInvestmentGainsLossesAllOtherMembereqh:DeferredIncomeTaxAssetLiabilityMember2019-01-012019-09-30eqh:security0001333986us-gaap:FixedMaturitiesMembereqh:OtherThanInvestmentGradeMemberus-gaap:ExternalCreditRatingNonInves</w:t>
      </w:r>
      <w:r>
        <w:rPr>
          <w:rFonts w:eastAsia="Times New Roman"/>
          <w:vanish/>
        </w:rPr>
        <w:t>tmentGradeMember2020-09-300001333986us-gaap:FixedMaturitiesMembereqh:OtherThanInvestmentGradeMemberus-gaap:ExternalCreditRatingNonInvestmentGradeMember2019-12-310001333986us-gaap:CommercialLoanMember2020-09-300001333986eqh:AgriculturalMortgageLoansMember20</w:t>
      </w:r>
      <w:r>
        <w:rPr>
          <w:rFonts w:eastAsia="Times New Roman"/>
          <w:vanish/>
        </w:rPr>
        <w:t>20-09-300001333986us-gaap:CommercialLoanMember2020-07-012020-09-300001333986us-gaap:CommercialLoanMember2020-01-012020-09-300001333986eqh:AgriculturalMortgageLoansMember2020-01-012020-09-300001333986eqh:AgriculturalMortgageLoansMember2020-07-012020-09-3000</w:t>
      </w:r>
      <w:r>
        <w:rPr>
          <w:rFonts w:eastAsia="Times New Roman"/>
          <w:vanish/>
        </w:rPr>
        <w:t>01333986eqh:IndividuallyAssessedMortgageLoansMember2020-09-300001333986us-gaap:CommercialRealEstatePortfolioSegmentMember2020-06-300001333986us-gaap:CommercialRealEstatePortfolioSegmentMember2019-12-310001333986us-gaap:CommercialRealEstatePortfolioSegmentM</w:t>
      </w:r>
      <w:r>
        <w:rPr>
          <w:rFonts w:eastAsia="Times New Roman"/>
          <w:vanish/>
        </w:rPr>
        <w:t>ember2020-07-012020-09-300001333986us-gaap:CommercialRealEstatePortfolioSegmentMember2020-01-012020-09-300001333986us-gaap:CommercialRealEstatePortfolioSegmentMember2020-09-300001333986eqh:AgriculturalRealEstatePortfolioSegmentMember2020-06-300001333986eqh</w:t>
      </w:r>
      <w:r>
        <w:rPr>
          <w:rFonts w:eastAsia="Times New Roman"/>
          <w:vanish/>
        </w:rPr>
        <w:t>:AgriculturalRealEstatePortfolioSegmentMember2019-12-310001333986eqh:AgriculturalRealEstatePortfolioSegmentMember2020-07-012020-09-300001333986eqh:AgriculturalRealEstatePortfolioSegmentMember2020-01-012020-09-300001333986eqh:AgriculturalRealEstatePortfolio</w:t>
      </w:r>
      <w:r>
        <w:rPr>
          <w:rFonts w:eastAsia="Times New Roman"/>
          <w:vanish/>
        </w:rPr>
        <w:t>SegmentMember2020-09-300001333986eqh:ZeroToFiftyPercentMemberus-gaap:CommercialRealEstatePortfolioSegmentMember2020-09-300001333986eqh:FiftyToSeventyPercentMemberus-gaap:CommercialRealEstatePortfolioSegmentMember2020-09-300001333986us-gaap:CommercialRealEs</w:t>
      </w:r>
      <w:r>
        <w:rPr>
          <w:rFonts w:eastAsia="Times New Roman"/>
          <w:vanish/>
        </w:rPr>
        <w:t>tatePortfolioSegmentMembereqh:SeventyToNintyPercentMember2020-09-300001333986eqh:MoreThanNintyPercentMemberus-gaap:CommercialRealEstatePortfolioSegmentMember2020-09-300001333986eqh:AgriculturalRealEstatePortfolioSegmentMembereqh:ZeroToFiftyPercentMember202</w:t>
      </w:r>
      <w:r>
        <w:rPr>
          <w:rFonts w:eastAsia="Times New Roman"/>
          <w:vanish/>
        </w:rPr>
        <w:t>0-09-300001333986eqh:AgriculturalRealEstatePortfolioSegmentMembereqh:FiftyToSeventyPercentMember2020-09-300001333986eqh:AgriculturalRealEstatePortfolioSegmentMembereqh:SeventyToNintyPercentMember2020-09-300001333986eqh:MoreThanNintyPercentMembereqh:Agricul</w:t>
      </w:r>
      <w:r>
        <w:rPr>
          <w:rFonts w:eastAsia="Times New Roman"/>
          <w:vanish/>
        </w:rPr>
        <w:t>turalRealEstatePortfolioSegmentMember2020-09-300001333986eqh:ZeroToFiftyPercentMembereqh:TotalMortgagesLoanMember2020-09-300001333986eqh:FiftyToSeventyPercentMembereqh:TotalMortgagesLoanMember2020-09-300001333986eqh:SeventyToNintyPercentMembereqh:TotalMort</w:t>
      </w:r>
      <w:r>
        <w:rPr>
          <w:rFonts w:eastAsia="Times New Roman"/>
          <w:vanish/>
        </w:rPr>
        <w:t>gagesLoanMember2020-09-300001333986eqh:MoreThanNintyPercentMembereqh:TotalMortgagesLoanMember2020-09-300001333986eqh:TotalMortgagesLoanMember2020-09-300001333986eqh:RatioGreaterThan2TimesMemberus-gaap:CommercialRealEstatePortfolioSegmentMember2020-09-30000</w:t>
      </w:r>
      <w:r>
        <w:rPr>
          <w:rFonts w:eastAsia="Times New Roman"/>
          <w:vanish/>
        </w:rPr>
        <w:t>1333986eqh:RatioBetween18To2TimesMemberus-gaap:CommercialRealEstatePortfolioSegmentMember2020-09-300001333986us-gaap:CommercialRealEstatePortfolioSegmentMembereqh:RatioBetween15To18TimesMember2020-09-300001333986eqh:RatioBetween12To15TimesMemberus-gaap:Com</w:t>
      </w:r>
      <w:r>
        <w:rPr>
          <w:rFonts w:eastAsia="Times New Roman"/>
          <w:vanish/>
        </w:rPr>
        <w:t>mercialRealEstatePortfolioSegmentMember2020-09-300001333986eqh:RatioBetween1To12TimesMemberus-gaap:CommercialRealEstatePortfolioSegmentMember2020-09-300001333986us-gaap:CommercialRealEstatePortfolioSegmentMembereqh:RatioLessThan1TimesMember2020-09-30000133</w:t>
      </w:r>
      <w:r>
        <w:rPr>
          <w:rFonts w:eastAsia="Times New Roman"/>
          <w:vanish/>
        </w:rPr>
        <w:t>3986eqh:AgriculturalRealEstatePortfolioSegmentMembereqh:RatioGreaterThan2TimesMember2020-09-300001333986eqh:AgriculturalRealEstatePortfolioSegmentMembereqh:RatioBetween18To2TimesMember2020-09-300001333986eqh:AgriculturalRealEstatePortfolioSegmentMembereqh:</w:t>
      </w:r>
      <w:r>
        <w:rPr>
          <w:rFonts w:eastAsia="Times New Roman"/>
          <w:vanish/>
        </w:rPr>
        <w:t>RatioBetween15To18TimesMember2020-09-300001333986eqh:RatioBetween12To15TimesMembereqh:AgriculturalRealEstatePortfolioSegmentMember2020-09-300001333986eqh:RatioBetween1To12TimesMembereqh:AgriculturalRealEstatePortfolioSegmentMember2020-09-300001333986eqh:Ag</w:t>
      </w:r>
      <w:r>
        <w:rPr>
          <w:rFonts w:eastAsia="Times New Roman"/>
          <w:vanish/>
        </w:rPr>
        <w:t>riculturalRealEstatePortfolioSegmentMembereqh:RatioLessThan1TimesMember2020-09-300001333986eqh:RatioGreaterThan2TimesMembereqh:TotalMortgagesLoanMember2020-09-300001333986eqh:RatioBetween18To2TimesMembereqh:TotalMortgagesLoanMember2020-09-300001333986eqh:R</w:t>
      </w:r>
      <w:r>
        <w:rPr>
          <w:rFonts w:eastAsia="Times New Roman"/>
          <w:vanish/>
        </w:rPr>
        <w:t>atioBetween15To18TimesMembereqh:TotalMortgagesLoanMember2020-09-300001333986eqh:RatioBetween12To15TimesMembereqh:TotalMortgagesLoanMember2020-09-300001333986eqh:RatioBetween1To12TimesMembereqh:TotalMortgagesLoanMember2020-09-300001333986eqh:RatioLessThan1T</w:t>
      </w:r>
      <w:r>
        <w:rPr>
          <w:rFonts w:eastAsia="Times New Roman"/>
          <w:vanish/>
        </w:rPr>
        <w:t>imesMembereqh:TotalMortgagesLoanMember2020-09-300001333986eqh:ZeroToFiftyPercentMembereqh:RatioGreaterThan2TimesMemberus-gaap:CommercialRealEstatePortfolioSegmentMember2020-09-300001333986eqh:RatioBetween18To2TimesMembereqh:ZeroToFiftyPercentMemberus-gaap:</w:t>
      </w:r>
      <w:r>
        <w:rPr>
          <w:rFonts w:eastAsia="Times New Roman"/>
          <w:vanish/>
        </w:rPr>
        <w:t>CommercialRealEstatePortfolioSegmentMember2020-09-300001333986eqh:ZeroToFiftyPercentMemberus-gaap:CommercialRealEstatePortfolioSegmentMembereqh:RatioBetween15To18TimesMember2020-09-300001333986eqh:RatioBetween12To15TimesMembereqh:ZeroToFiftyPercentMemberus</w:t>
      </w:r>
      <w:r>
        <w:rPr>
          <w:rFonts w:eastAsia="Times New Roman"/>
          <w:vanish/>
        </w:rPr>
        <w:t>-gaap:CommercialRealEstatePortfolioSegmentMember2020-09-300001333986eqh:RatioBetween1To12TimesMembereqh:ZeroToFiftyPercentMemberus-gaap:CommercialRealEstatePortfolioSegmentMember2020-09-300001333986eqh:ZeroToFiftyPercentMemberus-gaap:CommercialRealEstatePo</w:t>
      </w:r>
      <w:r>
        <w:rPr>
          <w:rFonts w:eastAsia="Times New Roman"/>
          <w:vanish/>
        </w:rPr>
        <w:t>rtfolioSegmentMembereqh:RatioLessThan1TimesMember2020-09-300001333986eqh:FiftyToSeventyPercentMembereqh:RatioGreaterThan2TimesMemberus-gaap:CommercialRealEstatePortfolioSegmentMember2020-09-300001333986eqh:FiftyToSeventyPercentMembereqh:RatioBetween18To2Ti</w:t>
      </w:r>
      <w:r>
        <w:rPr>
          <w:rFonts w:eastAsia="Times New Roman"/>
          <w:vanish/>
        </w:rPr>
        <w:t>mesMemberus-gaap:CommercialRealEstatePortfolioSegmentMember2020-09-300001333986eqh:FiftyToSeventyPercentMemberus-gaap:CommercialRealEstatePortfolioSegmentMembereqh:RatioBetween15To18TimesMember2020-09-300001333986eqh:RatioBetween12To15TimesMembereqh:FiftyT</w:t>
      </w:r>
      <w:r>
        <w:rPr>
          <w:rFonts w:eastAsia="Times New Roman"/>
          <w:vanish/>
        </w:rPr>
        <w:t>oSeventyPercentMemberus-gaap:CommercialRealEstatePortfolioSegmentMember2020-09-300001333986eqh:RatioBetween1To12TimesMembereqh:FiftyToSeventyPercentMemberus-gaap:CommercialRealEstatePortfolioSegmentMember2020-09-300001333986eqh:FiftyToSeventyPercentMemberu</w:t>
      </w:r>
      <w:r>
        <w:rPr>
          <w:rFonts w:eastAsia="Times New Roman"/>
          <w:vanish/>
        </w:rPr>
        <w:t>s-gaap:CommercialRealEstatePortfolioSegmentMembereqh:RatioLessThan1TimesMember2020-09-300001333986eqh:RatioGreaterThan2TimesMemberus-gaap:CommercialRealEstatePortfolioSegmentMembereqh:SeventyToNintyPercentMember2020-09-300001333986eqh:RatioBetween18To2Time</w:t>
      </w:r>
      <w:r>
        <w:rPr>
          <w:rFonts w:eastAsia="Times New Roman"/>
          <w:vanish/>
        </w:rPr>
        <w:t>sMemberus-gaap:CommercialRealEstatePortfolioSegmentMembereqh:SeventyToNintyPercentMember2020-09-300001333986us-gaap:CommercialRealEstatePortfolioSegmentMembereqh:RatioBetween15To18TimesMembereqh:SeventyToNintyPercentMember2020-09-300001333986eqh:RatioBetwe</w:t>
      </w:r>
      <w:r>
        <w:rPr>
          <w:rFonts w:eastAsia="Times New Roman"/>
          <w:vanish/>
        </w:rPr>
        <w:t>en12To15TimesMemberus-gaap:CommercialRealEstatePortfolioSegmentMembereqh:SeventyToNintyPercentMember2020-09-300001333986eqh:RatioBetween1To12TimesMemberus-gaap:CommercialRealEstatePortfolioSegmentMembereqh:SeventyToNintyPercentMember2020-09-300001333986us-</w:t>
      </w:r>
      <w:r>
        <w:rPr>
          <w:rFonts w:eastAsia="Times New Roman"/>
          <w:vanish/>
        </w:rPr>
        <w:t>gaap:CommercialRealEstatePortfolioSegmentMembereqh:RatioLessThan1TimesMembereqh:SeventyToNintyPercentMember2020-09-300001333986eqh:MoreThanNintyPercentMembereqh:RatioGreaterThan2TimesMemberus-gaap:CommercialRealEstatePortfolioSegmentMember2020-09-300001333</w:t>
      </w:r>
      <w:r>
        <w:rPr>
          <w:rFonts w:eastAsia="Times New Roman"/>
          <w:vanish/>
        </w:rPr>
        <w:t>986eqh:MoreThanNintyPercentMembereqh:RatioBetween18To2TimesMemberus-gaap:CommercialRealEstatePortfolioSegmentMember2020-09-300001333986eqh:MoreThanNintyPercentMemberus-gaap:CommercialRealEstatePortfolioSegmentMembereqh:RatioBetween15To18TimesMember2020-09-</w:t>
      </w:r>
      <w:r>
        <w:rPr>
          <w:rFonts w:eastAsia="Times New Roman"/>
          <w:vanish/>
        </w:rPr>
        <w:t>300001333986eqh:RatioBetween12To15TimesMembereqh:MoreThanNintyPercentMemberus-gaap:CommercialRealEstatePortfolioSegmentMember2020-09-300001333986eqh:RatioBetween1To12TimesMembereqh:MoreThanNintyPercentMemberus-gaap:CommercialRealEstatePortfolioSegmentMembe</w:t>
      </w:r>
      <w:r>
        <w:rPr>
          <w:rFonts w:eastAsia="Times New Roman"/>
          <w:vanish/>
        </w:rPr>
        <w:t>r2020-09-300001333986eqh:MoreThanNintyPercentMemberus-gaap:CommercialRealEstatePortfolioSegmentMembereqh:RatioLessThan1TimesMember2020-09-300001333986eqh:AgriculturalRealEstatePortfolioSegmentMembereqh:ZeroToFiftyPercentMembereqh:RatioGreaterThan2TimesMemb</w:t>
      </w:r>
      <w:r>
        <w:rPr>
          <w:rFonts w:eastAsia="Times New Roman"/>
          <w:vanish/>
        </w:rPr>
        <w:t>er2020-09-300001333986eqh:AgriculturalRealEstatePortfolioSegmentMembereqh:RatioBetween18To2TimesMembereqh:ZeroToFiftyPercentMember2020-09-300001333986eqh:AgriculturalRealEstatePortfolioSegmentMembereqh:ZeroToFiftyPercentMembereqh:RatioBetween15To18TimesMem</w:t>
      </w:r>
      <w:r>
        <w:rPr>
          <w:rFonts w:eastAsia="Times New Roman"/>
          <w:vanish/>
        </w:rPr>
        <w:t>ber2020-09-300001333986eqh:RatioBetween12To15TimesMembereqh:AgriculturalRealEstatePortfolioSegmentMembereqh:ZeroToFiftyPercentMember2020-09-300001333986eqh:RatioBetween1To12TimesMembereqh:AgriculturalRealEstatePortfolioSegmentMembereqh:ZeroToFiftyPercentMe</w:t>
      </w:r>
      <w:r>
        <w:rPr>
          <w:rFonts w:eastAsia="Times New Roman"/>
          <w:vanish/>
        </w:rPr>
        <w:t>mber2020-09-300001333986eqh:AgriculturalRealEstatePortfolioSegmentMembereqh:ZeroToFiftyPercentMembereqh:RatioLessThan1TimesMember2020-09-300001333986eqh:AgriculturalRealEstatePortfolioSegmentMembereqh:FiftyToSeventyPercentMembereqh:RatioGreaterThan2TimesMe</w:t>
      </w:r>
      <w:r>
        <w:rPr>
          <w:rFonts w:eastAsia="Times New Roman"/>
          <w:vanish/>
        </w:rPr>
        <w:t>mber2020-09-300001333986eqh:AgriculturalRealEstatePortfolioSegmentMembereqh:FiftyToSeventyPercentMembereqh:RatioBetween18To2TimesMember2020-09-300001333986eqh:AgriculturalRealEstatePortfolioSegmentMembereqh:FiftyToSeventyPercentMembereqh:RatioBetween15To18</w:t>
      </w:r>
      <w:r>
        <w:rPr>
          <w:rFonts w:eastAsia="Times New Roman"/>
          <w:vanish/>
        </w:rPr>
        <w:t>TimesMember2020-09-300001333986eqh:RatioBetween12To15TimesMembereqh:AgriculturalRealEstatePortfolioSegmentMembereqh:FiftyToSeventyPercentMember2020-09-300001333986eqh:RatioBetween1To12TimesMembereqh:AgriculturalRealEstatePortfolioSegmentMembereqh:FiftyToSe</w:t>
      </w:r>
      <w:r>
        <w:rPr>
          <w:rFonts w:eastAsia="Times New Roman"/>
          <w:vanish/>
        </w:rPr>
        <w:t>ventyPercentMember2020-09-300001333986eqh:AgriculturalRealEstatePortfolioSegmentMembereqh:FiftyToSeventyPercentMembereqh:RatioLessThan1TimesMember2020-09-300001333986eqh:AgriculturalRealEstatePortfolioSegmentMembereqh:RatioGreaterThan2TimesMembereqh:Sevent</w:t>
      </w:r>
      <w:r>
        <w:rPr>
          <w:rFonts w:eastAsia="Times New Roman"/>
          <w:vanish/>
        </w:rPr>
        <w:t>yToNintyPercentMember2020-09-300001333986eqh:AgriculturalRealEstatePortfolioSegmentMembereqh:RatioBetween18To2TimesMembereqh:SeventyToNintyPercentMember2020-09-300001333986eqh:AgriculturalRealEstatePortfolioSegmentMembereqh:RatioBetween15To18TimesMembereqh</w:t>
      </w:r>
      <w:r>
        <w:rPr>
          <w:rFonts w:eastAsia="Times New Roman"/>
          <w:vanish/>
        </w:rPr>
        <w:t>:SeventyToNintyPercentMember2020-09-300001333986eqh:RatioBetween12To15TimesMembereqh:AgriculturalRealEstatePortfolioSegmentMembereqh:SeventyToNintyPercentMember2020-09-300001333986eqh:RatioBetween1To12TimesMembereqh:AgriculturalRealEstatePortfolioSegmentMe</w:t>
      </w:r>
      <w:r>
        <w:rPr>
          <w:rFonts w:eastAsia="Times New Roman"/>
          <w:vanish/>
        </w:rPr>
        <w:t>mbereqh:SeventyToNintyPercentMember2020-09-300001333986eqh:AgriculturalRealEstatePortfolioSegmentMembereqh:RatioLessThan1TimesMembereqh:SeventyToNintyPercentMember2020-09-300001333986eqh:MoreThanNintyPercentMembereqh:AgriculturalRealEstatePortfolioSegmentM</w:t>
      </w:r>
      <w:r>
        <w:rPr>
          <w:rFonts w:eastAsia="Times New Roman"/>
          <w:vanish/>
        </w:rPr>
        <w:t>embereqh:RatioGreaterThan2TimesMember2020-09-300001333986eqh:MoreThanNintyPercentMembereqh:AgriculturalRealEstatePortfolioSegmentMembereqh:RatioBetween18To2TimesMember2020-09-300001333986eqh:MoreThanNintyPercentMembereqh:AgriculturalRealEstatePortfolioSegm</w:t>
      </w:r>
      <w:r>
        <w:rPr>
          <w:rFonts w:eastAsia="Times New Roman"/>
          <w:vanish/>
        </w:rPr>
        <w:t>entMembereqh:RatioBetween15To18TimesMember2020-09-300001333986eqh:RatioBetween12To15TimesMembereqh:MoreThanNintyPercentMembereqh:AgriculturalRealEstatePortfolioSegmentMember2020-09-300001333986eqh:RatioBetween1To12TimesMembereqh:MoreThanNintyPercentMembere</w:t>
      </w:r>
      <w:r>
        <w:rPr>
          <w:rFonts w:eastAsia="Times New Roman"/>
          <w:vanish/>
        </w:rPr>
        <w:t>qh:AgriculturalRealEstatePortfolioSegmentMember2020-09-300001333986eqh:MoreThanNintyPercentMembereqh:AgriculturalRealEstatePortfolioSegmentMembereqh:RatioLessThan1TimesMember2020-09-300001333986eqh:ZeroToFiftyPercentMembereqh:RatioGreaterThan2TimesMembereq</w:t>
      </w:r>
      <w:r>
        <w:rPr>
          <w:rFonts w:eastAsia="Times New Roman"/>
          <w:vanish/>
        </w:rPr>
        <w:t>h:TotalMortgagesLoanMember2020-09-300001333986eqh:RatioBetween18To2TimesMembereqh:ZeroToFiftyPercentMembereqh:TotalMortgagesLoanMember2020-09-300001333986eqh:ZeroToFiftyPercentMembereqh:RatioBetween15To18TimesMembereqh:TotalMortgagesLoanMember2020-09-30000</w:t>
      </w:r>
      <w:r>
        <w:rPr>
          <w:rFonts w:eastAsia="Times New Roman"/>
          <w:vanish/>
        </w:rPr>
        <w:t>1333986eqh:RatioBetween12To15TimesMembereqh:ZeroToFiftyPercentMembereqh:TotalMortgagesLoanMember2020-09-300001333986eqh:RatioBetween1To12TimesMembereqh:ZeroToFiftyPercentMembereqh:TotalMortgagesLoanMember2020-09-300001333986eqh:ZeroToFiftyPercentMembereqh:</w:t>
      </w:r>
      <w:r>
        <w:rPr>
          <w:rFonts w:eastAsia="Times New Roman"/>
          <w:vanish/>
        </w:rPr>
        <w:t>RatioLessThan1TimesMembereqh:TotalMortgagesLoanMember2020-09-300001333986eqh:FiftyToSeventyPercentMembereqh:RatioGreaterThan2TimesMembereqh:TotalMortgagesLoanMember2020-09-300001333986eqh:FiftyToSeventyPercentMembereqh:RatioBetween18To2TimesMembereqh:Total</w:t>
      </w:r>
      <w:r>
        <w:rPr>
          <w:rFonts w:eastAsia="Times New Roman"/>
          <w:vanish/>
        </w:rPr>
        <w:t>MortgagesLoanMember2020-09-300001333986eqh:FiftyToSeventyPercentMembereqh:RatioBetween15To18TimesMembereqh:TotalMortgagesLoanMember2020-09-300001333986eqh:RatioBetween12To15TimesMembereqh:FiftyToSeventyPercentMembereqh:TotalMortgagesLoanMember2020-09-30000</w:t>
      </w:r>
      <w:r>
        <w:rPr>
          <w:rFonts w:eastAsia="Times New Roman"/>
          <w:vanish/>
        </w:rPr>
        <w:t>1333986eqh:RatioBetween1To12TimesMembereqh:FiftyToSeventyPercentMembereqh:TotalMortgagesLoanMember2020-09-300001333986eqh:FiftyToSeventyPercentMembereqh:RatioLessThan1TimesMembereqh:TotalMortgagesLoanMember2020-09-300001333986eqh:RatioGreaterThan2TimesMemb</w:t>
      </w:r>
      <w:r>
        <w:rPr>
          <w:rFonts w:eastAsia="Times New Roman"/>
          <w:vanish/>
        </w:rPr>
        <w:t>ereqh:SeventyToNintyPercentMembereqh:TotalMortgagesLoanMember2020-09-300001333986eqh:RatioBetween18To2TimesMembereqh:SeventyToNintyPercentMembereqh:TotalMortgagesLoanMember2020-09-300001333986eqh:RatioBetween15To18TimesMembereqh:SeventyToNintyPercentMember</w:t>
      </w:r>
      <w:r>
        <w:rPr>
          <w:rFonts w:eastAsia="Times New Roman"/>
          <w:vanish/>
        </w:rPr>
        <w:t>eqh:TotalMortgagesLoanMember2020-09-300001333986eqh:RatioBetween12To15TimesMembereqh:SeventyToNintyPercentMembereqh:TotalMortgagesLoanMember2020-09-300001333986eqh:RatioBetween1To12TimesMembereqh:SeventyToNintyPercentMembereqh:TotalMortgagesLoanMember2020-</w:t>
      </w:r>
      <w:r>
        <w:rPr>
          <w:rFonts w:eastAsia="Times New Roman"/>
          <w:vanish/>
        </w:rPr>
        <w:t>09-300001333986eqh:RatioLessThan1TimesMembereqh:SeventyToNintyPercentMembereqh:TotalMortgagesLoanMember2020-09-300001333986eqh:MoreThanNintyPercentMembereqh:RatioGreaterThan2TimesMembereqh:TotalMortgagesLoanMember2020-09-300001333986eqh:MoreThanNintyPercen</w:t>
      </w:r>
      <w:r>
        <w:rPr>
          <w:rFonts w:eastAsia="Times New Roman"/>
          <w:vanish/>
        </w:rPr>
        <w:t>tMembereqh:RatioBetween18To2TimesMembereqh:TotalMortgagesLoanMember2020-09-300001333986eqh:MoreThanNintyPercentMembereqh:RatioBetween15To18TimesMembereqh:TotalMortgagesLoanMember2020-09-300001333986eqh:RatioBetween12To15TimesMembereqh:MoreThanNintyPercentM</w:t>
      </w:r>
      <w:r>
        <w:rPr>
          <w:rFonts w:eastAsia="Times New Roman"/>
          <w:vanish/>
        </w:rPr>
        <w:t>embereqh:TotalMortgagesLoanMember2020-09-300001333986eqh:RatioBetween1To12TimesMembereqh:MoreThanNintyPercentMembereqh:TotalMortgagesLoanMember2020-09-300001333986eqh:MoreThanNintyPercentMembereqh:RatioLessThan1TimesMembereqh:TotalMortgagesLoanMember2020-0</w:t>
      </w:r>
      <w:r>
        <w:rPr>
          <w:rFonts w:eastAsia="Times New Roman"/>
          <w:vanish/>
        </w:rPr>
        <w:t>9-300001333986eqh:ZeroToFiftyPercentMembereqh:RatioGreaterThan2TimesMemberus-gaap:CommercialRealEstatePortfolioSegmentMember2019-12-310001333986eqh:RatioBetween18To2TimesMembereqh:ZeroToFiftyPercentMemberus-gaap:CommercialRealEstatePortfolioSegmentMember20</w:t>
      </w:r>
      <w:r>
        <w:rPr>
          <w:rFonts w:eastAsia="Times New Roman"/>
          <w:vanish/>
        </w:rPr>
        <w:t>19-12-310001333986eqh:ZeroToFiftyPercentMemberus-gaap:CommercialRealEstatePortfolioSegmentMembereqh:RatioBetween15To18TimesMember2019-12-310001333986eqh:RatioBetween12To15TimesMembereqh:ZeroToFiftyPercentMemberus-gaap:CommercialRealEstatePortfolioSegmentMe</w:t>
      </w:r>
      <w:r>
        <w:rPr>
          <w:rFonts w:eastAsia="Times New Roman"/>
          <w:vanish/>
        </w:rPr>
        <w:t>mber2019-12-310001333986eqh:RatioBetween1To12TimesMembereqh:ZeroToFiftyPercentMemberus-gaap:CommercialRealEstatePortfolioSegmentMember2019-12-310001333986eqh:ZeroToFiftyPercentMemberus-gaap:CommercialRealEstatePortfolioSegmentMembereqh:RatioLessThan1TimesM</w:t>
      </w:r>
      <w:r>
        <w:rPr>
          <w:rFonts w:eastAsia="Times New Roman"/>
          <w:vanish/>
        </w:rPr>
        <w:t>ember2019-12-310001333986eqh:ZeroToFiftyPercentMemberus-gaap:CommercialRealEstatePortfolioSegmentMember2019-12-310001333986eqh:FiftyToSeventyPercentMembereqh:RatioGreaterThan2TimesMemberus-gaap:CommercialRealEstatePortfolioSegmentMember2019-12-310001333986</w:t>
      </w:r>
      <w:r>
        <w:rPr>
          <w:rFonts w:eastAsia="Times New Roman"/>
          <w:vanish/>
        </w:rPr>
        <w:t>eqh:FiftyToSeventyPercentMembereqh:RatioBetween18To2TimesMemberus-gaap:CommercialRealEstatePortfolioSegmentMember2019-12-310001333986eqh:FiftyToSeventyPercentMemberus-gaap:CommercialRealEstatePortfolioSegmentMembereqh:RatioBetween15To18TimesMember2019-12-3</w:t>
      </w:r>
      <w:r>
        <w:rPr>
          <w:rFonts w:eastAsia="Times New Roman"/>
          <w:vanish/>
        </w:rPr>
        <w:t>10001333986eqh:RatioBetween12To15TimesMembereqh:FiftyToSeventyPercentMemberus-gaap:CommercialRealEstatePortfolioSegmentMember2019-12-310001333986eqh:RatioBetween1To12TimesMembereqh:FiftyToSeventyPercentMemberus-gaap:CommercialRealEstatePortfolioSegmentMemb</w:t>
      </w:r>
      <w:r>
        <w:rPr>
          <w:rFonts w:eastAsia="Times New Roman"/>
          <w:vanish/>
        </w:rPr>
        <w:t>er2019-12-310001333986eqh:FiftyToSeventyPercentMemberus-gaap:CommercialRealEstatePortfolioSegmentMembereqh:RatioLessThan1TimesMember2019-12-310001333986eqh:FiftyToSeventyPercentMemberus-gaap:CommercialRealEstatePortfolioSegmentMember2019-12-310001333986eqh</w:t>
      </w:r>
      <w:r>
        <w:rPr>
          <w:rFonts w:eastAsia="Times New Roman"/>
          <w:vanish/>
        </w:rPr>
        <w:t>:RatioGreaterThan2TimesMemberus-gaap:CommercialRealEstatePortfolioSegmentMembereqh:SeventyToNintyPercentMember2019-12-310001333986eqh:RatioBetween18To2TimesMemberus-gaap:CommercialRealEstatePortfolioSegmentMembereqh:SeventyToNintyPercentMember2019-12-31000</w:t>
      </w:r>
      <w:r>
        <w:rPr>
          <w:rFonts w:eastAsia="Times New Roman"/>
          <w:vanish/>
        </w:rPr>
        <w:t>1333986us-gaap:CommercialRealEstatePortfolioSegmentMembereqh:RatioBetween15To18TimesMembereqh:SeventyToNintyPercentMember2019-12-310001333986eqh:RatioBetween12To15TimesMemberus-gaap:CommercialRealEstatePortfolioSegmentMembereqh:SeventyToNintyPercentMember2</w:t>
      </w:r>
      <w:r>
        <w:rPr>
          <w:rFonts w:eastAsia="Times New Roman"/>
          <w:vanish/>
        </w:rPr>
        <w:t>019-12-310001333986eqh:RatioBetween1To12TimesMemberus-gaap:CommercialRealEstatePortfolioSegmentMembereqh:SeventyToNintyPercentMember2019-12-310001333986us-gaap:CommercialRealEstatePortfolioSegmentMembereqh:RatioLessThan1TimesMembereqh:SeventyToNintyPercent</w:t>
      </w:r>
      <w:r>
        <w:rPr>
          <w:rFonts w:eastAsia="Times New Roman"/>
          <w:vanish/>
        </w:rPr>
        <w:t>Member2019-12-310001333986us-gaap:CommercialRealEstatePortfolioSegmentMembereqh:SeventyToNintyPercentMember2019-12-310001333986eqh:MoreThanNintyPercentMembereqh:RatioGreaterThan2TimesMemberus-gaap:CommercialRealEstatePortfolioSegmentMember2019-12-310001333</w:t>
      </w:r>
      <w:r>
        <w:rPr>
          <w:rFonts w:eastAsia="Times New Roman"/>
          <w:vanish/>
        </w:rPr>
        <w:t>986eqh:MoreThanNintyPercentMembereqh:RatioBetween18To2TimesMemberus-gaap:CommercialRealEstatePortfolioSegmentMember2019-12-310001333986eqh:MoreThanNintyPercentMemberus-gaap:CommercialRealEstatePortfolioSegmentMembereqh:RatioBetween15To18TimesMember2019-12-</w:t>
      </w:r>
      <w:r>
        <w:rPr>
          <w:rFonts w:eastAsia="Times New Roman"/>
          <w:vanish/>
        </w:rPr>
        <w:t>310001333986eqh:RatioBetween12To15TimesMembereqh:MoreThanNintyPercentMemberus-gaap:CommercialRealEstatePortfolioSegmentMember2019-12-310001333986eqh:RatioBetween1To12TimesMembereqh:MoreThanNintyPercentMemberus-gaap:CommercialRealEstatePortfolioSegmentMembe</w:t>
      </w:r>
      <w:r>
        <w:rPr>
          <w:rFonts w:eastAsia="Times New Roman"/>
          <w:vanish/>
        </w:rPr>
        <w:t>r2019-12-310001333986eqh:MoreThanNintyPercentMemberus-gaap:CommercialRealEstatePortfolioSegmentMembereqh:RatioLessThan1TimesMember2019-12-310001333986eqh:MoreThanNintyPercentMemberus-gaap:CommercialRealEstatePortfolioSegmentMember2019-12-310001333986eqh:Ra</w:t>
      </w:r>
      <w:r>
        <w:rPr>
          <w:rFonts w:eastAsia="Times New Roman"/>
          <w:vanish/>
        </w:rPr>
        <w:t>tioGreaterThan2TimesMemberus-gaap:CommercialRealEstatePortfolioSegmentMember2019-12-310001333986eqh:RatioBetween18To2TimesMemberus-gaap:CommercialRealEstatePortfolioSegmentMember2019-12-310001333986us-gaap:CommercialRealEstatePortfolioSegmentMembereqh:Rati</w:t>
      </w:r>
      <w:r>
        <w:rPr>
          <w:rFonts w:eastAsia="Times New Roman"/>
          <w:vanish/>
        </w:rPr>
        <w:t>oBetween15To18TimesMember2019-12-310001333986eqh:RatioBetween12To15TimesMemberus-gaap:CommercialRealEstatePortfolioSegmentMember2019-12-310001333986eqh:RatioBetween1To12TimesMemberus-gaap:CommercialRealEstatePortfolioSegmentMember2019-12-310001333986us-gaa</w:t>
      </w:r>
      <w:r>
        <w:rPr>
          <w:rFonts w:eastAsia="Times New Roman"/>
          <w:vanish/>
        </w:rPr>
        <w:t>p:CommercialRealEstatePortfolioSegmentMembereqh:RatioLessThan1TimesMember2019-12-310001333986eqh:AgriculturalRealEstatePortfolioSegmentMembereqh:ZeroToFiftyPercentMembereqh:RatioGreaterThan2TimesMember2019-12-310001333986eqh:AgriculturalRealEstatePortfolio</w:t>
      </w:r>
      <w:r>
        <w:rPr>
          <w:rFonts w:eastAsia="Times New Roman"/>
          <w:vanish/>
        </w:rPr>
        <w:t>SegmentMembereqh:RatioBetween18To2TimesMembereqh:ZeroToFiftyPercentMember2019-12-310001333986eqh:AgriculturalRealEstatePortfolioSegmentMembereqh:ZeroToFiftyPercentMembereqh:RatioBetween15To18TimesMember2019-12-310001333986eqh:RatioBetween12To15TimesMembere</w:t>
      </w:r>
      <w:r>
        <w:rPr>
          <w:rFonts w:eastAsia="Times New Roman"/>
          <w:vanish/>
        </w:rPr>
        <w:t>qh:AgriculturalRealEstatePortfolioSegmentMembereqh:ZeroToFiftyPercentMember2019-12-310001333986eqh:RatioBetween1To12TimesMembereqh:AgriculturalRealEstatePortfolioSegmentMembereqh:ZeroToFiftyPercentMember2019-12-310001333986eqh:AgriculturalRealEstatePortfol</w:t>
      </w:r>
      <w:r>
        <w:rPr>
          <w:rFonts w:eastAsia="Times New Roman"/>
          <w:vanish/>
        </w:rPr>
        <w:t>ioSegmentMembereqh:ZeroToFiftyPercentMembereqh:RatioLessThan1TimesMember2019-12-310001333986eqh:AgriculturalRealEstatePortfolioSegmentMembereqh:ZeroToFiftyPercentMember2019-12-310001333986eqh:AgriculturalRealEstatePortfolioSegmentMembereqh:FiftyToSeventyPe</w:t>
      </w:r>
      <w:r>
        <w:rPr>
          <w:rFonts w:eastAsia="Times New Roman"/>
          <w:vanish/>
        </w:rPr>
        <w:t>rcentMembereqh:RatioGreaterThan2TimesMember2019-12-310001333986eqh:AgriculturalRealEstatePortfolioSegmentMembereqh:FiftyToSeventyPercentMembereqh:RatioBetween18To2TimesMember2019-12-310001333986eqh:AgriculturalRealEstatePortfolioSegmentMembereqh:FiftyToSev</w:t>
      </w:r>
      <w:r>
        <w:rPr>
          <w:rFonts w:eastAsia="Times New Roman"/>
          <w:vanish/>
        </w:rPr>
        <w:t>entyPercentMembereqh:RatioBetween15To18TimesMember2019-12-310001333986eqh:RatioBetween12To15TimesMembereqh:AgriculturalRealEstatePortfolioSegmentMembereqh:FiftyToSeventyPercentMember2019-12-310001333986eqh:RatioBetween1To12TimesMembereqh:AgriculturalRealEs</w:t>
      </w:r>
      <w:r>
        <w:rPr>
          <w:rFonts w:eastAsia="Times New Roman"/>
          <w:vanish/>
        </w:rPr>
        <w:t>tatePortfolioSegmentMembereqh:FiftyToSeventyPercentMember2019-12-310001333986eqh:AgriculturalRealEstatePortfolioSegmentMembereqh:FiftyToSeventyPercentMembereqh:RatioLessThan1TimesMember2019-12-310001333986eqh:AgriculturalRealEstatePortfolioSegmentMembereqh</w:t>
      </w:r>
      <w:r>
        <w:rPr>
          <w:rFonts w:eastAsia="Times New Roman"/>
          <w:vanish/>
        </w:rPr>
        <w:t>:FiftyToSeventyPercentMember2019-12-310001333986eqh:AgriculturalRealEstatePortfolioSegmentMembereqh:RatioGreaterThan2TimesMembereqh:SeventyToNintyPercentMember2019-12-310001333986eqh:AgriculturalRealEstatePortfolioSegmentMembereqh:RatioBetween18To2TimesMem</w:t>
      </w:r>
      <w:r>
        <w:rPr>
          <w:rFonts w:eastAsia="Times New Roman"/>
          <w:vanish/>
        </w:rPr>
        <w:t>bereqh:SeventyToNintyPercentMember2019-12-310001333986eqh:AgriculturalRealEstatePortfolioSegmentMembereqh:RatioBetween15To18TimesMembereqh:SeventyToNintyPercentMember2019-12-310001333986eqh:RatioBetween12To15TimesMembereqh:AgriculturalRealEstatePortfolioSe</w:t>
      </w:r>
      <w:r>
        <w:rPr>
          <w:rFonts w:eastAsia="Times New Roman"/>
          <w:vanish/>
        </w:rPr>
        <w:t>gmentMembereqh:SeventyToNintyPercentMember2019-12-310001333986eqh:RatioBetween1To12TimesMembereqh:AgriculturalRealEstatePortfolioSegmentMembereqh:SeventyToNintyPercentMember2019-12-310001333986eqh:AgriculturalRealEstatePortfolioSegmentMembereqh:RatioLessTh</w:t>
      </w:r>
      <w:r>
        <w:rPr>
          <w:rFonts w:eastAsia="Times New Roman"/>
          <w:vanish/>
        </w:rPr>
        <w:t>an1TimesMembereqh:SeventyToNintyPercentMember2019-12-310001333986eqh:AgriculturalRealEstatePortfolioSegmentMembereqh:SeventyToNintyPercentMember2019-12-310001333986eqh:MoreThanNintyPercentMembereqh:AgriculturalRealEstatePortfolioSegmentMembereqh:RatioGreat</w:t>
      </w:r>
      <w:r>
        <w:rPr>
          <w:rFonts w:eastAsia="Times New Roman"/>
          <w:vanish/>
        </w:rPr>
        <w:t>erThan2TimesMember2019-12-310001333986eqh:MoreThanNintyPercentMembereqh:AgriculturalRealEstatePortfolioSegmentMembereqh:RatioBetween18To2TimesMember2019-12-310001333986eqh:MoreThanNintyPercentMembereqh:AgriculturalRealEstatePortfolioSegmentMembereqh:RatioB</w:t>
      </w:r>
      <w:r>
        <w:rPr>
          <w:rFonts w:eastAsia="Times New Roman"/>
          <w:vanish/>
        </w:rPr>
        <w:t>etween15To18TimesMember2019-12-310001333986eqh:RatioBetween12To15TimesMembereqh:MoreThanNintyPercentMembereqh:AgriculturalRealEstatePortfolioSegmentMember2019-12-310001333986eqh:RatioBetween1To12TimesMembereqh:MoreThanNintyPercentMembereqh:AgriculturalReal</w:t>
      </w:r>
      <w:r>
        <w:rPr>
          <w:rFonts w:eastAsia="Times New Roman"/>
          <w:vanish/>
        </w:rPr>
        <w:t>EstatePortfolioSegmentMember2019-12-310001333986eqh:MoreThanNintyPercentMembereqh:AgriculturalRealEstatePortfolioSegmentMembereqh:RatioLessThan1TimesMember2019-12-310001333986eqh:MoreThanNintyPercentMembereqh:AgriculturalRealEstatePortfolioSegmentMember201</w:t>
      </w:r>
      <w:r>
        <w:rPr>
          <w:rFonts w:eastAsia="Times New Roman"/>
          <w:vanish/>
        </w:rPr>
        <w:t>9-12-310001333986eqh:AgriculturalRealEstatePortfolioSegmentMembereqh:RatioGreaterThan2TimesMember2019-12-310001333986eqh:AgriculturalRealEstatePortfolioSegmentMembereqh:RatioBetween18To2TimesMember2019-12-310001333986eqh:AgriculturalRealEstatePortfolioSegm</w:t>
      </w:r>
      <w:r>
        <w:rPr>
          <w:rFonts w:eastAsia="Times New Roman"/>
          <w:vanish/>
        </w:rPr>
        <w:t>entMembereqh:RatioBetween15To18TimesMember2019-12-310001333986eqh:RatioBetween12To15TimesMembereqh:AgriculturalRealEstatePortfolioSegmentMember2019-12-310001333986eqh:RatioBetween1To12TimesMembereqh:AgriculturalRealEstatePortfolioSegmentMember2019-12-31000</w:t>
      </w:r>
      <w:r>
        <w:rPr>
          <w:rFonts w:eastAsia="Times New Roman"/>
          <w:vanish/>
        </w:rPr>
        <w:t>1333986eqh:AgriculturalRealEstatePortfolioSegmentMembereqh:RatioLessThan1TimesMember2019-12-310001333986eqh:ZeroToFiftyPercentMembereqh:RatioGreaterThan2TimesMembereqh:TotalMortgagesLoanMember2019-12-310001333986eqh:RatioBetween18To2TimesMembereqh:ZeroToFi</w:t>
      </w:r>
      <w:r>
        <w:rPr>
          <w:rFonts w:eastAsia="Times New Roman"/>
          <w:vanish/>
        </w:rPr>
        <w:t>ftyPercentMembereqh:TotalMortgagesLoanMember2019-12-310001333986eqh:ZeroToFiftyPercentMembereqh:RatioBetween15To18TimesMembereqh:TotalMortgagesLoanMember2019-12-310001333986eqh:RatioBetween12To15TimesMembereqh:ZeroToFiftyPercentMembereqh:TotalMortgagesLoan</w:t>
      </w:r>
      <w:r>
        <w:rPr>
          <w:rFonts w:eastAsia="Times New Roman"/>
          <w:vanish/>
        </w:rPr>
        <w:t>Member2019-12-310001333986eqh:RatioBetween1To12TimesMembereqh:ZeroToFiftyPercentMembereqh:TotalMortgagesLoanMember2019-12-310001333986eqh:ZeroToFiftyPercentMembereqh:RatioLessThan1TimesMembereqh:TotalMortgagesLoanMember2019-12-310001333986eqh:ZeroToFiftyPe</w:t>
      </w:r>
      <w:r>
        <w:rPr>
          <w:rFonts w:eastAsia="Times New Roman"/>
          <w:vanish/>
        </w:rPr>
        <w:t>rcentMembereqh:TotalMortgagesLoanMember2019-12-310001333986eqh:FiftyToSeventyPercentMembereqh:RatioGreaterThan2TimesMembereqh:TotalMortgagesLoanMember2019-12-310001333986eqh:FiftyToSeventyPercentMembereqh:RatioBetween18To2TimesMembereqh:TotalMortgagesLoanM</w:t>
      </w:r>
      <w:r>
        <w:rPr>
          <w:rFonts w:eastAsia="Times New Roman"/>
          <w:vanish/>
        </w:rPr>
        <w:t>ember2019-12-310001333986eqh:FiftyToSeventyPercentMembereqh:RatioBetween15To18TimesMembereqh:TotalMortgagesLoanMember2019-12-310001333986eqh:RatioBetween12To15TimesMembereqh:FiftyToSeventyPercentMembereqh:TotalMortgagesLoanMember2019-12-310001333986eqh:Rat</w:t>
      </w:r>
      <w:r>
        <w:rPr>
          <w:rFonts w:eastAsia="Times New Roman"/>
          <w:vanish/>
        </w:rPr>
        <w:t>ioBetween1To12TimesMembereqh:FiftyToSeventyPercentMembereqh:TotalMortgagesLoanMember2019-12-310001333986eqh:FiftyToSeventyPercentMembereqh:RatioLessThan1TimesMembereqh:TotalMortgagesLoanMember2019-12-310001333986eqh:FiftyToSeventyPercentMembereqh:TotalMort</w:t>
      </w:r>
      <w:r>
        <w:rPr>
          <w:rFonts w:eastAsia="Times New Roman"/>
          <w:vanish/>
        </w:rPr>
        <w:t>gagesLoanMember2019-12-310001333986eqh:RatioGreaterThan2TimesMembereqh:SeventyToNintyPercentMembereqh:TotalMortgagesLoanMember2019-12-310001333986eqh:RatioBetween18To2TimesMembereqh:SeventyToNintyPercentMembereqh:TotalMortgagesLoanMember2019-12-31000133398</w:t>
      </w:r>
      <w:r>
        <w:rPr>
          <w:rFonts w:eastAsia="Times New Roman"/>
          <w:vanish/>
        </w:rPr>
        <w:t>6eqh:RatioBetween15To18TimesMembereqh:SeventyToNintyPercentMembereqh:TotalMortgagesLoanMember2019-12-310001333986eqh:RatioBetween12To15TimesMembereqh:SeventyToNintyPercentMembereqh:TotalMortgagesLoanMember2019-12-310001333986eqh:RatioBetween1To12TimesMembe</w:t>
      </w:r>
      <w:r>
        <w:rPr>
          <w:rFonts w:eastAsia="Times New Roman"/>
          <w:vanish/>
        </w:rPr>
        <w:t>reqh:SeventyToNintyPercentMembereqh:TotalMortgagesLoanMember2019-12-310001333986eqh:RatioLessThan1TimesMembereqh:SeventyToNintyPercentMembereqh:TotalMortgagesLoanMember2019-12-310001333986eqh:SeventyToNintyPercentMembereqh:TotalMortgagesLoanMember2019-12-3</w:t>
      </w:r>
      <w:r>
        <w:rPr>
          <w:rFonts w:eastAsia="Times New Roman"/>
          <w:vanish/>
        </w:rPr>
        <w:t>10001333986eqh:MoreThanNintyPercentMembereqh:RatioGreaterThan2TimesMembereqh:TotalMortgagesLoanMember2019-12-310001333986eqh:MoreThanNintyPercentMembereqh:RatioBetween18To2TimesMembereqh:TotalMortgagesLoanMember2019-12-310001333986eqh:MoreThanNintyPercentM</w:t>
      </w:r>
      <w:r>
        <w:rPr>
          <w:rFonts w:eastAsia="Times New Roman"/>
          <w:vanish/>
        </w:rPr>
        <w:t>embereqh:RatioBetween15To18TimesMembereqh:TotalMortgagesLoanMember2019-12-310001333986eqh:RatioBetween12To15TimesMembereqh:MoreThanNintyPercentMembereqh:TotalMortgagesLoanMember2019-12-310001333986eqh:RatioBetween1To12TimesMembereqh:MoreThanNintyPercentMem</w:t>
      </w:r>
      <w:r>
        <w:rPr>
          <w:rFonts w:eastAsia="Times New Roman"/>
          <w:vanish/>
        </w:rPr>
        <w:t>bereqh:TotalMortgagesLoanMember2019-12-310001333986eqh:MoreThanNintyPercentMembereqh:RatioLessThan1TimesMembereqh:TotalMortgagesLoanMember2019-12-310001333986eqh:MoreThanNintyPercentMembereqh:TotalMortgagesLoanMember2019-12-310001333986eqh:RatioGreaterThan</w:t>
      </w:r>
      <w:r>
        <w:rPr>
          <w:rFonts w:eastAsia="Times New Roman"/>
          <w:vanish/>
        </w:rPr>
        <w:t>2TimesMembereqh:TotalMortgagesLoanMember2019-12-310001333986eqh:RatioBetween18To2TimesMembereqh:TotalMortgagesLoanMember2019-12-310001333986eqh:RatioBetween15To18TimesMembereqh:TotalMortgagesLoanMember2019-12-310001333986eqh:RatioBetween12To15TimesMembereq</w:t>
      </w:r>
      <w:r>
        <w:rPr>
          <w:rFonts w:eastAsia="Times New Roman"/>
          <w:vanish/>
        </w:rPr>
        <w:t>h:TotalMortgagesLoanMember2019-12-310001333986eqh:RatioBetween1To12TimesMembereqh:TotalMortgagesLoanMember2019-12-310001333986eqh:RatioLessThan1TimesMembereqh:TotalMortgagesLoanMember2019-12-310001333986eqh:TotalMortgagesLoanMember2019-12-310001333986us-ga</w:t>
      </w:r>
      <w:r>
        <w:rPr>
          <w:rFonts w:eastAsia="Times New Roman"/>
          <w:vanish/>
        </w:rPr>
        <w:t>ap:CommercialRealEstatePortfolioSegmentMemberus-gaap:FinancingReceivables30To59DaysPastDueMember2020-09-300001333986us-gaap:CommercialRealEstatePortfolioSegmentMemberus-gaap:FinancingReceivables60To89DaysPastDueMember2020-09-300001333986us-gaap:CommercialR</w:t>
      </w:r>
      <w:r>
        <w:rPr>
          <w:rFonts w:eastAsia="Times New Roman"/>
          <w:vanish/>
        </w:rPr>
        <w:t>ealEstatePortfolioSegmentMemberus-gaap:FinancingReceivablesEqualToGreaterThan90DaysPastDueMember2020-09-300001333986eqh:AgriculturalRealEstatePortfolioSegmentMemberus-gaap:FinancingReceivables30To59DaysPastDueMember2020-09-300001333986eqh:AgriculturalRealE</w:t>
      </w:r>
      <w:r>
        <w:rPr>
          <w:rFonts w:eastAsia="Times New Roman"/>
          <w:vanish/>
        </w:rPr>
        <w:t>statePortfolioSegmentMemberus-gaap:FinancingReceivables60To89DaysPastDueMember2020-09-300001333986eqh:AgriculturalRealEstatePortfolioSegmentMemberus-gaap:FinancingReceivablesEqualToGreaterThan90DaysPastDueMember2020-09-300001333986us-gaap:FinancingReceivab</w:t>
      </w:r>
      <w:r>
        <w:rPr>
          <w:rFonts w:eastAsia="Times New Roman"/>
          <w:vanish/>
        </w:rPr>
        <w:t>les30To59DaysPastDueMembereqh:TotalMortgagesLoanMember2020-09-300001333986us-gaap:FinancingReceivables60To89DaysPastDueMembereqh:TotalMortgagesLoanMember2020-09-300001333986us-gaap:FinancingReceivablesEqualToGreaterThan90DaysPastDueMembereqh:TotalMortgages</w:t>
      </w:r>
      <w:r>
        <w:rPr>
          <w:rFonts w:eastAsia="Times New Roman"/>
          <w:vanish/>
        </w:rPr>
        <w:t>LoanMember2020-09-300001333986eqh:TotalMortgagesLoanMember2020-01-012020-09-300001333986us-gaap:CommercialRealEstatePortfolioSegmentMemberus-gaap:FinancingReceivables30To59DaysPastDueMember2019-12-310001333986us-gaap:CommercialRealEstatePortfolioSegmentMem</w:t>
      </w:r>
      <w:r>
        <w:rPr>
          <w:rFonts w:eastAsia="Times New Roman"/>
          <w:vanish/>
        </w:rPr>
        <w:t>berus-gaap:FinancingReceivables60To89DaysPastDueMember2019-12-310001333986us-gaap:CommercialRealEstatePortfolioSegmentMemberus-gaap:FinancingReceivablesEqualToGreaterThan90DaysPastDueMember2019-12-310001333986us-gaap:CommercialRealEstatePortfolioSegmentMem</w:t>
      </w:r>
      <w:r>
        <w:rPr>
          <w:rFonts w:eastAsia="Times New Roman"/>
          <w:vanish/>
        </w:rPr>
        <w:t>ber2019-01-012019-12-310001333986eqh:AgriculturalRealEstatePortfolioSegmentMemberus-gaap:FinancingReceivables30To59DaysPastDueMember2019-12-310001333986eqh:AgriculturalRealEstatePortfolioSegmentMemberus-gaap:FinancingReceivables60To89DaysPastDueMember2019-</w:t>
      </w:r>
      <w:r>
        <w:rPr>
          <w:rFonts w:eastAsia="Times New Roman"/>
          <w:vanish/>
        </w:rPr>
        <w:t>12-310001333986eqh:AgriculturalRealEstatePortfolioSegmentMemberus-gaap:FinancingReceivablesEqualToGreaterThan90DaysPastDueMember2019-12-310001333986eqh:AgriculturalRealEstatePortfolioSegmentMember2019-01-012019-12-310001333986us-gaap:FinancingReceivables30</w:t>
      </w:r>
      <w:r>
        <w:rPr>
          <w:rFonts w:eastAsia="Times New Roman"/>
          <w:vanish/>
        </w:rPr>
        <w:t>To59DaysPastDueMembereqh:TotalMortgagesLoanMember2019-12-310001333986us-gaap:FinancingReceivables60To89DaysPastDueMembereqh:TotalMortgagesLoanMember2019-12-310001333986us-gaap:FinancingReceivablesEqualToGreaterThan90DaysPastDueMembereqh:TotalMortgagesLoanM</w:t>
      </w:r>
      <w:r>
        <w:rPr>
          <w:rFonts w:eastAsia="Times New Roman"/>
          <w:vanish/>
        </w:rPr>
        <w:t>ember2019-12-310001333986eqh:TotalMortgagesLoanMember2019-01-012019-12-31eqh:numberOfLoan0001333986eqh:PrivatelyNegotiatedFixedMaturityMember2020-01-012020-09-300001333986eqh:PrivatelyNegotiatedFixedMaturityMember2020-09-300001333986us-gaap:FairValueMeasur</w:t>
      </w:r>
      <w:r>
        <w:rPr>
          <w:rFonts w:eastAsia="Times New Roman"/>
          <w:vanish/>
        </w:rPr>
        <w:t>ementsRecurringMember2020-09-300001333986us-gaap:FairValueMeasurementsRecurringMember2019-12-310001333986eqh:EquityContractsFuturesMember2020-09-300001333986eqh:EquityContractsFuturesMember2020-01-012020-09-300001333986us-gaap:EquitySwapMember2020-09-30000</w:t>
      </w:r>
      <w:r>
        <w:rPr>
          <w:rFonts w:eastAsia="Times New Roman"/>
          <w:vanish/>
        </w:rPr>
        <w:t>1333986us-gaap:EquitySwapMember2020-01-012020-09-300001333986us-gaap:StockOptionMember2020-09-300001333986us-gaap:StockOptionMember2020-01-012020-09-300001333986us-gaap:InterestRateSwapMember2020-09-300001333986us-gaap:InterestRateSwapMember2020-01-012020-</w:t>
      </w:r>
      <w:r>
        <w:rPr>
          <w:rFonts w:eastAsia="Times New Roman"/>
          <w:vanish/>
        </w:rPr>
        <w:t>09-300001333986eqh:InterestRateContractsFuturesMember2020-09-300001333986eqh:InterestRateContractsFuturesMember2020-01-012020-09-300001333986us-gaap:InterestRateSwaptionMember2020-09-300001333986us-gaap:InterestRateSwaptionMember2020-01-012020-09-300001333</w:t>
      </w:r>
      <w:r>
        <w:rPr>
          <w:rFonts w:eastAsia="Times New Roman"/>
          <w:vanish/>
        </w:rPr>
        <w:t>986us-gaap:CreditDefaultSwapMember2020-09-300001333986us-gaap:CreditDefaultSwapMember2020-01-012020-09-300001333986us-gaap:ForeignExchangeContractMember2020-09-300001333986us-gaap:ForeignExchangeContractMember2020-01-012020-09-300001333986eqh:MarginMember2</w:t>
      </w:r>
      <w:r>
        <w:rPr>
          <w:rFonts w:eastAsia="Times New Roman"/>
          <w:vanish/>
        </w:rPr>
        <w:t>020-09-300001333986eqh:MarginMember2020-01-012020-09-300001333986us-gaap:CollateralizedSecuritiesMember2020-09-300001333986us-gaap:CollateralizedSecuritiesMember2020-01-012020-09-300001333986eqh:GmibReinsuranceMember2020-09-300001333986eqh:GmibReinsuranceM</w:t>
      </w:r>
      <w:r>
        <w:rPr>
          <w:rFonts w:eastAsia="Times New Roman"/>
          <w:vanish/>
        </w:rPr>
        <w:t>ember2020-01-012020-09-300001333986us-gaap:GuaranteedMinimumWithdrawalBenefitMember2020-09-300001333986us-gaap:GuaranteedMinimumWithdrawalBenefitMember2020-01-012020-09-300001333986eqh:NonGmxbEmbeddedDerivativeInsuranceProductsMember2020-09-300001333986eqh</w:t>
      </w:r>
      <w:r>
        <w:rPr>
          <w:rFonts w:eastAsia="Times New Roman"/>
          <w:vanish/>
        </w:rPr>
        <w:t>:NonGmxbEmbeddedDerivativeInsuranceProductsMember2020-01-012020-09-300001333986eqh:EquityContractsFuturesMember2019-12-310001333986eqh:EquityContractsFuturesMember2019-01-012019-09-300001333986us-gaap:EquitySwapMember2019-12-310001333986us-gaap:EquitySwapM</w:t>
      </w:r>
      <w:r>
        <w:rPr>
          <w:rFonts w:eastAsia="Times New Roman"/>
          <w:vanish/>
        </w:rPr>
        <w:t>ember2019-01-012019-09-300001333986us-gaap:StockOptionMember2019-12-310001333986us-gaap:StockOptionMember2019-01-012019-09-300001333986us-gaap:InterestRateSwapMember2019-12-310001333986us-gaap:InterestRateSwapMember2019-01-012019-09-300001333986eqh:Interes</w:t>
      </w:r>
      <w:r>
        <w:rPr>
          <w:rFonts w:eastAsia="Times New Roman"/>
          <w:vanish/>
        </w:rPr>
        <w:t>tRateContractsFuturesMember2019-12-310001333986eqh:InterestRateContractsFuturesMember2019-01-012019-09-300001333986us-gaap:InterestRateSwaptionMember2019-12-310001333986us-gaap:InterestRateSwaptionMember2019-01-012019-09-300001333986us-gaap:CreditDefaultSw</w:t>
      </w:r>
      <w:r>
        <w:rPr>
          <w:rFonts w:eastAsia="Times New Roman"/>
          <w:vanish/>
        </w:rPr>
        <w:t>apMember2019-12-310001333986us-gaap:CreditDefaultSwapMember2019-01-012019-09-300001333986us-gaap:ForeignExchangeContractMember2019-12-310001333986us-gaap:ForeignExchangeContractMember2019-01-012019-09-300001333986eqh:MarginMember2019-12-310001333986eqh:Mar</w:t>
      </w:r>
      <w:r>
        <w:rPr>
          <w:rFonts w:eastAsia="Times New Roman"/>
          <w:vanish/>
        </w:rPr>
        <w:t>ginMember2019-01-012019-09-300001333986us-gaap:CollateralizedSecuritiesMember2019-12-310001333986us-gaap:CollateralizedSecuritiesMember2019-01-012019-09-300001333986eqh:GmibReinsuranceMember2019-12-310001333986eqh:GmibReinsuranceMember2019-01-012019-09-300</w:t>
      </w:r>
      <w:r>
        <w:rPr>
          <w:rFonts w:eastAsia="Times New Roman"/>
          <w:vanish/>
        </w:rPr>
        <w:t>001333986us-gaap:GuaranteedMinimumWithdrawalBenefitMember2019-12-310001333986us-gaap:GuaranteedMinimumWithdrawalBenefitMember2019-01-012019-09-300001333986eqh:NonGmxbEmbeddedDerivativeInsuranceProductsMember2019-12-310001333986eqh:NonGmxbEmbeddedDerivative</w:t>
      </w:r>
      <w:r>
        <w:rPr>
          <w:rFonts w:eastAsia="Times New Roman"/>
          <w:vanish/>
        </w:rPr>
        <w:t>InsuranceProductsMember2019-01-012019-09-300001333986eqh:Sp500Russell1000Nasdaq100AndEmergingMarketIndicesMember2020-09-300001333986eqh:Sp500Russell1000Nasdaq100AndEmergingMarketIndicesMember2019-12-310001333986eqh:UsTreasuryNotesUltraLongBondsAndEuroDolla</w:t>
      </w:r>
      <w:r>
        <w:rPr>
          <w:rFonts w:eastAsia="Times New Roman"/>
          <w:vanish/>
        </w:rPr>
        <w:t>rMember2020-09-300001333986eqh:UsTreasuryNotesUltraLongBondsAndEuroDollarMember2019-12-310001333986eqh:EuroStoxxFTSE100TopixASX200AndEAFEIndicesMember2020-09-300001333986eqh:EuroStoxxFTSE100TopixASX200AndEAFEIndicesMember2019-12-310001333986us-gaap:Derivat</w:t>
      </w:r>
      <w:r>
        <w:rPr>
          <w:rFonts w:eastAsia="Times New Roman"/>
          <w:vanish/>
        </w:rPr>
        <w:t>iveMember2020-09-300001333986eqh:OtherFinancialInstrumentsMember2020-09-300001333986eqh:OtherInvestedAssetsMember2020-09-300001333986eqh:OtherFinancialLiabilitiesMember2020-09-300001333986us-gaap:OtherLiabilitiesMember2020-09-300001333986us-gaap:Derivative</w:t>
      </w:r>
      <w:r>
        <w:rPr>
          <w:rFonts w:eastAsia="Times New Roman"/>
          <w:vanish/>
        </w:rPr>
        <w:t>Member2019-12-310001333986eqh:OtherFinancialInstrumentsMember2019-12-310001333986eqh:OtherInvestedAssetsMember2019-12-310001333986eqh:OtherFinancialLiabilitiesMember2019-12-310001333986us-gaap:OtherLiabilitiesMember2019-12-310001333986eqh:AllianceBernstein</w:t>
      </w:r>
      <w:r>
        <w:rPr>
          <w:rFonts w:eastAsia="Times New Roman"/>
          <w:vanish/>
        </w:rPr>
        <w:t>Membereqh:InvestmentManagementMember2019-01-012019-12-310001333986eqh:AllianceBernsteinMembereqh:InvestmentManagementMember2020-01-012020-09-300001333986eqh:GMDBDirectMember2020-06-300001333986eqh:GMDBAssumedMember2020-06-300001333986eqh:GMDBCededMember202</w:t>
      </w:r>
      <w:r>
        <w:rPr>
          <w:rFonts w:eastAsia="Times New Roman"/>
          <w:vanish/>
        </w:rPr>
        <w:t>0-06-300001333986eqh:GMIBDirectMember2020-06-300001333986eqh:GMIBAssumedMember2020-06-300001333986eqh:GMIBCededMember2020-06-300001333986eqh:GMDBDirectMember2020-07-012020-09-300001333986eqh:GMDBAssumedMember2020-07-012020-09-300001333986eqh:GMDBCededMembe</w:t>
      </w:r>
      <w:r>
        <w:rPr>
          <w:rFonts w:eastAsia="Times New Roman"/>
          <w:vanish/>
        </w:rPr>
        <w:t>r2020-07-012020-09-300001333986eqh:GMIBDirectMember2020-07-012020-09-300001333986eqh:GMIBAssumedMember2020-07-012020-09-300001333986eqh:GMIBCededMember2020-07-012020-09-300001333986eqh:GMDBDirectMember2020-09-300001333986eqh:GMDBAssumedMember2020-09-300001</w:t>
      </w:r>
      <w:r>
        <w:rPr>
          <w:rFonts w:eastAsia="Times New Roman"/>
          <w:vanish/>
        </w:rPr>
        <w:t>333986eqh:GMDBCededMember2020-09-300001333986eqh:GMIBDirectMember2020-09-300001333986eqh:GMIBAssumedMember2020-09-300001333986eqh:GMIBCededMember2020-09-300001333986eqh:GMDBDirectMember2019-06-300001333986eqh:GMDBAssumedMember2019-06-300001333986eqh:GMDBCe</w:t>
      </w:r>
      <w:r>
        <w:rPr>
          <w:rFonts w:eastAsia="Times New Roman"/>
          <w:vanish/>
        </w:rPr>
        <w:t>dedMember2019-06-300001333986eqh:GMIBDirectMember2019-06-300001333986eqh:GMIBAssumedMember2019-06-300001333986eqh:GMIBCededMember2019-06-300001333986eqh:GMDBDirectMember2019-07-012019-09-300001333986eqh:GMDBAssumedMember2019-07-012019-09-300001333986eqh:GM</w:t>
      </w:r>
      <w:r>
        <w:rPr>
          <w:rFonts w:eastAsia="Times New Roman"/>
          <w:vanish/>
        </w:rPr>
        <w:t>DBCededMember2019-07-012019-09-300001333986eqh:GMIBDirectMember2019-07-012019-09-300001333986eqh:GMIBAssumedMember2019-07-012019-09-300001333986eqh:GMIBCededMember2019-07-012019-09-300001333986eqh:GMDBDirectMember2019-09-300001333986eqh:GMDBAssumedMember20</w:t>
      </w:r>
      <w:r>
        <w:rPr>
          <w:rFonts w:eastAsia="Times New Roman"/>
          <w:vanish/>
        </w:rPr>
        <w:t>19-09-300001333986eqh:GMDBCededMember2019-09-300001333986eqh:GMIBDirectMember2019-09-300001333986eqh:GMIBAssumedMember2019-09-300001333986eqh:GMIBCededMember2019-09-300001333986eqh:GMDBDirectMember2019-12-310001333986eqh:GMDBAssumedMember2019-12-3100013339</w:t>
      </w:r>
      <w:r>
        <w:rPr>
          <w:rFonts w:eastAsia="Times New Roman"/>
          <w:vanish/>
        </w:rPr>
        <w:t>86eqh:GMDBCededMember2019-12-310001333986eqh:GMIBDirectMember2019-12-310001333986eqh:GMIBAssumedMember2019-12-310001333986eqh:GMIBCededMember2019-12-310001333986eqh:GMDBDirectMember2020-01-012020-09-300001333986eqh:GMDBAssumedMember2020-01-012020-09-300001</w:t>
      </w:r>
      <w:r>
        <w:rPr>
          <w:rFonts w:eastAsia="Times New Roman"/>
          <w:vanish/>
        </w:rPr>
        <w:t>333986eqh:GMDBCededMember2020-01-012020-09-300001333986eqh:GMIBDirectMember2020-01-012020-09-300001333986eqh:GMIBAssumedMember2020-01-012020-09-300001333986eqh:GMIBCededMember2020-01-012020-09-300001333986eqh:GMDBDirectMember2018-12-310001333986eqh:GMDBAss</w:t>
      </w:r>
      <w:r>
        <w:rPr>
          <w:rFonts w:eastAsia="Times New Roman"/>
          <w:vanish/>
        </w:rPr>
        <w:t>umedMember2018-12-310001333986eqh:GMDBCededMember2018-12-310001333986eqh:GMIBDirectMember2018-12-310001333986eqh:GMIBAssumedMember2018-12-310001333986eqh:GMIBCededMember2018-12-310001333986eqh:GMDBDirectMember2019-01-012019-09-300001333986eqh:GMDBAssumedMe</w:t>
      </w:r>
      <w:r>
        <w:rPr>
          <w:rFonts w:eastAsia="Times New Roman"/>
          <w:vanish/>
        </w:rPr>
        <w:t>mber2019-01-012019-09-300001333986eqh:GMDBCededMember2019-01-012019-09-300001333986eqh:GMIBDirectMember2019-01-012019-09-300001333986eqh:GMIBAssumedMember2019-01-012019-09-300001333986eqh:GMIBCededMember2019-01-012019-09-300001333986us-gaap:GuaranteedMinim</w:t>
      </w:r>
      <w:r>
        <w:rPr>
          <w:rFonts w:eastAsia="Times New Roman"/>
          <w:vanish/>
        </w:rPr>
        <w:t>umDeathBenefitMemberus-gaap:ImmediateVariableAnnuityMembereqh:ReturnOfPremiumMember2020-09-300001333986us-gaap:GuaranteedMinimumDeathBenefitMemberus-gaap:ImmediateVariableAnnuityMembereqh:RatchetMember2020-09-300001333986eqh:RollUpMemberus-gaap:GuaranteedM</w:t>
      </w:r>
      <w:r>
        <w:rPr>
          <w:rFonts w:eastAsia="Times New Roman"/>
          <w:vanish/>
        </w:rPr>
        <w:t>inimumDeathBenefitMemberus-gaap:ImmediateVariableAnnuityMember2020-09-300001333986eqh:ComboMemberus-gaap:GuaranteedMinimumDeathBenefitMemberus-gaap:ImmediateVariableAnnuityMember2020-09-300001333986us-gaap:GuaranteedMinimumDeathBenefitMemberus-gaap:Immedia</w:t>
      </w:r>
      <w:r>
        <w:rPr>
          <w:rFonts w:eastAsia="Times New Roman"/>
          <w:vanish/>
        </w:rPr>
        <w:t>teVariableAnnuityMember2020-09-300001333986us-gaap:GuaranteedMinimumDeathBenefitMemberus-gaap:ImmediateVariableAnnuityMembereqh:ReturnOfPremiumMember2020-01-012020-09-300001333986us-gaap:GuaranteedMinimumDeathBenefitMemberus-gaap:ImmediateVariableAnnuityMe</w:t>
      </w:r>
      <w:r>
        <w:rPr>
          <w:rFonts w:eastAsia="Times New Roman"/>
          <w:vanish/>
        </w:rPr>
        <w:t>mbereqh:RatchetMember2020-01-012020-09-300001333986eqh:RollUpMemberus-gaap:GuaranteedMinimumDeathBenefitMemberus-gaap:ImmediateVariableAnnuityMember2020-01-012020-09-300001333986eqh:ComboMemberus-gaap:GuaranteedMinimumDeathBenefitMemberus-gaap:ImmediateVar</w:t>
      </w:r>
      <w:r>
        <w:rPr>
          <w:rFonts w:eastAsia="Times New Roman"/>
          <w:vanish/>
        </w:rPr>
        <w:t>iableAnnuityMember2020-01-012020-09-300001333986us-gaap:GuaranteedMinimumDeathBenefitMemberus-gaap:ImmediateVariableAnnuityMember2020-01-012020-09-300001333986us-gaap:ImmediateVariableAnnuityMemberus-gaap:GuaranteedMinimumIncomeBenefitMembereqh:ReturnOfPre</w:t>
      </w:r>
      <w:r>
        <w:rPr>
          <w:rFonts w:eastAsia="Times New Roman"/>
          <w:vanish/>
        </w:rPr>
        <w:t>miumMember2020-09-300001333986us-gaap:ImmediateVariableAnnuityMembereqh:RatchetMemberus-gaap:GuaranteedMinimumIncomeBenefitMember2020-09-300001333986eqh:RollUpMemberus-gaap:ImmediateVariableAnnuityMemberus-gaap:GuaranteedMinimumIncomeBenefitMember2020-09-3</w:t>
      </w:r>
      <w:r>
        <w:rPr>
          <w:rFonts w:eastAsia="Times New Roman"/>
          <w:vanish/>
        </w:rPr>
        <w:t>00001333986eqh:ComboMemberus-gaap:ImmediateVariableAnnuityMemberus-gaap:GuaranteedMinimumIncomeBenefitMember2020-09-300001333986us-gaap:ImmediateVariableAnnuityMemberus-gaap:GuaranteedMinimumIncomeBenefitMember2020-09-300001333986us-gaap:GuaranteedMinimumD</w:t>
      </w:r>
      <w:r>
        <w:rPr>
          <w:rFonts w:eastAsia="Times New Roman"/>
          <w:vanish/>
        </w:rPr>
        <w:t>eathBenefitMemberus-gaap:DeferredVariableAnnuityMembereqh:ReturnOfPremiumMember2020-09-300001333986us-gaap:GuaranteedMinimumDeathBenefitMemberus-gaap:DeferredVariableAnnuityMembereqh:RatchetMember2020-09-300001333986eqh:RollUpMemberus-gaap:GuaranteedMinimu</w:t>
      </w:r>
      <w:r>
        <w:rPr>
          <w:rFonts w:eastAsia="Times New Roman"/>
          <w:vanish/>
        </w:rPr>
        <w:t>mDeathBenefitMemberus-gaap:DeferredVariableAnnuityMember2020-09-300001333986eqh:ComboMemberus-gaap:GuaranteedMinimumDeathBenefitMemberus-gaap:DeferredVariableAnnuityMember2020-09-300001333986us-gaap:GuaranteedMinimumDeathBenefitMemberus-gaap:DeferredVariab</w:t>
      </w:r>
      <w:r>
        <w:rPr>
          <w:rFonts w:eastAsia="Times New Roman"/>
          <w:vanish/>
        </w:rPr>
        <w:t>leAnnuityMember2020-09-300001333986us-gaap:GuaranteedMinimumDeathBenefitMemberus-gaap:DeferredVariableAnnuityMembereqh:ReturnOfPremiumMember2020-01-012020-09-300001333986us-gaap:GuaranteedMinimumDeathBenefitMemberus-gaap:DeferredVariableAnnuityMembereqh:Ra</w:t>
      </w:r>
      <w:r>
        <w:rPr>
          <w:rFonts w:eastAsia="Times New Roman"/>
          <w:vanish/>
        </w:rPr>
        <w:t>tchetMember2020-01-012020-09-300001333986eqh:RollUpMemberus-gaap:GuaranteedMinimumDeathBenefitMemberus-gaap:DeferredVariableAnnuityMember2020-01-012020-09-300001333986eqh:ComboMemberus-gaap:GuaranteedMinimumDeathBenefitMemberus-gaap:DeferredVariableAnnuity</w:t>
      </w:r>
      <w:r>
        <w:rPr>
          <w:rFonts w:eastAsia="Times New Roman"/>
          <w:vanish/>
        </w:rPr>
        <w:t>Member2020-01-012020-09-300001333986us-gaap:GuaranteedMinimumDeathBenefitMemberus-gaap:DeferredVariableAnnuityMember2020-01-012020-09-300001333986us-gaap:DeferredVariableAnnuityMemberus-gaap:GuaranteedMinimumIncomeBenefitMembereqh:ReturnOfPremiumMember2020</w:t>
      </w:r>
      <w:r>
        <w:rPr>
          <w:rFonts w:eastAsia="Times New Roman"/>
          <w:vanish/>
        </w:rPr>
        <w:t>-09-300001333986us-gaap:DeferredVariableAnnuityMembereqh:RatchetMemberus-gaap:GuaranteedMinimumIncomeBenefitMember2020-09-300001333986eqh:RollUpMemberus-gaap:DeferredVariableAnnuityMemberus-gaap:GuaranteedMinimumIncomeBenefitMember2020-09-300001333986eqh:C</w:t>
      </w:r>
      <w:r>
        <w:rPr>
          <w:rFonts w:eastAsia="Times New Roman"/>
          <w:vanish/>
        </w:rPr>
        <w:t>omboMemberus-gaap:DeferredVariableAnnuityMemberus-gaap:GuaranteedMinimumIncomeBenefitMember2020-09-300001333986us-gaap:DeferredVariableAnnuityMemberus-gaap:GuaranteedMinimumIncomeBenefitMember2020-09-300001333986us-gaap:DeferredVariableAnnuityMemberus-gaap</w:t>
      </w:r>
      <w:r>
        <w:rPr>
          <w:rFonts w:eastAsia="Times New Roman"/>
          <w:vanish/>
        </w:rPr>
        <w:t>:GuaranteedMinimumIncomeBenefitMembereqh:ReturnOfPremiumMember2020-01-012020-09-300001333986us-gaap:DeferredVariableAnnuityMembereqh:RatchetMemberus-gaap:GuaranteedMinimumIncomeBenefitMember2020-01-012020-09-300001333986eqh:RollUpMemberus-gaap:DeferredVari</w:t>
      </w:r>
      <w:r>
        <w:rPr>
          <w:rFonts w:eastAsia="Times New Roman"/>
          <w:vanish/>
        </w:rPr>
        <w:t>ableAnnuityMemberus-gaap:GuaranteedMinimumIncomeBenefitMember2020-01-012020-09-300001333986eqh:ComboMemberus-gaap:DeferredVariableAnnuityMemberus-gaap:GuaranteedMinimumIncomeBenefitMember2020-01-012020-09-300001333986us-gaap:DeferredVariableAnnuityMemberus</w:t>
      </w:r>
      <w:r>
        <w:rPr>
          <w:rFonts w:eastAsia="Times New Roman"/>
          <w:vanish/>
        </w:rPr>
        <w:t>-gaap:GuaranteedMinimumIncomeBenefitMember2020-01-012020-09-300001333986us-gaap:CommonStockMemberus-gaap:GuaranteedMinimumDeathBenefitMember2020-09-300001333986us-gaap:CommonStockMemberus-gaap:GuaranteedMinimumIncomeBenefitMember2020-09-300001333986us-gaap</w:t>
      </w:r>
      <w:r>
        <w:rPr>
          <w:rFonts w:eastAsia="Times New Roman"/>
          <w:vanish/>
        </w:rPr>
        <w:t>:CommonStockMemberus-gaap:GuaranteedMinimumDeathBenefitMember2019-12-310001333986us-gaap:CommonStockMemberus-gaap:GuaranteedMinimumIncomeBenefitMember2019-12-310001333986us-gaap:GuaranteedMinimumDeathBenefitMemberus-gaap:FixedIncomeInvestmentsMember2020-09</w:t>
      </w:r>
      <w:r>
        <w:rPr>
          <w:rFonts w:eastAsia="Times New Roman"/>
          <w:vanish/>
        </w:rPr>
        <w:t>-300001333986us-gaap:GuaranteedMinimumIncomeBenefitMemberus-gaap:FixedIncomeInvestmentsMember2020-09-300001333986us-gaap:GuaranteedMinimumDeathBenefitMemberus-gaap:FixedIncomeInvestmentsMember2019-12-310001333986us-gaap:GuaranteedMinimumIncomeBenefitMember</w:t>
      </w:r>
      <w:r>
        <w:rPr>
          <w:rFonts w:eastAsia="Times New Roman"/>
          <w:vanish/>
        </w:rPr>
        <w:t>us-gaap:FixedIncomeInvestmentsMember2019-12-310001333986us-gaap:GuaranteedMinimumDeathBenefitMemberus-gaap:BalancedFundsMember2020-09-300001333986us-gaap:BalancedFundsMemberus-gaap:GuaranteedMinimumIncomeBenefitMember2020-09-300001333986us-gaap:GuaranteedM</w:t>
      </w:r>
      <w:r>
        <w:rPr>
          <w:rFonts w:eastAsia="Times New Roman"/>
          <w:vanish/>
        </w:rPr>
        <w:t>inimumDeathBenefitMemberus-gaap:BalancedFundsMember2019-12-310001333986us-gaap:BalancedFundsMemberus-gaap:GuaranteedMinimumIncomeBenefitMember2019-12-310001333986us-gaap:GuaranteedMinimumDeathBenefitMemberus-gaap:OtherInvestmentsMember2020-09-300001333986u</w:t>
      </w:r>
      <w:r>
        <w:rPr>
          <w:rFonts w:eastAsia="Times New Roman"/>
          <w:vanish/>
        </w:rPr>
        <w:t>s-gaap:OtherInvestmentsMemberus-gaap:GuaranteedMinimumIncomeBenefitMember2020-09-300001333986us-gaap:GuaranteedMinimumDeathBenefitMemberus-gaap:OtherInvestmentsMember2019-12-310001333986us-gaap:OtherInvestmentsMemberus-gaap:GuaranteedMinimumIncomeBenefitMe</w:t>
      </w:r>
      <w:r>
        <w:rPr>
          <w:rFonts w:eastAsia="Times New Roman"/>
          <w:vanish/>
        </w:rPr>
        <w:t>mber2019-12-310001333986us-gaap:GuaranteedMinimumDeathBenefitMember2020-09-300001333986us-gaap:GuaranteedMinimumIncomeBenefitMember2020-09-300001333986us-gaap:GuaranteedMinimumDeathBenefitMember2019-12-310001333986us-gaap:GuaranteedMinimumIncomeBenefitMemb</w:t>
      </w:r>
      <w:r>
        <w:rPr>
          <w:rFonts w:eastAsia="Times New Roman"/>
          <w:vanish/>
        </w:rPr>
        <w:t>er2019-12-310001333986eqh:DirectLiabilitiesForGuaranteesMember2020-06-300001333986eqh:DirectLiabilitiesForGuaranteesMember2019-06-300001333986eqh:DirectLiabilitiesForGuaranteesMember2019-12-310001333986eqh:DirectLiabilitiesForGuaranteesMember2018-12-310001</w:t>
      </w:r>
      <w:r>
        <w:rPr>
          <w:rFonts w:eastAsia="Times New Roman"/>
          <w:vanish/>
        </w:rPr>
        <w:t>333986eqh:DirectLiabilitiesForGuaranteesMember2020-07-012020-09-300001333986eqh:DirectLiabilitiesForGuaranteesMember2019-07-012019-09-300001333986eqh:DirectLiabilitiesForGuaranteesMember2020-01-012020-09-300001333986eqh:DirectLiabilitiesForGuaranteesMember</w:t>
      </w:r>
      <w:r>
        <w:rPr>
          <w:rFonts w:eastAsia="Times New Roman"/>
          <w:vanish/>
        </w:rPr>
        <w:t>2019-01-012019-09-300001333986eqh:DirectLiabilitiesForGuaranteesMember2020-09-300001333986eqh:DirectLiabilitiesForGuaranteesMember2019-09-300001333986eqh:RollUpMemberus-gaap:GuaranteedMinimumDeathBenefitMemberus-gaap:ImmediateVariableAnnuityMembersrt:Minim</w:t>
      </w:r>
      <w:r>
        <w:rPr>
          <w:rFonts w:eastAsia="Times New Roman"/>
          <w:vanish/>
        </w:rPr>
        <w:t>umMember2020-01-012020-09-300001333986eqh:ComboMemberus-gaap:GuaranteedMinimumDeathBenefitMemberus-gaap:ImmediateVariableAnnuityMembersrt:MinimumMember2020-01-012020-09-300001333986us-gaap:GuaranteedMinimumDeathBenefitMemberus-gaap:ImmediateVariableAnnuity</w:t>
      </w:r>
      <w:r>
        <w:rPr>
          <w:rFonts w:eastAsia="Times New Roman"/>
          <w:vanish/>
        </w:rPr>
        <w:t>Membersrt:MinimumMember2020-01-012020-09-300001333986eqh:RollUpMembersrt:MaximumMemberus-gaap:GuaranteedMinimumDeathBenefitMemberus-gaap:ImmediateVariableAnnuityMember2020-01-012020-09-300001333986srt:MaximumMembereqh:ComboMemberus-gaap:GuaranteedMinimumDe</w:t>
      </w:r>
      <w:r>
        <w:rPr>
          <w:rFonts w:eastAsia="Times New Roman"/>
          <w:vanish/>
        </w:rPr>
        <w:t>athBenefitMemberus-gaap:ImmediateVariableAnnuityMember2020-01-012020-09-300001333986srt:MaximumMemberus-gaap:GuaranteedMinimumDeathBenefitMemberus-gaap:ImmediateVariableAnnuityMember2020-01-012020-09-300001333986eqh:RollUpMemberus-gaap:ImmediateVariableAnn</w:t>
      </w:r>
      <w:r>
        <w:rPr>
          <w:rFonts w:eastAsia="Times New Roman"/>
          <w:vanish/>
        </w:rPr>
        <w:t>uityMemberus-gaap:GuaranteedMinimumIncomeBenefitMember2020-01-012020-09-300001333986eqh:ComboMemberus-gaap:ImmediateVariableAnnuityMemberus-gaap:GuaranteedMinimumIncomeBenefitMember2020-01-012020-09-300001333986us-gaap:ImmediateVariableAnnuityMemberus-gaap</w:t>
      </w:r>
      <w:r>
        <w:rPr>
          <w:rFonts w:eastAsia="Times New Roman"/>
          <w:vanish/>
        </w:rPr>
        <w:t>:GuaranteedMinimumIncomeBenefitMember2020-01-012020-09-300001333986eqh:RollUpMemberus-gaap:ImmediateVariableAnnuityMembersrt:MinimumMemberus-gaap:GuaranteedMinimumIncomeBenefitMember2020-01-012020-09-300001333986eqh:ComboMemberus-gaap:ImmediateVariableAnnu</w:t>
      </w:r>
      <w:r>
        <w:rPr>
          <w:rFonts w:eastAsia="Times New Roman"/>
          <w:vanish/>
        </w:rPr>
        <w:t>ityMembersrt:MinimumMemberus-gaap:GuaranteedMinimumIncomeBenefitMember2020-01-012020-09-300001333986us-gaap:ImmediateVariableAnnuityMembersrt:MinimumMemberus-gaap:GuaranteedMinimumIncomeBenefitMember2020-01-012020-09-300001333986eqh:RollUpMembersrt:Maximum</w:t>
      </w:r>
      <w:r>
        <w:rPr>
          <w:rFonts w:eastAsia="Times New Roman"/>
          <w:vanish/>
        </w:rPr>
        <w:t>Memberus-gaap:ImmediateVariableAnnuityMemberus-gaap:GuaranteedMinimumIncomeBenefitMember2020-01-012020-09-300001333986srt:MaximumMembereqh:ComboMemberus-gaap:ImmediateVariableAnnuityMemberus-gaap:GuaranteedMinimumIncomeBenefitMember2020-01-012020-09-300001</w:t>
      </w:r>
      <w:r>
        <w:rPr>
          <w:rFonts w:eastAsia="Times New Roman"/>
          <w:vanish/>
        </w:rPr>
        <w:t>333986srt:MaximumMemberus-gaap:ImmediateVariableAnnuityMemberus-gaap:GuaranteedMinimumIncomeBenefitMember2020-01-012020-09-300001333986eqh:RollUpMemberus-gaap:GuaranteedMinimumDeathBenefitMemberus-gaap:DeferredVariableAnnuityMembersrt:MinimumMember2020-01-</w:t>
      </w:r>
      <w:r>
        <w:rPr>
          <w:rFonts w:eastAsia="Times New Roman"/>
          <w:vanish/>
        </w:rPr>
        <w:t>012020-09-300001333986eqh:ComboMemberus-gaap:GuaranteedMinimumDeathBenefitMemberus-gaap:DeferredVariableAnnuityMembersrt:MinimumMember2020-01-012020-09-300001333986us-gaap:GuaranteedMinimumDeathBenefitMemberus-gaap:DeferredVariableAnnuityMembersrt:MinimumM</w:t>
      </w:r>
      <w:r>
        <w:rPr>
          <w:rFonts w:eastAsia="Times New Roman"/>
          <w:vanish/>
        </w:rPr>
        <w:t>ember2020-01-012020-09-300001333986eqh:RollUpMembersrt:MaximumMemberus-gaap:GuaranteedMinimumDeathBenefitMemberus-gaap:DeferredVariableAnnuityMember2020-01-012020-09-300001333986srt:MaximumMembereqh:ComboMemberus-gaap:GuaranteedMinimumDeathBenefitMemberus-</w:t>
      </w:r>
      <w:r>
        <w:rPr>
          <w:rFonts w:eastAsia="Times New Roman"/>
          <w:vanish/>
        </w:rPr>
        <w:t>gaap:DeferredVariableAnnuityMember2020-01-012020-09-300001333986srt:MaximumMemberus-gaap:GuaranteedMinimumDeathBenefitMemberus-gaap:DeferredVariableAnnuityMember2020-01-012020-09-300001333986eqh:RollUpMemberus-gaap:DeferredVariableAnnuityMembersrt:MinimumM</w:t>
      </w:r>
      <w:r>
        <w:rPr>
          <w:rFonts w:eastAsia="Times New Roman"/>
          <w:vanish/>
        </w:rPr>
        <w:t>emberus-gaap:GuaranteedMinimumIncomeBenefitMember2020-01-012020-09-300001333986eqh:ComboMemberus-gaap:DeferredVariableAnnuityMembersrt:MinimumMemberus-gaap:GuaranteedMinimumIncomeBenefitMember2020-01-012020-09-300001333986us-gaap:DeferredVariableAnnuityMem</w:t>
      </w:r>
      <w:r>
        <w:rPr>
          <w:rFonts w:eastAsia="Times New Roman"/>
          <w:vanish/>
        </w:rPr>
        <w:t>bersrt:MinimumMemberus-gaap:GuaranteedMinimumIncomeBenefitMember2020-01-012020-09-300001333986eqh:RollUpMembersrt:MaximumMemberus-gaap:DeferredVariableAnnuityMemberus-gaap:GuaranteedMinimumIncomeBenefitMember2020-01-012020-09-300001333986srt:MaximumMembere</w:t>
      </w:r>
      <w:r>
        <w:rPr>
          <w:rFonts w:eastAsia="Times New Roman"/>
          <w:vanish/>
        </w:rPr>
        <w:t>qh:ComboMemberus-gaap:DeferredVariableAnnuityMemberus-gaap:GuaranteedMinimumIncomeBenefitMember2020-01-012020-09-300001333986srt:MaximumMemberus-gaap:DeferredVariableAnnuityMemberus-gaap:GuaranteedMinimumIncomeBenefitMember2020-01-012020-09-300001333986eqh</w:t>
      </w:r>
      <w:r>
        <w:rPr>
          <w:rFonts w:eastAsia="Times New Roman"/>
          <w:vanish/>
        </w:rPr>
        <w:t>:PublicCorporateMemberus-gaap:FairValueInputsLevel1Memberus-gaap:FairValueMeasurementsRecurringMember2020-09-300001333986us-gaap:FairValueInputsLevel2Membereqh:PublicCorporateMemberus-gaap:FairValueMeasurementsRecurringMember2020-09-300001333986eqh:PublicC</w:t>
      </w:r>
      <w:r>
        <w:rPr>
          <w:rFonts w:eastAsia="Times New Roman"/>
          <w:vanish/>
        </w:rPr>
        <w:t>orporateMemberus-gaap:FairValueInputsLevel3Memberus-gaap:FairValueMeasurementsRecurringMember2020-09-300001333986eqh:PublicCorporateMemberus-gaap:FairValueMeasurementsRecurringMember2020-09-300001333986us-gaap:USTreasuryAndGovernmentMemberus-gaap:FairValue</w:t>
      </w:r>
      <w:r>
        <w:rPr>
          <w:rFonts w:eastAsia="Times New Roman"/>
          <w:vanish/>
        </w:rPr>
        <w:t>InputsLevel1Memberus-gaap:FairValueMeasurementsRecurringMember2020-09-300001333986us-gaap:FairValueInputsLevel2Memberus-gaap:USTreasuryAndGovernmentMemberus-gaap:FairValueMeasurementsRecurringMember2020-09-300001333986us-gaap:USTreasuryAndGovernmentMemberu</w:t>
      </w:r>
      <w:r>
        <w:rPr>
          <w:rFonts w:eastAsia="Times New Roman"/>
          <w:vanish/>
        </w:rPr>
        <w:t>s-gaap:FairValueInputsLevel3Memberus-gaap:FairValueMeasurementsRecurringMember2020-09-300001333986us-gaap:USTreasuryAndGovernmentMemberus-gaap:FairValueMeasurementsRecurringMember2020-09-300001333986us-gaap:USStatesAndPoliticalSubdivisionsMemberus-gaap:Fai</w:t>
      </w:r>
      <w:r>
        <w:rPr>
          <w:rFonts w:eastAsia="Times New Roman"/>
          <w:vanish/>
        </w:rPr>
        <w:t>rValueInputsLevel1Memberus-gaap:FairValueMeasurementsRecurringMember2020-09-300001333986us-gaap:FairValueInputsLevel2Memberus-gaap:USStatesAndPoliticalSubdivisionsMemberus-gaap:FairValueMeasurementsRecurringMember2020-09-300001333986us-gaap:USStatesAndPoli</w:t>
      </w:r>
      <w:r>
        <w:rPr>
          <w:rFonts w:eastAsia="Times New Roman"/>
          <w:vanish/>
        </w:rPr>
        <w:t>ticalSubdivisionsMemberus-gaap:FairValueInputsLevel3Memberus-gaap:FairValueMeasurementsRecurringMember2020-09-300001333986us-gaap:USStatesAndPoliticalSubdivisionsMemberus-gaap:FairValueMeasurementsRecurringMember2020-09-300001333986us-gaap:ForeignGovernmen</w:t>
      </w:r>
      <w:r>
        <w:rPr>
          <w:rFonts w:eastAsia="Times New Roman"/>
          <w:vanish/>
        </w:rPr>
        <w:t>tDebtSecuritiesMemberus-gaap:FairValueInputsLevel1Memberus-gaap:FairValueMeasurementsRecurringMember2020-09-300001333986us-gaap:FairValueInputsLevel2Memberus-gaap:ForeignGovernmentDebtSecuritiesMemberus-gaap:FairValueMeasurementsRecurringMember2020-09-3000</w:t>
      </w:r>
      <w:r>
        <w:rPr>
          <w:rFonts w:eastAsia="Times New Roman"/>
          <w:vanish/>
        </w:rPr>
        <w:t>01333986us-gaap:ForeignGovernmentDebtSecuritiesMemberus-gaap:FairValueInputsLevel3Memberus-gaap:FairValueMeasurementsRecurringMember2020-09-300001333986us-gaap:ForeignGovernmentDebtSecuritiesMemberus-gaap:FairValueMeasurementsRecurringMember2020-09-3000013</w:t>
      </w:r>
      <w:r>
        <w:rPr>
          <w:rFonts w:eastAsia="Times New Roman"/>
          <w:vanish/>
        </w:rPr>
        <w:t>33986us-gaap:ResidentialMortgageBackedSecuritiesMemberus-gaap:FairValueInputsLevel1Memberus-gaap:FairValueMeasurementsRecurringMember2020-09-300001333986us-gaap:FairValueInputsLevel2Memberus-gaap:ResidentialMortgageBackedSecuritiesMemberus-gaap:FairValueMe</w:t>
      </w:r>
      <w:r>
        <w:rPr>
          <w:rFonts w:eastAsia="Times New Roman"/>
          <w:vanish/>
        </w:rPr>
        <w:t>asurementsRecurringMember2020-09-300001333986us-gaap:ResidentialMortgageBackedSecuritiesMemberus-gaap:FairValueInputsLevel3Memberus-gaap:FairValueMeasurementsRecurringMember2020-09-300001333986us-gaap:ResidentialMortgageBackedSecuritiesMemberus-gaap:FairVa</w:t>
      </w:r>
      <w:r>
        <w:rPr>
          <w:rFonts w:eastAsia="Times New Roman"/>
          <w:vanish/>
        </w:rPr>
        <w:t>lueMeasurementsRecurringMember2020-09-300001333986us-gaap:AssetBackedSecuritiesMemberus-gaap:FairValueInputsLevel1Memberus-gaap:FairValueMeasurementsRecurringMember2020-09-300001333986us-gaap:FairValueInputsLevel2Memberus-gaap:AssetBackedSecuritiesMemberus</w:t>
      </w:r>
      <w:r>
        <w:rPr>
          <w:rFonts w:eastAsia="Times New Roman"/>
          <w:vanish/>
        </w:rPr>
        <w:t>-gaap:FairValueMeasurementsRecurringMember2020-09-300001333986us-gaap:AssetBackedSecuritiesMemberus-gaap:FairValueInputsLevel3Memberus-gaap:FairValueMeasurementsRecurringMember2020-09-300001333986us-gaap:AssetBackedSecuritiesMemberus-gaap:FairValueMeasurem</w:t>
      </w:r>
      <w:r>
        <w:rPr>
          <w:rFonts w:eastAsia="Times New Roman"/>
          <w:vanish/>
        </w:rPr>
        <w:t>entsRecurringMember2020-09-300001333986us-gaap:FairValueInputsLevel1Memberus-gaap:FairValueMeasurementsRecurringMemberus-gaap:CommercialMortgageBackedSecuritiesMember2020-09-300001333986us-gaap:FairValueInputsLevel2Memberus-gaap:FairValueMeasurementsRecurr</w:t>
      </w:r>
      <w:r>
        <w:rPr>
          <w:rFonts w:eastAsia="Times New Roman"/>
          <w:vanish/>
        </w:rPr>
        <w:t>ingMemberus-gaap:CommercialMortgageBackedSecuritiesMember2020-09-300001333986us-gaap:FairValueInputsLevel3Memberus-gaap:FairValueMeasurementsRecurringMemberus-gaap:CommercialMortgageBackedSecuritiesMember2020-09-300001333986us-gaap:FairValueMeasurementsRec</w:t>
      </w:r>
      <w:r>
        <w:rPr>
          <w:rFonts w:eastAsia="Times New Roman"/>
          <w:vanish/>
        </w:rPr>
        <w:t>urringMemberus-gaap:CommercialMortgageBackedSecuritiesMember2020-09-300001333986us-gaap:RedeemablePreferredStockMemberus-gaap:FairValueInputsLevel1Memberus-gaap:FairValueMeasurementsRecurringMember2020-09-300001333986us-gaap:FairValueInputsLevel2Memberus-g</w:t>
      </w:r>
      <w:r>
        <w:rPr>
          <w:rFonts w:eastAsia="Times New Roman"/>
          <w:vanish/>
        </w:rPr>
        <w:t>aap:RedeemablePreferredStockMemberus-gaap:FairValueMeasurementsRecurringMember2020-09-300001333986us-gaap:RedeemablePreferredStockMemberus-gaap:FairValueInputsLevel3Memberus-gaap:FairValueMeasurementsRecurringMember2020-09-300001333986us-gaap:RedeemablePre</w:t>
      </w:r>
      <w:r>
        <w:rPr>
          <w:rFonts w:eastAsia="Times New Roman"/>
          <w:vanish/>
        </w:rPr>
        <w:t>ferredStockMemberus-gaap:FairValueMeasurementsRecurringMember2020-09-300001333986us-gaap:FairValueInputsLevel1Memberus-gaap:FairValueMeasurementsRecurringMember2020-09-300001333986us-gaap:FairValueInputsLevel2Memberus-gaap:FairValueMeasurementsRecurringMem</w:t>
      </w:r>
      <w:r>
        <w:rPr>
          <w:rFonts w:eastAsia="Times New Roman"/>
          <w:vanish/>
        </w:rPr>
        <w:t>ber2020-09-300001333986us-gaap:FairValueInputsLevel3Memberus-gaap:FairValueMeasurementsRecurringMember2020-09-300001333986us-gaap:ShortTermInvestmentsMemberus-gaap:FairValueInputsLevel1Memberus-gaap:FairValueMeasurementsRecurringMember2020-09-300001333986u</w:t>
      </w:r>
      <w:r>
        <w:rPr>
          <w:rFonts w:eastAsia="Times New Roman"/>
          <w:vanish/>
        </w:rPr>
        <w:t>s-gaap:FairValueInputsLevel2Memberus-gaap:ShortTermInvestmentsMemberus-gaap:FairValueMeasurementsRecurringMember2020-09-300001333986us-gaap:ShortTermInvestmentsMemberus-gaap:FairValueInputsLevel3Memberus-gaap:FairValueMeasurementsRecurringMember2020-09-300</w:t>
      </w:r>
      <w:r>
        <w:rPr>
          <w:rFonts w:eastAsia="Times New Roman"/>
          <w:vanish/>
        </w:rPr>
        <w:t>001333986us-gaap:ShortTermInvestmentsMemberus-gaap:FairValueMeasurementsRecurringMember2020-09-300001333986eqh:AssetsofConsolidatedVIEsVOEsMemberus-gaap:FairValueInputsLevel1Memberus-gaap:FairValueMeasurementsRecurringMember2020-09-300001333986us-gaap:Fair</w:t>
      </w:r>
      <w:r>
        <w:rPr>
          <w:rFonts w:eastAsia="Times New Roman"/>
          <w:vanish/>
        </w:rPr>
        <w:t>ValueInputsLevel2Membereqh:AssetsofConsolidatedVIEsVOEsMemberus-gaap:FairValueMeasurementsRecurringMember2020-09-300001333986eqh:AssetsofConsolidatedVIEsVOEsMemberus-gaap:FairValueInputsLevel3Memberus-gaap:FairValueMeasurementsRecurringMember2020-09-300001</w:t>
      </w:r>
      <w:r>
        <w:rPr>
          <w:rFonts w:eastAsia="Times New Roman"/>
          <w:vanish/>
        </w:rPr>
        <w:t>333986eqh:AssetsofConsolidatedVIEsVOEsMemberus-gaap:FairValueMeasurementsRecurringMember2020-09-300001333986us-gaap:SwapMemberus-gaap:FairValueInputsLevel1Memberus-gaap:FairValueMeasurementsRecurringMember2020-09-300001333986us-gaap:FairValueInputsLevel2Me</w:t>
      </w:r>
      <w:r>
        <w:rPr>
          <w:rFonts w:eastAsia="Times New Roman"/>
          <w:vanish/>
        </w:rPr>
        <w:t>mberus-gaap:SwapMemberus-gaap:FairValueMeasurementsRecurringMember2020-09-300001333986us-gaap:SwapMemberus-gaap:FairValueInputsLevel3Memberus-gaap:FairValueMeasurementsRecurringMember2020-09-300001333986us-gaap:SwapMemberus-gaap:FairValueMeasurementsRecurr</w:t>
      </w:r>
      <w:r>
        <w:rPr>
          <w:rFonts w:eastAsia="Times New Roman"/>
          <w:vanish/>
        </w:rPr>
        <w:t>ingMember2020-09-300001333986us-gaap:FairValueInputsLevel1Memberus-gaap:FairValueMeasurementsRecurringMemberus-gaap:CreditDefaultSwapMember2020-09-300001333986us-gaap:FairValueInputsLevel2Memberus-gaap:FairValueMeasurementsRecurringMemberus-gaap:CreditDefa</w:t>
      </w:r>
      <w:r>
        <w:rPr>
          <w:rFonts w:eastAsia="Times New Roman"/>
          <w:vanish/>
        </w:rPr>
        <w:t>ultSwapMember2020-09-300001333986us-gaap:FairValueInputsLevel3Memberus-gaap:FairValueMeasurementsRecurringMemberus-gaap:CreditDefaultSwapMember2020-09-300001333986us-gaap:FairValueMeasurementsRecurringMemberus-gaap:CreditDefaultSwapMember2020-09-3000013339</w:t>
      </w:r>
      <w:r>
        <w:rPr>
          <w:rFonts w:eastAsia="Times New Roman"/>
          <w:vanish/>
        </w:rPr>
        <w:t>86us-gaap:FutureMemberus-gaap:FairValueInputsLevel1Memberus-gaap:FairValueMeasurementsRecurringMember2020-09-300001333986us-gaap:FairValueInputsLevel2Memberus-gaap:FutureMemberus-gaap:FairValueMeasurementsRecurringMember2020-09-300001333986us-gaap:FutureMe</w:t>
      </w:r>
      <w:r>
        <w:rPr>
          <w:rFonts w:eastAsia="Times New Roman"/>
          <w:vanish/>
        </w:rPr>
        <w:t>mberus-gaap:FairValueInputsLevel3Memberus-gaap:FairValueMeasurementsRecurringMember2020-09-300001333986us-gaap:FutureMemberus-gaap:FairValueMeasurementsRecurringMember2020-09-300001333986us-gaap:OptionMemberus-gaap:FairValueInputsLevel1Memberus-gaap:FairVa</w:t>
      </w:r>
      <w:r>
        <w:rPr>
          <w:rFonts w:eastAsia="Times New Roman"/>
          <w:vanish/>
        </w:rPr>
        <w:t>lueMeasurementsRecurringMember2020-09-300001333986us-gaap:FairValueInputsLevel2Memberus-gaap:OptionMemberus-gaap:FairValueMeasurementsRecurringMember2020-09-300001333986us-gaap:OptionMemberus-gaap:FairValueInputsLevel3Memberus-gaap:FairValueMeasurementsRec</w:t>
      </w:r>
      <w:r>
        <w:rPr>
          <w:rFonts w:eastAsia="Times New Roman"/>
          <w:vanish/>
        </w:rPr>
        <w:t>urringMember2020-09-300001333986us-gaap:OptionMemberus-gaap:FairValueMeasurementsRecurringMember2020-09-300001333986us-gaap:InterestRateSwaptionMemberus-gaap:FairValueInputsLevel1Memberus-gaap:FairValueMeasurementsRecurringMember2020-09-300001333986us-gaap</w:t>
      </w:r>
      <w:r>
        <w:rPr>
          <w:rFonts w:eastAsia="Times New Roman"/>
          <w:vanish/>
        </w:rPr>
        <w:t>:FairValueInputsLevel2Memberus-gaap:InterestRateSwaptionMemberus-gaap:FairValueMeasurementsRecurringMember2020-09-300001333986us-gaap:InterestRateSwaptionMemberus-gaap:FairValueInputsLevel3Memberus-gaap:FairValueMeasurementsRecurringMember2020-09-300001333</w:t>
      </w:r>
      <w:r>
        <w:rPr>
          <w:rFonts w:eastAsia="Times New Roman"/>
          <w:vanish/>
        </w:rPr>
        <w:t>986us-gaap:InterestRateSwaptionMemberus-gaap:FairValueMeasurementsRecurringMember2020-09-300001333986us-gaap:GuaranteedMinimumWithdrawalBenefitMemberus-gaap:FairValueInputsLevel1Memberus-gaap:FairValueMeasurementsRecurringMember2020-09-300001333986us-gaap:</w:t>
      </w:r>
      <w:r>
        <w:rPr>
          <w:rFonts w:eastAsia="Times New Roman"/>
          <w:vanish/>
        </w:rPr>
        <w:t>FairValueInputsLevel2Memberus-gaap:GuaranteedMinimumWithdrawalBenefitMemberus-gaap:FairValueMeasurementsRecurringMember2020-09-300001333986us-gaap:GuaranteedMinimumWithdrawalBenefitMemberus-gaap:FairValueInputsLevel3Memberus-gaap:FairValueMeasurementsRecur</w:t>
      </w:r>
      <w:r>
        <w:rPr>
          <w:rFonts w:eastAsia="Times New Roman"/>
          <w:vanish/>
        </w:rPr>
        <w:t>ringMember2020-09-300001333986us-gaap:GuaranteedMinimumWithdrawalBenefitMemberus-gaap:FairValueMeasurementsRecurringMember2020-09-300001333986us-gaap:FairValueInputsLevel1Memberus-gaap:FairValueMeasurementsRecurringMembereqh:NonGmxbEmbeddedDerivativeInsura</w:t>
      </w:r>
      <w:r>
        <w:rPr>
          <w:rFonts w:eastAsia="Times New Roman"/>
          <w:vanish/>
        </w:rPr>
        <w:t>nceProductsMember2020-09-300001333986us-gaap:FairValueInputsLevel2Memberus-gaap:FairValueMeasurementsRecurringMembereqh:NonGmxbEmbeddedDerivativeInsuranceProductsMember2020-09-300001333986us-gaap:FairValueInputsLevel3Memberus-gaap:FairValueMeasurementsRecu</w:t>
      </w:r>
      <w:r>
        <w:rPr>
          <w:rFonts w:eastAsia="Times New Roman"/>
          <w:vanish/>
        </w:rPr>
        <w:t>rringMembereqh:NonGmxbEmbeddedDerivativeInsuranceProductsMember2020-09-300001333986us-gaap:FairValueMeasurementsRecurringMembereqh:NonGmxbEmbeddedDerivativeInsuranceProductsMember2020-09-300001333986us-gaap:VariableInterestEntityPrimaryBeneficiaryMemberus-</w:t>
      </w:r>
      <w:r>
        <w:rPr>
          <w:rFonts w:eastAsia="Times New Roman"/>
          <w:vanish/>
        </w:rPr>
        <w:t>gaap:FairValueInputsLevel1Memberus-gaap:FairValueMeasurementsRecurringMember2020-09-300001333986us-gaap:FairValueInputsLevel2Memberus-gaap:VariableInterestEntityPrimaryBeneficiaryMemberus-gaap:FairValueMeasurementsRecurringMember2020-09-300001333986us-gaap</w:t>
      </w:r>
      <w:r>
        <w:rPr>
          <w:rFonts w:eastAsia="Times New Roman"/>
          <w:vanish/>
        </w:rPr>
        <w:t>:VariableInterestEntityPrimaryBeneficiaryMemberus-gaap:FairValueInputsLevel3Memberus-gaap:FairValueMeasurementsRecurringMember2020-09-300001333986us-gaap:VariableInterestEntityPrimaryBeneficiaryMemberus-gaap:FairValueMeasurementsRecurringMember2020-09-3000</w:t>
      </w:r>
      <w:r>
        <w:rPr>
          <w:rFonts w:eastAsia="Times New Roman"/>
          <w:vanish/>
        </w:rPr>
        <w:t>01333986us-gaap:FairValueMeasuredAtNetAssetValuePerShareMemberus-gaap:FairValueMeasurementsRecurringMember2020-09-300001333986eqh:PublicCorporateMemberus-gaap:FairValueInputsLevel1Memberus-gaap:FairValueMeasurementsRecurringMember2019-12-310001333986us-gaa</w:t>
      </w:r>
      <w:r>
        <w:rPr>
          <w:rFonts w:eastAsia="Times New Roman"/>
          <w:vanish/>
        </w:rPr>
        <w:t>p:FairValueInputsLevel2Membereqh:PublicCorporateMemberus-gaap:FairValueMeasurementsRecurringMember2019-12-310001333986eqh:PublicCorporateMemberus-gaap:FairValueInputsLevel3Memberus-gaap:FairValueMeasurementsRecurringMember2019-12-310001333986eqh:PublicCorp</w:t>
      </w:r>
      <w:r>
        <w:rPr>
          <w:rFonts w:eastAsia="Times New Roman"/>
          <w:vanish/>
        </w:rPr>
        <w:t>orateMemberus-gaap:FairValueMeasurementsRecurringMember2019-12-310001333986us-gaap:USTreasuryAndGovernmentMemberus-gaap:FairValueInputsLevel1Memberus-gaap:FairValueMeasurementsRecurringMember2019-12-310001333986us-gaap:FairValueInputsLevel2Memberus-gaap:US</w:t>
      </w:r>
      <w:r>
        <w:rPr>
          <w:rFonts w:eastAsia="Times New Roman"/>
          <w:vanish/>
        </w:rPr>
        <w:t>TreasuryAndGovernmentMemberus-gaap:FairValueMeasurementsRecurringMember2019-12-310001333986us-gaap:USTreasuryAndGovernmentMemberus-gaap:FairValueInputsLevel3Memberus-gaap:FairValueMeasurementsRecurringMember2019-12-310001333986us-gaap:USTreasuryAndGovernme</w:t>
      </w:r>
      <w:r>
        <w:rPr>
          <w:rFonts w:eastAsia="Times New Roman"/>
          <w:vanish/>
        </w:rPr>
        <w:t>ntMemberus-gaap:FairValueMeasurementsRecurringMember2019-12-310001333986us-gaap:USStatesAndPoliticalSubdivisionsMemberus-gaap:FairValueInputsLevel1Memberus-gaap:FairValueMeasurementsRecurringMember2019-12-310001333986us-gaap:FairValueInputsLevel2Memberus-g</w:t>
      </w:r>
      <w:r>
        <w:rPr>
          <w:rFonts w:eastAsia="Times New Roman"/>
          <w:vanish/>
        </w:rPr>
        <w:t>aap:USStatesAndPoliticalSubdivisionsMemberus-gaap:FairValueMeasurementsRecurringMember2019-12-310001333986us-gaap:USStatesAndPoliticalSubdivisionsMemberus-gaap:FairValueInputsLevel3Memberus-gaap:FairValueMeasurementsRecurringMember2019-12-310001333986us-ga</w:t>
      </w:r>
      <w:r>
        <w:rPr>
          <w:rFonts w:eastAsia="Times New Roman"/>
          <w:vanish/>
        </w:rPr>
        <w:t>ap:USStatesAndPoliticalSubdivisionsMemberus-gaap:FairValueMeasurementsRecurringMember2019-12-310001333986us-gaap:ForeignGovernmentDebtSecuritiesMemberus-gaap:FairValueInputsLevel1Memberus-gaap:FairValueMeasurementsRecurringMember2019-12-310001333986us-gaap</w:t>
      </w:r>
      <w:r>
        <w:rPr>
          <w:rFonts w:eastAsia="Times New Roman"/>
          <w:vanish/>
        </w:rPr>
        <w:t>:FairValueInputsLevel2Memberus-gaap:ForeignGovernmentDebtSecuritiesMemberus-gaap:FairValueMeasurementsRecurringMember2019-12-310001333986us-gaap:ForeignGovernmentDebtSecuritiesMemberus-gaap:FairValueInputsLevel3Memberus-gaap:FairValueMeasurementsRecurringM</w:t>
      </w:r>
      <w:r>
        <w:rPr>
          <w:rFonts w:eastAsia="Times New Roman"/>
          <w:vanish/>
        </w:rPr>
        <w:t>ember2019-12-310001333986us-gaap:ForeignGovernmentDebtSecuritiesMemberus-gaap:FairValueMeasurementsRecurringMember2019-12-310001333986us-gaap:ResidentialMortgageBackedSecuritiesMemberus-gaap:FairValueInputsLevel1Memberus-gaap:FairValueMeasurementsRecurring</w:t>
      </w:r>
      <w:r>
        <w:rPr>
          <w:rFonts w:eastAsia="Times New Roman"/>
          <w:vanish/>
        </w:rPr>
        <w:t>Member2019-12-310001333986us-gaap:FairValueInputsLevel2Memberus-gaap:ResidentialMortgageBackedSecuritiesMemberus-gaap:FairValueMeasurementsRecurringMember2019-12-310001333986us-gaap:ResidentialMortgageBackedSecuritiesMemberus-gaap:FairValueInputsLevel3Memb</w:t>
      </w:r>
      <w:r>
        <w:rPr>
          <w:rFonts w:eastAsia="Times New Roman"/>
          <w:vanish/>
        </w:rPr>
        <w:t>erus-gaap:FairValueMeasurementsRecurringMember2019-12-310001333986us-gaap:ResidentialMortgageBackedSecuritiesMemberus-gaap:FairValueMeasurementsRecurringMember2019-12-310001333986us-gaap:AssetBackedSecuritiesMemberus-gaap:FairValueInputsLevel1Memberus-gaap</w:t>
      </w:r>
      <w:r>
        <w:rPr>
          <w:rFonts w:eastAsia="Times New Roman"/>
          <w:vanish/>
        </w:rPr>
        <w:t>:FairValueMeasurementsRecurringMember2019-12-310001333986us-gaap:FairValueInputsLevel2Memberus-gaap:AssetBackedSecuritiesMemberus-gaap:FairValueMeasurementsRecurringMember2019-12-310001333986us-gaap:AssetBackedSecuritiesMemberus-gaap:FairValueInputsLevel3M</w:t>
      </w:r>
      <w:r>
        <w:rPr>
          <w:rFonts w:eastAsia="Times New Roman"/>
          <w:vanish/>
        </w:rPr>
        <w:t>emberus-gaap:FairValueMeasurementsRecurringMember2019-12-310001333986us-gaap:AssetBackedSecuritiesMemberus-gaap:FairValueMeasurementsRecurringMember2019-12-310001333986us-gaap:RedeemablePreferredStockMemberus-gaap:FairValueInputsLevel1Memberus-gaap:FairVal</w:t>
      </w:r>
      <w:r>
        <w:rPr>
          <w:rFonts w:eastAsia="Times New Roman"/>
          <w:vanish/>
        </w:rPr>
        <w:t>ueMeasurementsRecurringMember2019-12-310001333986us-gaap:FairValueInputsLevel2Memberus-gaap:RedeemablePreferredStockMemberus-gaap:FairValueMeasurementsRecurringMember2019-12-310001333986us-gaap:RedeemablePreferredStockMemberus-gaap:FairValueInputsLevel3Mem</w:t>
      </w:r>
      <w:r>
        <w:rPr>
          <w:rFonts w:eastAsia="Times New Roman"/>
          <w:vanish/>
        </w:rPr>
        <w:t>berus-gaap:FairValueMeasurementsRecurringMember2019-12-310001333986us-gaap:RedeemablePreferredStockMemberus-gaap:FairValueMeasurementsRecurringMember2019-12-310001333986us-gaap:FairValueInputsLevel1Memberus-gaap:FairValueMeasurementsRecurringMember2019-12-</w:t>
      </w:r>
      <w:r>
        <w:rPr>
          <w:rFonts w:eastAsia="Times New Roman"/>
          <w:vanish/>
        </w:rPr>
        <w:t>310001333986us-gaap:FairValueInputsLevel2Memberus-gaap:FairValueMeasurementsRecurringMember2019-12-310001333986us-gaap:FairValueInputsLevel3Memberus-gaap:FairValueMeasurementsRecurringMember2019-12-310001333986us-gaap:ShortTermInvestmentsMemberus-gaap:Fair</w:t>
      </w:r>
      <w:r>
        <w:rPr>
          <w:rFonts w:eastAsia="Times New Roman"/>
          <w:vanish/>
        </w:rPr>
        <w:t>ValueInputsLevel1Memberus-gaap:FairValueMeasurementsRecurringMember2019-12-310001333986us-gaap:FairValueInputsLevel2Memberus-gaap:ShortTermInvestmentsMemberus-gaap:FairValueMeasurementsRecurringMember2019-12-310001333986us-gaap:ShortTermInvestmentsMemberus</w:t>
      </w:r>
      <w:r>
        <w:rPr>
          <w:rFonts w:eastAsia="Times New Roman"/>
          <w:vanish/>
        </w:rPr>
        <w:t>-gaap:FairValueInputsLevel3Memberus-gaap:FairValueMeasurementsRecurringMember2019-12-310001333986us-gaap:ShortTermInvestmentsMemberus-gaap:FairValueMeasurementsRecurringMember2019-12-310001333986eqh:AssetsofConsolidatedVIEsVOEsMemberus-gaap:FairValueInputs</w:t>
      </w:r>
      <w:r>
        <w:rPr>
          <w:rFonts w:eastAsia="Times New Roman"/>
          <w:vanish/>
        </w:rPr>
        <w:t>Level1Memberus-gaap:FairValueMeasurementsRecurringMember2019-12-310001333986us-gaap:FairValueInputsLevel2Membereqh:AssetsofConsolidatedVIEsVOEsMemberus-gaap:FairValueMeasurementsRecurringMember2019-12-310001333986eqh:AssetsofConsolidatedVIEsVOEsMemberus-ga</w:t>
      </w:r>
      <w:r>
        <w:rPr>
          <w:rFonts w:eastAsia="Times New Roman"/>
          <w:vanish/>
        </w:rPr>
        <w:t>ap:FairValueInputsLevel3Memberus-gaap:FairValueMeasurementsRecurringMember2019-12-310001333986eqh:AssetsofConsolidatedVIEsVOEsMemberus-gaap:FairValueMeasurementsRecurringMember2019-12-310001333986us-gaap:SwapMemberus-gaap:FairValueInputsLevel1Memberus-gaap</w:t>
      </w:r>
      <w:r>
        <w:rPr>
          <w:rFonts w:eastAsia="Times New Roman"/>
          <w:vanish/>
        </w:rPr>
        <w:t>:FairValueMeasurementsRecurringMember2019-12-310001333986us-gaap:FairValueInputsLevel2Memberus-gaap:SwapMemberus-gaap:FairValueMeasurementsRecurringMember2019-12-310001333986us-gaap:SwapMemberus-gaap:FairValueInputsLevel3Memberus-gaap:FairValueMeasurements</w:t>
      </w:r>
      <w:r>
        <w:rPr>
          <w:rFonts w:eastAsia="Times New Roman"/>
          <w:vanish/>
        </w:rPr>
        <w:t>RecurringMember2019-12-310001333986us-gaap:SwapMemberus-gaap:FairValueMeasurementsRecurringMember2019-12-310001333986us-gaap:FairValueInputsLevel1Memberus-gaap:FairValueMeasurementsRecurringMemberus-gaap:CreditDefaultSwapMember2019-12-310001333986us-gaap:F</w:t>
      </w:r>
      <w:r>
        <w:rPr>
          <w:rFonts w:eastAsia="Times New Roman"/>
          <w:vanish/>
        </w:rPr>
        <w:t>airValueInputsLevel2Memberus-gaap:FairValueMeasurementsRecurringMemberus-gaap:CreditDefaultSwapMember2019-12-310001333986us-gaap:FairValueInputsLevel3Memberus-gaap:FairValueMeasurementsRecurringMemberus-gaap:CreditDefaultSwapMember2019-12-310001333986us-ga</w:t>
      </w:r>
      <w:r>
        <w:rPr>
          <w:rFonts w:eastAsia="Times New Roman"/>
          <w:vanish/>
        </w:rPr>
        <w:t>ap:FairValueMeasurementsRecurringMemberus-gaap:CreditDefaultSwapMember2019-12-310001333986us-gaap:OptionMemberus-gaap:FairValueInputsLevel1Memberus-gaap:FairValueMeasurementsRecurringMember2019-12-310001333986us-gaap:FairValueInputsLevel2Memberus-gaap:Opti</w:t>
      </w:r>
      <w:r>
        <w:rPr>
          <w:rFonts w:eastAsia="Times New Roman"/>
          <w:vanish/>
        </w:rPr>
        <w:t>onMemberus-gaap:FairValueMeasurementsRecurringMember2019-12-310001333986us-gaap:OptionMemberus-gaap:FairValueInputsLevel3Memberus-gaap:FairValueMeasurementsRecurringMember2019-12-310001333986us-gaap:OptionMemberus-gaap:FairValueMeasurementsRecurringMember2</w:t>
      </w:r>
      <w:r>
        <w:rPr>
          <w:rFonts w:eastAsia="Times New Roman"/>
          <w:vanish/>
        </w:rPr>
        <w:t>019-12-310001333986us-gaap:InterestRateSwaptionMemberus-gaap:FairValueInputsLevel1Memberus-gaap:FairValueMeasurementsRecurringMember2019-12-310001333986us-gaap:FairValueInputsLevel2Memberus-gaap:InterestRateSwaptionMemberus-gaap:FairValueMeasurementsRecurr</w:t>
      </w:r>
      <w:r>
        <w:rPr>
          <w:rFonts w:eastAsia="Times New Roman"/>
          <w:vanish/>
        </w:rPr>
        <w:t>ingMember2019-12-310001333986us-gaap:InterestRateSwaptionMemberus-gaap:FairValueInputsLevel3Memberus-gaap:FairValueMeasurementsRecurringMember2019-12-310001333986us-gaap:InterestRateSwaptionMemberus-gaap:FairValueMeasurementsRecurringMember2019-12-31000133</w:t>
      </w:r>
      <w:r>
        <w:rPr>
          <w:rFonts w:eastAsia="Times New Roman"/>
          <w:vanish/>
        </w:rPr>
        <w:t>3986us-gaap:GuaranteedMinimumWithdrawalBenefitMemberus-gaap:FairValueInputsLevel1Memberus-gaap:FairValueMeasurementsRecurringMember2019-12-310001333986us-gaap:FairValueInputsLevel2Memberus-gaap:GuaranteedMinimumWithdrawalBenefitMemberus-gaap:FairValueMeasu</w:t>
      </w:r>
      <w:r>
        <w:rPr>
          <w:rFonts w:eastAsia="Times New Roman"/>
          <w:vanish/>
        </w:rPr>
        <w:t>rementsRecurringMember2019-12-310001333986us-gaap:GuaranteedMinimumWithdrawalBenefitMemberus-gaap:FairValueInputsLevel3Memberus-gaap:FairValueMeasurementsRecurringMember2019-12-310001333986us-gaap:GuaranteedMinimumWithdrawalBenefitMemberus-gaap:FairValueMe</w:t>
      </w:r>
      <w:r>
        <w:rPr>
          <w:rFonts w:eastAsia="Times New Roman"/>
          <w:vanish/>
        </w:rPr>
        <w:t>asurementsRecurringMember2019-12-310001333986us-gaap:FairValueInputsLevel1Memberus-gaap:FairValueMeasurementsRecurringMembereqh:NonGmxbEmbeddedDerivativeInsuranceProductsMember2019-12-310001333986us-gaap:FairValueInputsLevel2Memberus-gaap:FairValueMeasurem</w:t>
      </w:r>
      <w:r>
        <w:rPr>
          <w:rFonts w:eastAsia="Times New Roman"/>
          <w:vanish/>
        </w:rPr>
        <w:t>entsRecurringMembereqh:NonGmxbEmbeddedDerivativeInsuranceProductsMember2019-12-310001333986us-gaap:FairValueInputsLevel3Memberus-gaap:FairValueMeasurementsRecurringMembereqh:NonGmxbEmbeddedDerivativeInsuranceProductsMember2019-12-310001333986us-gaap:FairVa</w:t>
      </w:r>
      <w:r>
        <w:rPr>
          <w:rFonts w:eastAsia="Times New Roman"/>
          <w:vanish/>
        </w:rPr>
        <w:t>lueMeasurementsRecurringMembereqh:NonGmxbEmbeddedDerivativeInsuranceProductsMember2019-12-310001333986us-gaap:VariableInterestEntityPrimaryBeneficiaryMemberus-gaap:FairValueInputsLevel1Memberus-gaap:FairValueMeasurementsRecurringMember2019-12-310001333986u</w:t>
      </w:r>
      <w:r>
        <w:rPr>
          <w:rFonts w:eastAsia="Times New Roman"/>
          <w:vanish/>
        </w:rPr>
        <w:t>s-gaap:FairValueInputsLevel2Memberus-gaap:VariableInterestEntityPrimaryBeneficiaryMemberus-gaap:FairValueMeasurementsRecurringMember2019-12-310001333986us-gaap:VariableInterestEntityPrimaryBeneficiaryMemberus-gaap:FairValueInputsLevel3Memberus-gaap:FairVal</w:t>
      </w:r>
      <w:r>
        <w:rPr>
          <w:rFonts w:eastAsia="Times New Roman"/>
          <w:vanish/>
        </w:rPr>
        <w:t>ueMeasurementsRecurringMember2019-12-310001333986us-gaap:VariableInterestEntityPrimaryBeneficiaryMemberus-gaap:FairValueMeasurementsRecurringMember2019-12-310001333986us-gaap:FairValueMeasuredAtNetAssetValuePerShareMemberus-gaap:FairValueMeasurementsRecurr</w:t>
      </w:r>
      <w:r>
        <w:rPr>
          <w:rFonts w:eastAsia="Times New Roman"/>
          <w:vanish/>
        </w:rPr>
        <w:t>ingMember2019-12-3100013339862019-01-012019-12-310001333986us-gaap:FairValueInputsLevel3Memberus-gaap:CorporateDebtSecuritiesMember2020-06-300001333986us-gaap:USStatesAndPoliticalSubdivisionsMemberus-gaap:FairValueInputsLevel3Member2020-06-300001333986us-g</w:t>
      </w:r>
      <w:r>
        <w:rPr>
          <w:rFonts w:eastAsia="Times New Roman"/>
          <w:vanish/>
        </w:rPr>
        <w:t>aap:AssetBackedSecuritiesMemberus-gaap:FairValueInputsLevel3Member2020-06-300001333986us-gaap:FairValueInputsLevel3Memberus-gaap:CorporateDebtSecuritiesMember2020-07-012020-09-300001333986us-gaap:USStatesAndPoliticalSubdivisionsMemberus-gaap:FairValueInput</w:t>
      </w:r>
      <w:r>
        <w:rPr>
          <w:rFonts w:eastAsia="Times New Roman"/>
          <w:vanish/>
        </w:rPr>
        <w:t>sLevel3Member2020-07-012020-09-300001333986us-gaap:AssetBackedSecuritiesMemberus-gaap:FairValueInputsLevel3Member2020-07-012020-09-300001333986us-gaap:FairValueInputsLevel3Memberus-gaap:CorporateDebtSecuritiesMember2020-09-300001333986us-gaap:USStatesAndPo</w:t>
      </w:r>
      <w:r>
        <w:rPr>
          <w:rFonts w:eastAsia="Times New Roman"/>
          <w:vanish/>
        </w:rPr>
        <w:t>liticalSubdivisionsMemberus-gaap:FairValueInputsLevel3Member2020-09-300001333986us-gaap:AssetBackedSecuritiesMemberus-gaap:FairValueInputsLevel3Member2020-09-300001333986us-gaap:FairValueInputsLevel3Memberus-gaap:CorporateDebtSecuritiesMember2019-06-300001</w:t>
      </w:r>
      <w:r>
        <w:rPr>
          <w:rFonts w:eastAsia="Times New Roman"/>
          <w:vanish/>
        </w:rPr>
        <w:t>333986us-gaap:USStatesAndPoliticalSubdivisionsMemberus-gaap:FairValueInputsLevel3Member2019-06-300001333986us-gaap:AssetBackedSecuritiesMemberus-gaap:FairValueInputsLevel3Member2019-06-300001333986us-gaap:FairValueInputsLevel3Memberus-gaap:CorporateDebtSec</w:t>
      </w:r>
      <w:r>
        <w:rPr>
          <w:rFonts w:eastAsia="Times New Roman"/>
          <w:vanish/>
        </w:rPr>
        <w:t>uritiesMember2019-07-012019-09-300001333986us-gaap:USStatesAndPoliticalSubdivisionsMemberus-gaap:FairValueInputsLevel3Member2019-07-012019-09-300001333986us-gaap:AssetBackedSecuritiesMemberus-gaap:FairValueInputsLevel3Member2019-07-012019-09-300001333986us</w:t>
      </w:r>
      <w:r>
        <w:rPr>
          <w:rFonts w:eastAsia="Times New Roman"/>
          <w:vanish/>
        </w:rPr>
        <w:t>-gaap:FairValueInputsLevel3Memberus-gaap:CorporateDebtSecuritiesMember2019-09-300001333986us-gaap:USStatesAndPoliticalSubdivisionsMemberus-gaap:FairValueInputsLevel3Member2019-09-300001333986us-gaap:AssetBackedSecuritiesMemberus-gaap:FairValueInputsLevel3M</w:t>
      </w:r>
      <w:r>
        <w:rPr>
          <w:rFonts w:eastAsia="Times New Roman"/>
          <w:vanish/>
        </w:rPr>
        <w:t>ember2019-09-300001333986us-gaap:FairValueInputsLevel3Memberus-gaap:CorporateDebtSecuritiesMember2019-12-310001333986us-gaap:USStatesAndPoliticalSubdivisionsMemberus-gaap:FairValueInputsLevel3Member2019-12-310001333986us-gaap:AssetBackedSecuritiesMemberus-</w:t>
      </w:r>
      <w:r>
        <w:rPr>
          <w:rFonts w:eastAsia="Times New Roman"/>
          <w:vanish/>
        </w:rPr>
        <w:t>gaap:FairValueInputsLevel3Member2019-12-310001333986us-gaap:FairValueInputsLevel3Memberus-gaap:CorporateDebtSecuritiesMember2020-01-012020-09-300001333986us-gaap:USStatesAndPoliticalSubdivisionsMemberus-gaap:FairValueInputsLevel3Member2020-01-012020-09-300</w:t>
      </w:r>
      <w:r>
        <w:rPr>
          <w:rFonts w:eastAsia="Times New Roman"/>
          <w:vanish/>
        </w:rPr>
        <w:t>001333986us-gaap:AssetBackedSecuritiesMemberus-gaap:FairValueInputsLevel3Member2020-01-012020-09-300001333986us-gaap:FairValueInputsLevel3Memberus-gaap:CorporateDebtSecuritiesMember2018-12-310001333986us-gaap:USStatesAndPoliticalSubdivisionsMemberus-gaap:F</w:t>
      </w:r>
      <w:r>
        <w:rPr>
          <w:rFonts w:eastAsia="Times New Roman"/>
          <w:vanish/>
        </w:rPr>
        <w:t>airValueInputsLevel3Member2018-12-310001333986us-gaap:AssetBackedSecuritiesMemberus-gaap:FairValueInputsLevel3Member2018-12-310001333986us-gaap:FairValueInputsLevel3Memberus-gaap:CorporateDebtSecuritiesMember2019-01-012019-09-300001333986us-gaap:USStatesAn</w:t>
      </w:r>
      <w:r>
        <w:rPr>
          <w:rFonts w:eastAsia="Times New Roman"/>
          <w:vanish/>
        </w:rPr>
        <w:t>dPoliticalSubdivisionsMemberus-gaap:FairValueInputsLevel3Member2019-01-012019-09-300001333986us-gaap:AssetBackedSecuritiesMemberus-gaap:FairValueInputsLevel3Member2019-01-012019-09-300001333986us-gaap:FairValueInputsLevel3Memberus-gaap:EquityMethodInvestme</w:t>
      </w:r>
      <w:r>
        <w:rPr>
          <w:rFonts w:eastAsia="Times New Roman"/>
          <w:vanish/>
        </w:rPr>
        <w:t>ntsMember2020-06-300001333986eqh:GmibReinsuranceMemberus-gaap:FairValueInputsLevel3Member2020-06-300001333986eqh:SeparateAccountsMemberus-gaap:FairValueInputsLevel3Member2020-06-300001333986us-gaap:FairValueInputsLevel3Membereqh:GuaranteedIncomeBenefitGuar</w:t>
      </w:r>
      <w:r>
        <w:rPr>
          <w:rFonts w:eastAsia="Times New Roman"/>
          <w:vanish/>
        </w:rPr>
        <w:t>anteedWithdrawalBenefitAndOtherFeaturesLiabilityMember2020-06-300001333986eqh:ContingentPaymentArrangementsMemberus-gaap:FairValueInputsLevel3Member2020-06-300001333986us-gaap:FairValueInputsLevel3Memberus-gaap:EquityMethodInvestmentsMember2020-07-012020-0</w:t>
      </w:r>
      <w:r>
        <w:rPr>
          <w:rFonts w:eastAsia="Times New Roman"/>
          <w:vanish/>
        </w:rPr>
        <w:t>9-300001333986eqh:GmibReinsuranceMemberus-gaap:FairValueInputsLevel3Member2020-07-012020-09-300001333986eqh:SeparateAccountsMemberus-gaap:FairValueInputsLevel3Member2020-07-012020-09-300001333986us-gaap:FairValueInputsLevel3Membereqh:GuaranteedIncomeBenefi</w:t>
      </w:r>
      <w:r>
        <w:rPr>
          <w:rFonts w:eastAsia="Times New Roman"/>
          <w:vanish/>
        </w:rPr>
        <w:t>tGuaranteedWithdrawalBenefitAndOtherFeaturesLiabilityMember2020-07-012020-09-300001333986eqh:ContingentPaymentArrangementsMemberus-gaap:FairValueInputsLevel3Member2020-07-012020-09-300001333986us-gaap:FairValueInputsLevel3Memberus-gaap:EquityMethodInvestme</w:t>
      </w:r>
      <w:r>
        <w:rPr>
          <w:rFonts w:eastAsia="Times New Roman"/>
          <w:vanish/>
        </w:rPr>
        <w:t>ntsMember2020-09-300001333986eqh:GmibReinsuranceMemberus-gaap:FairValueInputsLevel3Member2020-09-300001333986eqh:SeparateAccountsMemberus-gaap:FairValueInputsLevel3Member2020-09-300001333986us-gaap:FairValueInputsLevel3Membereqh:GuaranteedIncomeBenefitGuar</w:t>
      </w:r>
      <w:r>
        <w:rPr>
          <w:rFonts w:eastAsia="Times New Roman"/>
          <w:vanish/>
        </w:rPr>
        <w:t>anteedWithdrawalBenefitAndOtherFeaturesLiabilityMember2020-09-300001333986eqh:ContingentPaymentArrangementsMemberus-gaap:FairValueInputsLevel3Member2020-09-300001333986us-gaap:FairValueInputsLevel3Memberus-gaap:EquityMethodInvestmentsMember2019-06-30000133</w:t>
      </w:r>
      <w:r>
        <w:rPr>
          <w:rFonts w:eastAsia="Times New Roman"/>
          <w:vanish/>
        </w:rPr>
        <w:t>3986eqh:GmibReinsuranceMemberus-gaap:FairValueInputsLevel3Member2019-06-300001333986eqh:SeparateAccountsMemberus-gaap:FairValueInputsLevel3Member2019-06-300001333986us-gaap:FairValueInputsLevel3Membereqh:GuaranteedIncomeBenefitGuaranteedWithdrawalBenefitAn</w:t>
      </w:r>
      <w:r>
        <w:rPr>
          <w:rFonts w:eastAsia="Times New Roman"/>
          <w:vanish/>
        </w:rPr>
        <w:t>dOtherFeaturesLiabilityMember2019-06-300001333986eqh:ContingentPaymentArrangementsMemberus-gaap:FairValueInputsLevel3Member2019-06-300001333986us-gaap:FairValueInputsLevel3Memberus-gaap:EquityMethodInvestmentsMember2019-07-012019-09-300001333986eqh:GmibRei</w:t>
      </w:r>
      <w:r>
        <w:rPr>
          <w:rFonts w:eastAsia="Times New Roman"/>
          <w:vanish/>
        </w:rPr>
        <w:t>nsuranceMemberus-gaap:FairValueInputsLevel3Member2019-07-012019-09-300001333986eqh:SeparateAccountsMemberus-gaap:FairValueInputsLevel3Member2019-07-012019-09-300001333986us-gaap:FairValueInputsLevel3Membereqh:GuaranteedIncomeBenefitGuaranteedWithdrawalBene</w:t>
      </w:r>
      <w:r>
        <w:rPr>
          <w:rFonts w:eastAsia="Times New Roman"/>
          <w:vanish/>
        </w:rPr>
        <w:t>fitAndOtherFeaturesLiabilityMember2019-07-012019-09-300001333986eqh:ContingentPaymentArrangementsMemberus-gaap:FairValueInputsLevel3Member2019-07-012019-09-300001333986us-gaap:FairValueInputsLevel3Memberus-gaap:EquityMethodInvestmentsMember2019-09-30000133</w:t>
      </w:r>
      <w:r>
        <w:rPr>
          <w:rFonts w:eastAsia="Times New Roman"/>
          <w:vanish/>
        </w:rPr>
        <w:t>3986eqh:GmibReinsuranceMemberus-gaap:FairValueInputsLevel3Member2019-09-300001333986eqh:SeparateAccountsMemberus-gaap:FairValueInputsLevel3Member2019-09-300001333986us-gaap:FairValueInputsLevel3Membereqh:GuaranteedIncomeBenefitGuaranteedWithdrawalBenefitAn</w:t>
      </w:r>
      <w:r>
        <w:rPr>
          <w:rFonts w:eastAsia="Times New Roman"/>
          <w:vanish/>
        </w:rPr>
        <w:t>dOtherFeaturesLiabilityMember2019-09-300001333986eqh:ContingentPaymentArrangementsMemberus-gaap:FairValueInputsLevel3Member2019-09-300001333986eqh:GuaranteedIncomeBenefitGuaranteedWithdrawalBenefitAndOtherFeaturesLiabilityMember2020-07-012020-09-3000013339</w:t>
      </w:r>
      <w:r>
        <w:rPr>
          <w:rFonts w:eastAsia="Times New Roman"/>
          <w:vanish/>
        </w:rPr>
        <w:t>86eqh:GmibReinsuranceMember2020-07-012020-09-300001333986us-gaap:FairValueInputsLevel3Memberus-gaap:EquityMethodInvestmentsMember2019-12-310001333986eqh:GmibReinsuranceMemberus-gaap:FairValueInputsLevel3Member2019-12-310001333986eqh:SeparateAccountsMemberu</w:t>
      </w:r>
      <w:r>
        <w:rPr>
          <w:rFonts w:eastAsia="Times New Roman"/>
          <w:vanish/>
        </w:rPr>
        <w:t>s-gaap:FairValueInputsLevel3Member2019-12-310001333986us-gaap:FairValueInputsLevel3Membereqh:GuaranteedIncomeBenefitGuaranteedWithdrawalBenefitAndOtherFeaturesLiabilityMember2019-12-310001333986eqh:ContingentPaymentArrangementsMemberus-gaap:FairValueInputs</w:t>
      </w:r>
      <w:r>
        <w:rPr>
          <w:rFonts w:eastAsia="Times New Roman"/>
          <w:vanish/>
        </w:rPr>
        <w:t>Level3Member2019-12-310001333986us-gaap:FairValueInputsLevel3Memberus-gaap:EquityMethodInvestmentsMember2020-01-012020-09-300001333986eqh:GmibReinsuranceMemberus-gaap:FairValueInputsLevel3Member2020-01-012020-09-300001333986eqh:SeparateAccountsMemberus-gaa</w:t>
      </w:r>
      <w:r>
        <w:rPr>
          <w:rFonts w:eastAsia="Times New Roman"/>
          <w:vanish/>
        </w:rPr>
        <w:t>p:FairValueInputsLevel3Member2020-01-012020-09-300001333986us-gaap:FairValueInputsLevel3Membereqh:GuaranteedIncomeBenefitGuaranteedWithdrawalBenefitAndOtherFeaturesLiabilityMember2020-01-012020-09-300001333986eqh:ContingentPaymentArrangementsMemberus-gaap:</w:t>
      </w:r>
      <w:r>
        <w:rPr>
          <w:rFonts w:eastAsia="Times New Roman"/>
          <w:vanish/>
        </w:rPr>
        <w:t>FairValueInputsLevel3Member2020-01-012020-09-300001333986us-gaap:FairValueInputsLevel3Memberus-gaap:EquityMethodInvestmentsMember2018-12-310001333986eqh:GmibReinsuranceMemberus-gaap:FairValueInputsLevel3Member2018-12-310001333986eqh:SeparateAccountsMemberu</w:t>
      </w:r>
      <w:r>
        <w:rPr>
          <w:rFonts w:eastAsia="Times New Roman"/>
          <w:vanish/>
        </w:rPr>
        <w:t>s-gaap:FairValueInputsLevel3Member2018-12-310001333986us-gaap:FairValueInputsLevel3Membereqh:GuaranteedIncomeBenefitGuaranteedWithdrawalBenefitAndOtherFeaturesLiabilityMember2018-12-310001333986eqh:ContingentPaymentArrangementsMemberus-gaap:FairValueInputs</w:t>
      </w:r>
      <w:r>
        <w:rPr>
          <w:rFonts w:eastAsia="Times New Roman"/>
          <w:vanish/>
        </w:rPr>
        <w:t>Level3Member2018-12-310001333986us-gaap:FairValueInputsLevel3Memberus-gaap:EquityMethodInvestmentsMember2019-01-012019-09-300001333986eqh:GmibReinsuranceMemberus-gaap:FairValueInputsLevel3Member2019-01-012019-09-300001333986eqh:SeparateAccountsMemberus-gaa</w:t>
      </w:r>
      <w:r>
        <w:rPr>
          <w:rFonts w:eastAsia="Times New Roman"/>
          <w:vanish/>
        </w:rPr>
        <w:t>p:FairValueInputsLevel3Member2019-01-012019-09-300001333986us-gaap:FairValueInputsLevel3Membereqh:GuaranteedIncomeBenefitGuaranteedWithdrawalBenefitAndOtherFeaturesLiabilityMember2019-01-012019-09-300001333986eqh:ContingentPaymentArrangementsMemberus-gaap:</w:t>
      </w:r>
      <w:r>
        <w:rPr>
          <w:rFonts w:eastAsia="Times New Roman"/>
          <w:vanish/>
        </w:rPr>
        <w:t>FairValueInputsLevel3Member2019-01-012019-09-300001333986eqh:GuaranteedIncomeBenefitGuaranteedWithdrawalBenefitAndOtherFeaturesLiabilityMember2020-01-012020-09-300001333986eqh:GmibReinsuranceMember2020-01-012020-09-300001333986us-gaap:CorporateDebtSecuriti</w:t>
      </w:r>
      <w:r>
        <w:rPr>
          <w:rFonts w:eastAsia="Times New Roman"/>
          <w:vanish/>
        </w:rPr>
        <w:t>esMember2020-01-012020-09-300001333986us-gaap:USStatesAndPoliticalSubdivisionsMember2020-01-012020-09-300001333986us-gaap:AssetBackedSecuritiesMember2020-01-012020-09-300001333986eqh:FixedMaturitiesAvailableforSaleMember2020-01-012020-09-300001333986eqh:Se</w:t>
      </w:r>
      <w:r>
        <w:rPr>
          <w:rFonts w:eastAsia="Times New Roman"/>
          <w:vanish/>
        </w:rPr>
        <w:t>parateAccountAssetsMember2020-01-012020-09-300001333986eqh:GMxBderivativefeaturesliabilityMember2020-01-012020-09-300001333986eqh:Level3AssetsAndLiabilitiesHeldMember2020-01-012020-09-300001333986us-gaap:CorporateDebtSecuritiesMember2019-01-012019-09-30000</w:t>
      </w:r>
      <w:r>
        <w:rPr>
          <w:rFonts w:eastAsia="Times New Roman"/>
          <w:vanish/>
        </w:rPr>
        <w:t>1333986us-gaap:USStatesAndPoliticalSubdivisionsMember2019-01-012019-09-300001333986us-gaap:AssetBackedSecuritiesMember2019-01-012019-09-300001333986eqh:FixedMaturitiesAvailableforSaleMember2019-01-012019-09-300001333986eqh:GmibReinsuranceMember2019-01-0120</w:t>
      </w:r>
      <w:r>
        <w:rPr>
          <w:rFonts w:eastAsia="Times New Roman"/>
          <w:vanish/>
        </w:rPr>
        <w:t>19-09-300001333986eqh:SeparateAccountAssetsMember2019-01-012019-09-300001333986eqh:GMxBderivativefeaturesliabilityMember2019-01-012019-09-300001333986eqh:Level3AssetsAndLiabilitiesHeldMember2019-01-012019-09-300001333986eqh:MatrixPricingModelValuationTechn</w:t>
      </w:r>
      <w:r>
        <w:rPr>
          <w:rFonts w:eastAsia="Times New Roman"/>
          <w:vanish/>
        </w:rPr>
        <w:t>iqueMemberus-gaap:FairValueInputsLevel3Memberus-gaap:CorporateDebtSecuritiesMember2020-09-300001333986eqh:MarketComparableCompaniesValuationTechniqueMemberus-gaap:FairValueInputsLevel3Memberus-gaap:CorporateDebtSecuritiesMember2020-09-300001333986eqh:Marke</w:t>
      </w:r>
      <w:r>
        <w:rPr>
          <w:rFonts w:eastAsia="Times New Roman"/>
          <w:vanish/>
        </w:rPr>
        <w:t>tComparableCompaniesValuationTechniqueMemberus-gaap:EquityMethodInvestmentsMemberus-gaap:FairValueInputsLevel3Member2020-09-300001333986us-gaap:EquityMethodInvestmentsMembereqh:DiscountedCashFlowValuationTechniqueMemberus-gaap:FairValueInputsLevel3Member20</w:t>
      </w:r>
      <w:r>
        <w:rPr>
          <w:rFonts w:eastAsia="Times New Roman"/>
          <w:vanish/>
        </w:rPr>
        <w:t>20-09-300001333986eqh:GmibReinsuranceMembereqh:DiscountedCashFlowValuationTechniqueMemberus-gaap:FairValueInputsLevel3Member2020-09-300001333986eqh:GuaranteedMinimumInsuranceBenefitsnoLapseGuaranteeMembereqh:DiscountedCashFlowValuationTechniqueMemberus-gaa</w:t>
      </w:r>
      <w:r>
        <w:rPr>
          <w:rFonts w:eastAsia="Times New Roman"/>
          <w:vanish/>
        </w:rPr>
        <w:t>p:FairValueInputsLevel3Member2020-09-300001333986eqh:DiscountedCashFlowValuationTechniqueMemberus-gaap:FairValueInputsLevel3Membereqh:AssumedGMIBReinsuranceContractsMember2020-09-300001333986eqh:DiscountedCashFlowValuationTechniqueMemberus-gaap:FairValueIn</w:t>
      </w:r>
      <w:r>
        <w:rPr>
          <w:rFonts w:eastAsia="Times New Roman"/>
          <w:vanish/>
        </w:rPr>
        <w:t>putsLevel3Membereqh:GmwbGwblMember2020-09-300001333986eqh:GuaranteedInsuranceBenefitsMembereqh:DiscountedCashFlowValuationTechniqueMemberus-gaap:FairValueInputsLevel3Member2020-09-300001333986eqh:DiscountedCashFlowValuationTechniqueMemberus-gaap:FairValueI</w:t>
      </w:r>
      <w:r>
        <w:rPr>
          <w:rFonts w:eastAsia="Times New Roman"/>
          <w:vanish/>
        </w:rPr>
        <w:t>nputsLevel3Membereqh:GuaranteedMinimumAnnuityBenefitsMember2020-09-300001333986eqh:MatrixPricingModelValuationTechniqueMemberus-gaap:FairValueInputsLevel3Memberus-gaap:CorporateDebtSecuritiesMember2019-12-310001333986eqh:MarketComparableCompaniesValuationT</w:t>
      </w:r>
      <w:r>
        <w:rPr>
          <w:rFonts w:eastAsia="Times New Roman"/>
          <w:vanish/>
        </w:rPr>
        <w:t>echniqueMemberus-gaap:FairValueInputsLevel3Memberus-gaap:CorporateDebtSecuritiesMember2019-12-310001333986us-gaap:EquityMethodInvestmentsMembereqh:DiscountedCashFlowValuationTechniqueMemberus-gaap:FairValueInputsLevel3Member2019-12-310001333986eqh:GmibRein</w:t>
      </w:r>
      <w:r>
        <w:rPr>
          <w:rFonts w:eastAsia="Times New Roman"/>
          <w:vanish/>
        </w:rPr>
        <w:t>suranceMembereqh:DiscountedCashFlowValuationTechniqueMemberus-gaap:FairValueInputsLevel3Member2019-12-310001333986eqh:GuaranteedMinimumInsuranceBenefitsnoLapseGuaranteeMembereqh:DiscountedCashFlowValuationTechniqueMemberus-gaap:FairValueInputsLevel3Member2</w:t>
      </w:r>
      <w:r>
        <w:rPr>
          <w:rFonts w:eastAsia="Times New Roman"/>
          <w:vanish/>
        </w:rPr>
        <w:t>019-12-310001333986eqh:DiscountedCashFlowValuationTechniqueMemberus-gaap:FairValueInputsLevel3Membereqh:AssumedGMIBReinsuranceContractsMember2019-12-310001333986eqh:DiscountedCashFlowValuationTechniqueMemberus-gaap:FairValueInputsLevel3Membereqh:GmwbGwblMe</w:t>
      </w:r>
      <w:r>
        <w:rPr>
          <w:rFonts w:eastAsia="Times New Roman"/>
          <w:vanish/>
        </w:rPr>
        <w:t>mber2019-12-310001333986eqh:GuaranteedInsuranceBenefitsMembereqh:DiscountedCashFlowValuationTechniqueMemberus-gaap:FairValueInputsLevel3Member2019-12-310001333986eqh:DiscountedCashFlowValuationTechniqueMemberus-gaap:FairValueInputsLevel3Membereqh:Guarantee</w:t>
      </w:r>
      <w:r>
        <w:rPr>
          <w:rFonts w:eastAsia="Times New Roman"/>
          <w:vanish/>
        </w:rPr>
        <w:t>dMinimumAnnuityBenefitsMember2019-12-310001333986us-gaap:FairValueMeasurementsNonrecurringMemberus-gaap:FairValueInputsLevel3Member2020-09-300001333986us-gaap:FairValueMeasurementsNonrecurringMemberus-gaap:FairValueInputsLevel3Member2019-12-310001333986eqh</w:t>
      </w:r>
      <w:r>
        <w:rPr>
          <w:rFonts w:eastAsia="Times New Roman"/>
          <w:vanish/>
        </w:rPr>
        <w:t>:AllianceBernsteinMemberus-gaap:FairValueInputsLevel3Member2020-09-300001333986eqh:AllianceBernsteinMemberus-gaap:FairValueInputsLevel3Member2019-12-310001333986eqh:AllianceBernsteinMemberus-gaap:MeasurementInputLongTermRevenueGrowthRateMemberus-gaap:FairV</w:t>
      </w:r>
      <w:r>
        <w:rPr>
          <w:rFonts w:eastAsia="Times New Roman"/>
          <w:vanish/>
        </w:rPr>
        <w:t>alueInputsLevel3Membersrt:MinimumMember2020-01-012020-09-300001333986eqh:AllianceBernsteinMembersrt:MaximumMemberus-gaap:MeasurementInputLongTermRevenueGrowthRateMemberus-gaap:FairValueInputsLevel3Member2020-01-012020-09-300001333986eqh:AllianceBernsteinMe</w:t>
      </w:r>
      <w:r>
        <w:rPr>
          <w:rFonts w:eastAsia="Times New Roman"/>
          <w:vanish/>
        </w:rPr>
        <w:t>mberus-gaap:MeasurementInputLongTermRevenueGrowthRateMembersrt:WeightedAverageMemberus-gaap:FairValueInputsLevel3Member2020-01-012020-09-300001333986eqh:AllianceBernsteinMemberus-gaap:FairValueInputsLevel3Membersrt:MinimumMemberus-gaap:MeasurementInputDisc</w:t>
      </w:r>
      <w:r>
        <w:rPr>
          <w:rFonts w:eastAsia="Times New Roman"/>
          <w:vanish/>
        </w:rPr>
        <w:t>ountRateMember2020-01-012020-09-300001333986eqh:AllianceBernsteinMembersrt:MaximumMemberus-gaap:FairValueInputsLevel3Memberus-gaap:MeasurementInputDiscountRateMember2020-01-012020-09-300001333986eqh:AllianceBernsteinMembersrt:WeightedAverageMemberus-gaap:F</w:t>
      </w:r>
      <w:r>
        <w:rPr>
          <w:rFonts w:eastAsia="Times New Roman"/>
          <w:vanish/>
        </w:rPr>
        <w:t>airValueInputsLevel3Memberus-gaap:MeasurementInputDiscountRateMember2020-01-012020-09-300001333986us-gaap:CarryingReportedAmountFairValueDisclosureMember2020-09-300001333986us-gaap:FairValueInputsLevel1Memberus-gaap:EstimateOfFairValueFairValueDisclosureMe</w:t>
      </w:r>
      <w:r>
        <w:rPr>
          <w:rFonts w:eastAsia="Times New Roman"/>
          <w:vanish/>
        </w:rPr>
        <w:t>mber2020-09-300001333986us-gaap:FairValueInputsLevel2Memberus-gaap:EstimateOfFairValueFairValueDisclosureMember2020-09-300001333986us-gaap:FairValueInputsLevel3Memberus-gaap:EstimateOfFairValueFairValueDisclosureMember2020-09-300001333986us-gaap:EstimateOf</w:t>
      </w:r>
      <w:r>
        <w:rPr>
          <w:rFonts w:eastAsia="Times New Roman"/>
          <w:vanish/>
        </w:rPr>
        <w:t>FairValueFairValueDisclosureMember2020-09-300001333986us-gaap:CarryingReportedAmountFairValueDisclosureMember2019-12-310001333986us-gaap:FairValueInputsLevel1Memberus-gaap:EstimateOfFairValueFairValueDisclosureMember2019-12-310001333986us-gaap:FairValueInp</w:t>
      </w:r>
      <w:r>
        <w:rPr>
          <w:rFonts w:eastAsia="Times New Roman"/>
          <w:vanish/>
        </w:rPr>
        <w:t>utsLevel2Memberus-gaap:EstimateOfFairValueFairValueDisclosureMember2019-12-310001333986us-gaap:FairValueInputsLevel3Memberus-gaap:EstimateOfFairValueFairValueDisclosureMember2019-12-310001333986us-gaap:EstimateOfFairValueFairValueDisclosureMember2019-12-31</w:t>
      </w:r>
      <w:r>
        <w:rPr>
          <w:rFonts w:eastAsia="Times New Roman"/>
          <w:vanish/>
        </w:rPr>
        <w:t>0001333986eqh:MatrixPricingModelValuationTechniqueMemberus-gaap:FairValueInputsLevel3Memberus-gaap:CorporateDebtSecuritiesMembersrt:MinimumMember2020-01-012020-09-300001333986eqh:MatrixPricingModelValuationTechniqueMembersrt:MaximumMemberus-gaap:FairValueI</w:t>
      </w:r>
      <w:r>
        <w:rPr>
          <w:rFonts w:eastAsia="Times New Roman"/>
          <w:vanish/>
        </w:rPr>
        <w:t>nputsLevel3Memberus-gaap:CorporateDebtSecuritiesMember2020-01-012020-09-300001333986eqh:MatrixPricingModelValuationTechniqueMembersrt:WeightedAverageMemberus-gaap:FairValueInputsLevel3Memberus-gaap:CorporateDebtSecuritiesMember2020-01-012020-09-30000133398</w:t>
      </w:r>
      <w:r>
        <w:rPr>
          <w:rFonts w:eastAsia="Times New Roman"/>
          <w:vanish/>
        </w:rPr>
        <w:t>6us-gaap:MeasurementInputEbitdaMultipleMembereqh:MarketComparableCompaniesValuationTechniqueMemberus-gaap:FairValueInputsLevel3Memberus-gaap:CorporateDebtSecuritiesMembersrt:MinimumMember2020-09-300001333986us-gaap:MeasurementInputEbitdaMultipleMembereqh:M</w:t>
      </w:r>
      <w:r>
        <w:rPr>
          <w:rFonts w:eastAsia="Times New Roman"/>
          <w:vanish/>
        </w:rPr>
        <w:t>arketComparableCompaniesValuationTechniqueMembersrt:MaximumMemberus-gaap:FairValueInputsLevel3Memberus-gaap:CorporateDebtSecuritiesMember2020-09-300001333986us-gaap:MeasurementInputEbitdaMultipleMembereqh:MarketComparableCompaniesValuationTechniqueMembersr</w:t>
      </w:r>
      <w:r>
        <w:rPr>
          <w:rFonts w:eastAsia="Times New Roman"/>
          <w:vanish/>
        </w:rPr>
        <w:t>t:WeightedAverageMemberus-gaap:FairValueInputsLevel3Memberus-gaap:CorporateDebtSecuritiesMember2020-09-300001333986eqh:MarketComparableCompaniesValuationTechniqueMemberus-gaap:FairValueInputsLevel3Memberus-gaap:CorporateDebtSecuritiesMembersrt:MinimumMembe</w:t>
      </w:r>
      <w:r>
        <w:rPr>
          <w:rFonts w:eastAsia="Times New Roman"/>
          <w:vanish/>
        </w:rPr>
        <w:t>rus-gaap:MeasurementInputDiscountRateMember2020-09-300001333986eqh:MarketComparableCompaniesValuationTechniqueMembersrt:MaximumMemberus-gaap:FairValueInputsLevel3Memberus-gaap:CorporateDebtSecuritiesMemberus-gaap:MeasurementInputDiscountRateMember2020-09-3</w:t>
      </w:r>
      <w:r>
        <w:rPr>
          <w:rFonts w:eastAsia="Times New Roman"/>
          <w:vanish/>
        </w:rPr>
        <w:t>00001333986eqh:MarketComparableCompaniesValuationTechniqueMembersrt:WeightedAverageMemberus-gaap:FairValueInputsLevel3Memberus-gaap:CorporateDebtSecuritiesMemberus-gaap:MeasurementInputDiscountRateMember2020-09-300001333986eqh:MeasurementInputCashFlowMulti</w:t>
      </w:r>
      <w:r>
        <w:rPr>
          <w:rFonts w:eastAsia="Times New Roman"/>
          <w:vanish/>
        </w:rPr>
        <w:t>plesMembereqh:MarketComparableCompaniesValuationTechniqueMemberus-gaap:FairValueInputsLevel3Memberus-gaap:CorporateDebtSecuritiesMembersrt:MinimumMember2020-09-300001333986eqh:MeasurementInputCashFlowMultiplesMembereqh:MarketComparableCompaniesValuationTec</w:t>
      </w:r>
      <w:r>
        <w:rPr>
          <w:rFonts w:eastAsia="Times New Roman"/>
          <w:vanish/>
        </w:rPr>
        <w:t>hniqueMembersrt:MaximumMemberus-gaap:FairValueInputsLevel3Memberus-gaap:CorporateDebtSecuritiesMember2020-09-300001333986eqh:MeasurementInputCashFlowMultiplesMembereqh:MarketComparableCompaniesValuationTechniqueMembersrt:WeightedAverageMemberus-gaap:FairVa</w:t>
      </w:r>
      <w:r>
        <w:rPr>
          <w:rFonts w:eastAsia="Times New Roman"/>
          <w:vanish/>
        </w:rPr>
        <w:t>lueInputsLevel3Memberus-gaap:CorporateDebtSecuritiesMember2020-09-300001333986eqh:MarketComparableCompaniesValuationTechniqueMemberus-gaap:MeasurementInputRevenueMultipleMemberus-gaap:EquityMethodInvestmentsMemberus-gaap:FairValueInputsLevel3Membersrt:Mini</w:t>
      </w:r>
      <w:r>
        <w:rPr>
          <w:rFonts w:eastAsia="Times New Roman"/>
          <w:vanish/>
        </w:rPr>
        <w:t>mumMember2020-09-300001333986eqh:MarketComparableCompaniesValuationTechniqueMembersrt:MaximumMemberus-gaap:MeasurementInputRevenueMultipleMemberus-gaap:EquityMethodInvestmentsMemberus-gaap:FairValueInputsLevel3Member2020-09-300001333986eqh:MarketComparable</w:t>
      </w:r>
      <w:r>
        <w:rPr>
          <w:rFonts w:eastAsia="Times New Roman"/>
          <w:vanish/>
        </w:rPr>
        <w:t>CompaniesValuationTechniqueMembersrt:WeightedAverageMemberus-gaap:MeasurementInputRevenueMultipleMemberus-gaap:EquityMethodInvestmentsMemberus-gaap:FairValueInputsLevel3Member2020-09-300001333986us-gaap:MeasurementInputRevenueMultipleMemberus-gaap:EquityMe</w:t>
      </w:r>
      <w:r>
        <w:rPr>
          <w:rFonts w:eastAsia="Times New Roman"/>
          <w:vanish/>
        </w:rPr>
        <w:t>thodInvestmentsMembereqh:DiscountedCashFlowValuationTechniqueMemberus-gaap:FairValueInputsLevel3Member2020-09-300001333986us-gaap:EquityMethodInvestmentsMembereqh:DiscountedCashFlowValuationTechniqueMemberus-gaap:FairValueInputsLevel3Memberus-gaap:Measurem</w:t>
      </w:r>
      <w:r>
        <w:rPr>
          <w:rFonts w:eastAsia="Times New Roman"/>
          <w:vanish/>
        </w:rPr>
        <w:t>entInputDiscountRateMember2020-09-300001333986us-gaap:EquityMethodInvestmentsMembereqh:DiscountedCashFlowValuationTechniqueMemberus-gaap:FairValueInputsLevel3Member2020-01-012020-09-300001333986eqh:MeasurementInputNonperformanceRiskMembereqh:GmibReinsuranc</w:t>
      </w:r>
      <w:r>
        <w:rPr>
          <w:rFonts w:eastAsia="Times New Roman"/>
          <w:vanish/>
        </w:rPr>
        <w:t>eMembereqh:DiscountedCashFlowValuationTechniqueMemberus-gaap:FairValueInputsLevel3Membersrt:MinimumMember2020-09-300001333986eqh:MeasurementInputNonperformanceRiskMembersrt:MaximumMembereqh:GmibReinsuranceMembereqh:DiscountedCashFlowValuationTechniqueMembe</w:t>
      </w:r>
      <w:r>
        <w:rPr>
          <w:rFonts w:eastAsia="Times New Roman"/>
          <w:vanish/>
        </w:rPr>
        <w:t>rus-gaap:FairValueInputsLevel3Member2020-09-300001333986eqh:MeasurementInputNonperformanceRiskMembersrt:WeightedAverageMembereqh:GmibReinsuranceMembereqh:DiscountedCashFlowValuationTechniqueMemberus-gaap:FairValueInputsLevel3Member2020-09-300001333986us-ga</w:t>
      </w:r>
      <w:r>
        <w:rPr>
          <w:rFonts w:eastAsia="Times New Roman"/>
          <w:vanish/>
        </w:rPr>
        <w:t>ap:MeasurementInputLapseRateMembereqh:GmibReinsuranceMembereqh:DiscountedCashFlowValuationTechniqueMemberus-gaap:FairValueInputsLevel3Membersrt:MinimumMember2020-09-300001333986srt:MaximumMemberus-gaap:MeasurementInputLapseRateMembereqh:GmibReinsuranceMemb</w:t>
      </w:r>
      <w:r>
        <w:rPr>
          <w:rFonts w:eastAsia="Times New Roman"/>
          <w:vanish/>
        </w:rPr>
        <w:t>ereqh:DiscountedCashFlowValuationTechniqueMemberus-gaap:FairValueInputsLevel3Member2020-09-300001333986srt:WeightedAverageMemberus-gaap:MeasurementInputLapseRateMembereqh:GmibReinsuranceMembereqh:DiscountedCashFlowValuationTechniqueMemberus-gaap:FairValueI</w:t>
      </w:r>
      <w:r>
        <w:rPr>
          <w:rFonts w:eastAsia="Times New Roman"/>
          <w:vanish/>
        </w:rPr>
        <w:t>nputsLevel3Member2020-09-300001333986us-gaap:MeasurementInputWithdrawalRateMembereqh:GmibReinsuranceMembereqh:DiscountedCashFlowValuationTechniqueMemberus-gaap:FairValueInputsLevel3Membersrt:MinimumMember2020-09-300001333986us-gaap:MeasurementInputWithdraw</w:t>
      </w:r>
      <w:r>
        <w:rPr>
          <w:rFonts w:eastAsia="Times New Roman"/>
          <w:vanish/>
        </w:rPr>
        <w:t>alRateMembersrt:MaximumMembereqh:GmibReinsuranceMembereqh:DiscountedCashFlowValuationTechniqueMemberus-gaap:FairValueInputsLevel3Member2020-09-300001333986us-gaap:MeasurementInputWithdrawalRateMembersrt:WeightedAverageMembereqh:GmibReinsuranceMembereqh:Dis</w:t>
      </w:r>
      <w:r>
        <w:rPr>
          <w:rFonts w:eastAsia="Times New Roman"/>
          <w:vanish/>
        </w:rPr>
        <w:t>countedCashFlowValuationTechniqueMemberus-gaap:FairValueInputsLevel3Member2020-09-300001333986us-gaap:MeasurementInputUtilizationRateMembereqh:GmibReinsuranceMembereqh:DiscountedCashFlowValuationTechniqueMemberus-gaap:FairValueInputsLevel3Membersrt:Minimum</w:t>
      </w:r>
      <w:r>
        <w:rPr>
          <w:rFonts w:eastAsia="Times New Roman"/>
          <w:vanish/>
        </w:rPr>
        <w:t>Member2020-09-300001333986us-gaap:MeasurementInputUtilizationRateMembersrt:MaximumMembereqh:GmibReinsuranceMembereqh:DiscountedCashFlowValuationTechniqueMemberus-gaap:FairValueInputsLevel3Member2020-09-300001333986us-gaap:MeasurementInputUtilizationRateMem</w:t>
      </w:r>
      <w:r>
        <w:rPr>
          <w:rFonts w:eastAsia="Times New Roman"/>
          <w:vanish/>
        </w:rPr>
        <w:t>bersrt:WeightedAverageMembereqh:GmibReinsuranceMembereqh:DiscountedCashFlowValuationTechniqueMemberus-gaap:FairValueInputsLevel3Member2020-09-300001333986eqh:GmibReinsuranceMembereqh:DiscountedCashFlowValuationTechniqueMemberus-gaap:FairValueInputsLevel3Me</w:t>
      </w:r>
      <w:r>
        <w:rPr>
          <w:rFonts w:eastAsia="Times New Roman"/>
          <w:vanish/>
        </w:rPr>
        <w:t>mbereqh:MeasurementInputEquityVolatilityMembersrt:MinimumMember2020-09-300001333986srt:MaximumMembereqh:GmibReinsuranceMembereqh:DiscountedCashFlowValuationTechniqueMemberus-gaap:FairValueInputsLevel3Membereqh:MeasurementInputEquityVolatilityMember2020-09-</w:t>
      </w:r>
      <w:r>
        <w:rPr>
          <w:rFonts w:eastAsia="Times New Roman"/>
          <w:vanish/>
        </w:rPr>
        <w:t>300001333986srt:WeightedAverageMembereqh:GmibReinsuranceMembereqh:DiscountedCashFlowValuationTechniqueMemberus-gaap:FairValueInputsLevel3Membereqh:MeasurementInputEquityVolatilityMember2020-09-300001333986us-gaap:MeasurementInputMortalityRateMembereqh:Gmib</w:t>
      </w:r>
      <w:r>
        <w:rPr>
          <w:rFonts w:eastAsia="Times New Roman"/>
          <w:vanish/>
        </w:rPr>
        <w:t>ReinsuranceMembereqh:RangeOneMembereqh:DiscountedCashFlowValuationTechniqueMemberus-gaap:FairValueInputsLevel3Membersrt:MinimumMember2020-09-300001333986us-gaap:MeasurementInputMortalityRateMembersrt:MaximumMembereqh:GmibReinsuranceMembereqh:RangeOneMember</w:t>
      </w:r>
      <w:r>
        <w:rPr>
          <w:rFonts w:eastAsia="Times New Roman"/>
          <w:vanish/>
        </w:rPr>
        <w:t>eqh:DiscountedCashFlowValuationTechniqueMemberus-gaap:FairValueInputsLevel3Member2020-09-300001333986us-gaap:MeasurementInputMortalityRateMembersrt:WeightedAverageMembereqh:GmibReinsuranceMembereqh:DiscountedCashFlowValuationTechniqueMemberus-gaap:FairValu</w:t>
      </w:r>
      <w:r>
        <w:rPr>
          <w:rFonts w:eastAsia="Times New Roman"/>
          <w:vanish/>
        </w:rPr>
        <w:t>eInputsLevel3Member2020-09-300001333986eqh:RangeTwoMemberus-gaap:MeasurementInputMortalityRateMembereqh:GmibReinsuranceMembereqh:DiscountedCashFlowValuationTechniqueMemberus-gaap:FairValueInputsLevel3Membersrt:MinimumMember2020-09-300001333986eqh:RangeTwoM</w:t>
      </w:r>
      <w:r>
        <w:rPr>
          <w:rFonts w:eastAsia="Times New Roman"/>
          <w:vanish/>
        </w:rPr>
        <w:t>emberus-gaap:MeasurementInputMortalityRateMembersrt:MaximumMembereqh:GmibReinsuranceMembereqh:DiscountedCashFlowValuationTechniqueMemberus-gaap:FairValueInputsLevel3Member2020-09-300001333986eqh:RangeThreeMemberus-gaap:MeasurementInputMortalityRateMembereq</w:t>
      </w:r>
      <w:r>
        <w:rPr>
          <w:rFonts w:eastAsia="Times New Roman"/>
          <w:vanish/>
        </w:rPr>
        <w:t>h:GmibReinsuranceMembereqh:DiscountedCashFlowValuationTechniqueMemberus-gaap:FairValueInputsLevel3Membersrt:MinimumMember2020-09-300001333986eqh:RangeThreeMemberus-gaap:MeasurementInputMortalityRateMembersrt:MaximumMembereqh:GmibReinsuranceMembereqh:Discou</w:t>
      </w:r>
      <w:r>
        <w:rPr>
          <w:rFonts w:eastAsia="Times New Roman"/>
          <w:vanish/>
        </w:rPr>
        <w:t>ntedCashFlowValuationTechniqueMemberus-gaap:FairValueInputsLevel3Member2020-09-300001333986eqh:GuaranteedMinimumInsuranceBenefitsnoLapseGuaranteeMembereqh:MeasurementInputNonperformanceRiskMembereqh:DiscountedCashFlowValuationTechniqueMemberus-gaap:FairVal</w:t>
      </w:r>
      <w:r>
        <w:rPr>
          <w:rFonts w:eastAsia="Times New Roman"/>
          <w:vanish/>
        </w:rPr>
        <w:t>ueInputsLevel3Member2020-09-300001333986eqh:GuaranteedMinimumInsuranceBenefitsnoLapseGuaranteeMemberus-gaap:MeasurementInputLapseRateMembereqh:DiscountedCashFlowValuationTechniqueMemberus-gaap:FairValueInputsLevel3Membersrt:MinimumMember2020-09-30000133398</w:t>
      </w:r>
      <w:r>
        <w:rPr>
          <w:rFonts w:eastAsia="Times New Roman"/>
          <w:vanish/>
        </w:rPr>
        <w:t>6eqh:GuaranteedMinimumInsuranceBenefitsnoLapseGuaranteeMembersrt:MaximumMemberus-gaap:MeasurementInputLapseRateMembereqh:DiscountedCashFlowValuationTechniqueMemberus-gaap:FairValueInputsLevel3Member2020-09-300001333986eqh:GuaranteedMinimumInsuranceBenefits</w:t>
      </w:r>
      <w:r>
        <w:rPr>
          <w:rFonts w:eastAsia="Times New Roman"/>
          <w:vanish/>
        </w:rPr>
        <w:t>noLapseGuaranteeMembersrt:WeightedAverageMemberus-gaap:MeasurementInputLapseRateMembereqh:DiscountedCashFlowValuationTechniqueMemberus-gaap:FairValueInputsLevel3Member2020-09-300001333986us-gaap:MeasurementInputWithdrawalRateMembereqh:GuaranteedMinimumInsu</w:t>
      </w:r>
      <w:r>
        <w:rPr>
          <w:rFonts w:eastAsia="Times New Roman"/>
          <w:vanish/>
        </w:rPr>
        <w:t>ranceBenefitsnoLapseGuaranteeMembereqh:DiscountedCashFlowValuationTechniqueMemberus-gaap:FairValueInputsLevel3Membersrt:MinimumMember2020-09-300001333986us-gaap:MeasurementInputWithdrawalRateMembereqh:GuaranteedMinimumInsuranceBenefitsnoLapseGuaranteeMembe</w:t>
      </w:r>
      <w:r>
        <w:rPr>
          <w:rFonts w:eastAsia="Times New Roman"/>
          <w:vanish/>
        </w:rPr>
        <w:t>rsrt:MaximumMembereqh:DiscountedCashFlowValuationTechniqueMemberus-gaap:FairValueInputsLevel3Member2020-09-300001333986us-gaap:MeasurementInputWithdrawalRateMembereqh:GuaranteedMinimumInsuranceBenefitsnoLapseGuaranteeMembersrt:WeightedAverageMembereqh:Disc</w:t>
      </w:r>
      <w:r>
        <w:rPr>
          <w:rFonts w:eastAsia="Times New Roman"/>
          <w:vanish/>
        </w:rPr>
        <w:t>ountedCashFlowValuationTechniqueMemberus-gaap:FairValueInputsLevel3Member2020-09-300001333986eqh:MeasurementInputAnnuitizationRateMembereqh:GuaranteedMinimumInsuranceBenefitsnoLapseGuaranteeMembereqh:DiscountedCashFlowValuationTechniqueMemberus-gaap:FairVa</w:t>
      </w:r>
      <w:r>
        <w:rPr>
          <w:rFonts w:eastAsia="Times New Roman"/>
          <w:vanish/>
        </w:rPr>
        <w:t>lueInputsLevel3Membersrt:MinimumMember2020-09-300001333986eqh:MeasurementInputAnnuitizationRateMembereqh:GuaranteedMinimumInsuranceBenefitsnoLapseGuaranteeMembersrt:MaximumMembereqh:DiscountedCashFlowValuationTechniqueMemberus-gaap:FairValueInputsLevel3Mem</w:t>
      </w:r>
      <w:r>
        <w:rPr>
          <w:rFonts w:eastAsia="Times New Roman"/>
          <w:vanish/>
        </w:rPr>
        <w:t>ber2020-09-300001333986eqh:MeasurementInputAnnuitizationRateMembereqh:GuaranteedMinimumInsuranceBenefitsnoLapseGuaranteeMembersrt:WeightedAverageMembereqh:DiscountedCashFlowValuationTechniqueMemberus-gaap:FairValueInputsLevel3Member2020-09-300001333986us-g</w:t>
      </w:r>
      <w:r>
        <w:rPr>
          <w:rFonts w:eastAsia="Times New Roman"/>
          <w:vanish/>
        </w:rPr>
        <w:t>aap:MeasurementInputMortalityRateMembereqh:GuaranteedMinimumInsuranceBenefitsnoLapseGuaranteeMembereqh:RangeOneMembereqh:DiscountedCashFlowValuationTechniqueMemberus-gaap:FairValueInputsLevel3Membersrt:MinimumMember2020-09-300001333986us-gaap:MeasurementIn</w:t>
      </w:r>
      <w:r>
        <w:rPr>
          <w:rFonts w:eastAsia="Times New Roman"/>
          <w:vanish/>
        </w:rPr>
        <w:t>putMortalityRateMembereqh:GuaranteedMinimumInsuranceBenefitsnoLapseGuaranteeMembersrt:MaximumMembereqh:RangeOneMembereqh:DiscountedCashFlowValuationTechniqueMemberus-gaap:FairValueInputsLevel3Member2020-09-300001333986us-gaap:MeasurementInputMortalityRateM</w:t>
      </w:r>
      <w:r>
        <w:rPr>
          <w:rFonts w:eastAsia="Times New Roman"/>
          <w:vanish/>
        </w:rPr>
        <w:t>embereqh:GuaranteedMinimumInsuranceBenefitsnoLapseGuaranteeMembersrt:WeightedAverageMembereqh:DiscountedCashFlowValuationTechniqueMemberus-gaap:FairValueInputsLevel3Member2020-09-300001333986eqh:RangeTwoMemberus-gaap:MeasurementInputMortalityRateMembereqh:</w:t>
      </w:r>
      <w:r>
        <w:rPr>
          <w:rFonts w:eastAsia="Times New Roman"/>
          <w:vanish/>
        </w:rPr>
        <w:t>GuaranteedMinimumInsuranceBenefitsnoLapseGuaranteeMembereqh:DiscountedCashFlowValuationTechniqueMemberus-gaap:FairValueInputsLevel3Membersrt:MinimumMember2020-09-300001333986eqh:RangeTwoMemberus-gaap:MeasurementInputMortalityRateMembereqh:GuaranteedMinimum</w:t>
      </w:r>
      <w:r>
        <w:rPr>
          <w:rFonts w:eastAsia="Times New Roman"/>
          <w:vanish/>
        </w:rPr>
        <w:t>InsuranceBenefitsnoLapseGuaranteeMembersrt:MaximumMembereqh:DiscountedCashFlowValuationTechniqueMemberus-gaap:FairValueInputsLevel3Member2020-09-300001333986eqh:RangeThreeMemberus-gaap:MeasurementInputMortalityRateMembereqh:GuaranteedMinimumInsuranceBenefi</w:t>
      </w:r>
      <w:r>
        <w:rPr>
          <w:rFonts w:eastAsia="Times New Roman"/>
          <w:vanish/>
        </w:rPr>
        <w:t>tsnoLapseGuaranteeMembereqh:DiscountedCashFlowValuationTechniqueMemberus-gaap:FairValueInputsLevel3Membersrt:MinimumMember2020-09-300001333986eqh:RangeThreeMemberus-gaap:MeasurementInputMortalityRateMembereqh:GuaranteedMinimumInsuranceBenefitsnoLapseGuaran</w:t>
      </w:r>
      <w:r>
        <w:rPr>
          <w:rFonts w:eastAsia="Times New Roman"/>
          <w:vanish/>
        </w:rPr>
        <w:t>teeMembersrt:MaximumMembereqh:DiscountedCashFlowValuationTechniqueMemberus-gaap:FairValueInputsLevel3Member2020-09-300001333986eqh:MeasurementInputNonperformanceRiskMembereqh:DiscountedCashFlowValuationTechniqueMemberus-gaap:FairValueInputsLevel3Membersrt:</w:t>
      </w:r>
      <w:r>
        <w:rPr>
          <w:rFonts w:eastAsia="Times New Roman"/>
          <w:vanish/>
        </w:rPr>
        <w:t>MinimumMembereqh:AssumedGMIBReinsuranceContractsMember2020-09-300001333986eqh:MeasurementInputNonperformanceRiskMembersrt:MaximumMembereqh:DiscountedCashFlowValuationTechniqueMemberus-gaap:FairValueInputsLevel3Membereqh:AssumedGMIBReinsuranceContractsMembe</w:t>
      </w:r>
      <w:r>
        <w:rPr>
          <w:rFonts w:eastAsia="Times New Roman"/>
          <w:vanish/>
        </w:rPr>
        <w:t>r2020-09-300001333986eqh:MeasurementInputNonperformanceRiskMembersrt:WeightedAverageMembereqh:DiscountedCashFlowValuationTechniqueMemberus-gaap:FairValueInputsLevel3Membereqh:AssumedGMIBReinsuranceContractsMember2020-09-300001333986us-gaap:MeasurementInput</w:t>
      </w:r>
      <w:r>
        <w:rPr>
          <w:rFonts w:eastAsia="Times New Roman"/>
          <w:vanish/>
        </w:rPr>
        <w:t>LapseRateMembereqh:DiscountedCashFlowValuationTechniqueMemberus-gaap:FairValueInputsLevel3Membersrt:MinimumMembereqh:AssumedGMIBReinsuranceContractsMember2020-09-300001333986srt:MaximumMemberus-gaap:MeasurementInputLapseRateMembereqh:DiscountedCashFlowValu</w:t>
      </w:r>
      <w:r>
        <w:rPr>
          <w:rFonts w:eastAsia="Times New Roman"/>
          <w:vanish/>
        </w:rPr>
        <w:t>ationTechniqueMemberus-gaap:FairValueInputsLevel3Membereqh:AssumedGMIBReinsuranceContractsMember2020-09-300001333986srt:WeightedAverageMemberus-gaap:MeasurementInputLapseRateMembereqh:DiscountedCashFlowValuationTechniqueMemberus-gaap:FairValueInputsLevel3M</w:t>
      </w:r>
      <w:r>
        <w:rPr>
          <w:rFonts w:eastAsia="Times New Roman"/>
          <w:vanish/>
        </w:rPr>
        <w:t>embereqh:AssumedGMIBReinsuranceContractsMember2020-09-300001333986us-gaap:MeasurementInputWithdrawalRateMembereqh:DiscountedCashFlowValuationTechniqueMemberus-gaap:FairValueInputsLevel3Membersrt:MinimumMembereqh:AssumedGMIBReinsuranceContractsMember2020-09</w:t>
      </w:r>
      <w:r>
        <w:rPr>
          <w:rFonts w:eastAsia="Times New Roman"/>
          <w:vanish/>
        </w:rPr>
        <w:t>-300001333986us-gaap:MeasurementInputWithdrawalRateMembersrt:MaximumMembereqh:DiscountedCashFlowValuationTechniqueMemberus-gaap:FairValueInputsLevel3Membereqh:AssumedGMIBReinsuranceContractsMember2020-09-300001333986eqh:MeasurementInputWithdrawalRateTwoMem</w:t>
      </w:r>
      <w:r>
        <w:rPr>
          <w:rFonts w:eastAsia="Times New Roman"/>
          <w:vanish/>
        </w:rPr>
        <w:t>bereqh:DiscountedCashFlowValuationTechniqueMemberus-gaap:FairValueInputsLevel3Membersrt:MinimumMembereqh:AssumedGMIBReinsuranceContractsMember2020-09-300001333986srt:MaximumMembereqh:MeasurementInputWithdrawalRateTwoMembereqh:DiscountedCashFlowValuationTec</w:t>
      </w:r>
      <w:r>
        <w:rPr>
          <w:rFonts w:eastAsia="Times New Roman"/>
          <w:vanish/>
        </w:rPr>
        <w:t>hniqueMemberus-gaap:FairValueInputsLevel3Membereqh:AssumedGMIBReinsuranceContractsMember2020-09-300001333986srt:WeightedAverageMembereqh:MeasurementInputWithdrawalRateTwoMembereqh:DiscountedCashFlowValuationTechniqueMemberus-gaap:FairValueInputsLevel3Membe</w:t>
      </w:r>
      <w:r>
        <w:rPr>
          <w:rFonts w:eastAsia="Times New Roman"/>
          <w:vanish/>
        </w:rPr>
        <w:t>reqh:AssumedGMIBReinsuranceContractsMember2020-09-300001333986us-gaap:MeasurementInputUtilizationRateMembereqh:DiscountedCashFlowValuationTechniqueMemberus-gaap:FairValueInputsLevel3Membersrt:MinimumMembereqh:AssumedGMIBReinsuranceContractsMember2020-09-30</w:t>
      </w:r>
      <w:r>
        <w:rPr>
          <w:rFonts w:eastAsia="Times New Roman"/>
          <w:vanish/>
        </w:rPr>
        <w:t>0001333986us-gaap:MeasurementInputUtilizationRateMembersrt:MaximumMembereqh:DiscountedCashFlowValuationTechniqueMemberus-gaap:FairValueInputsLevel3Membereqh:AssumedGMIBReinsuranceContractsMember2020-09-300001333986us-gaap:MeasurementInputUtilizationRateMem</w:t>
      </w:r>
      <w:r>
        <w:rPr>
          <w:rFonts w:eastAsia="Times New Roman"/>
          <w:vanish/>
        </w:rPr>
        <w:t>bersrt:WeightedAverageMembereqh:DiscountedCashFlowValuationTechniqueMemberus-gaap:FairValueInputsLevel3Membereqh:AssumedGMIBReinsuranceContractsMember2020-09-300001333986eqh:DiscountedCashFlowValuationTechniqueMemberus-gaap:FairValueInputsLevel3Membereqh:M</w:t>
      </w:r>
      <w:r>
        <w:rPr>
          <w:rFonts w:eastAsia="Times New Roman"/>
          <w:vanish/>
        </w:rPr>
        <w:t>easurementInputEquityVolatilityMembersrt:MinimumMembereqh:AssumedGMIBReinsuranceContractsMember2020-09-300001333986srt:MaximumMembereqh:DiscountedCashFlowValuationTechniqueMemberus-gaap:FairValueInputsLevel3Membereqh:MeasurementInputEquityVolatilityMembere</w:t>
      </w:r>
      <w:r>
        <w:rPr>
          <w:rFonts w:eastAsia="Times New Roman"/>
          <w:vanish/>
        </w:rPr>
        <w:t>qh:AssumedGMIBReinsuranceContractsMember2020-09-300001333986srt:WeightedAverageMembereqh:DiscountedCashFlowValuationTechniqueMemberus-gaap:FairValueInputsLevel3Membereqh:MeasurementInputEquityVolatilityMembereqh:AssumedGMIBReinsuranceContractsMember2020-09</w:t>
      </w:r>
      <w:r>
        <w:rPr>
          <w:rFonts w:eastAsia="Times New Roman"/>
          <w:vanish/>
        </w:rPr>
        <w:t>-300001333986eqh:MeasurementInputNonperformanceRiskMembereqh:DiscountedCashFlowValuationTechniqueMemberus-gaap:FairValueInputsLevel3Membereqh:GmwbGwblMember2020-09-300001333986us-gaap:MeasurementInputLapseRateMembereqh:DiscountedCashFlowValuationTechniqueM</w:t>
      </w:r>
      <w:r>
        <w:rPr>
          <w:rFonts w:eastAsia="Times New Roman"/>
          <w:vanish/>
        </w:rPr>
        <w:t>emberus-gaap:FairValueInputsLevel3Membersrt:MinimumMembereqh:GmwbGwblMember2020-09-300001333986srt:MaximumMemberus-gaap:MeasurementInputLapseRateMembereqh:DiscountedCashFlowValuationTechniqueMemberus-gaap:FairValueInputsLevel3Membereqh:GmwbGwblMember2020-0</w:t>
      </w:r>
      <w:r>
        <w:rPr>
          <w:rFonts w:eastAsia="Times New Roman"/>
          <w:vanish/>
        </w:rPr>
        <w:t>9-300001333986srt:WeightedAverageMemberus-gaap:MeasurementInputLapseRateMembereqh:DiscountedCashFlowValuationTechniqueMemberus-gaap:FairValueInputsLevel3Membereqh:GmwbGwblMember2020-09-300001333986us-gaap:MeasurementInputWithdrawalRateMembereqh:DiscountedC</w:t>
      </w:r>
      <w:r>
        <w:rPr>
          <w:rFonts w:eastAsia="Times New Roman"/>
          <w:vanish/>
        </w:rPr>
        <w:t>ashFlowValuationTechniqueMemberus-gaap:FairValueInputsLevel3Membersrt:MinimumMembereqh:GmwbGwblMember2020-09-300001333986us-gaap:MeasurementInputWithdrawalRateMembersrt:MaximumMembereqh:DiscountedCashFlowValuationTechniqueMemberus-gaap:FairValueInputsLevel</w:t>
      </w:r>
      <w:r>
        <w:rPr>
          <w:rFonts w:eastAsia="Times New Roman"/>
          <w:vanish/>
        </w:rPr>
        <w:t>3Membereqh:GmwbGwblMember2020-09-300001333986us-gaap:MeasurementInputWithdrawalRateMembersrt:WeightedAverageMembereqh:DiscountedCashFlowValuationTechniqueMemberus-gaap:FairValueInputsLevel3Membereqh:GmwbGwblMember2020-09-300001333986us-gaap:MeasurementInpu</w:t>
      </w:r>
      <w:r>
        <w:rPr>
          <w:rFonts w:eastAsia="Times New Roman"/>
          <w:vanish/>
        </w:rPr>
        <w:t>tUtilizationRateMembereqh:DiscountedCashFlowValuationTechniqueMemberus-gaap:FairValueInputsLevel3Membereqh:GmwbGwblMember2020-09-300001333986eqh:DiscountedCashFlowValuationTechniqueMemberus-gaap:FairValueInputsLevel3Membereqh:MeasurementInputEquityVolatili</w:t>
      </w:r>
      <w:r>
        <w:rPr>
          <w:rFonts w:eastAsia="Times New Roman"/>
          <w:vanish/>
        </w:rPr>
        <w:t>tyMembersrt:MinimumMembereqh:GmwbGwblMember2020-09-300001333986srt:MaximumMembereqh:DiscountedCashFlowValuationTechniqueMemberus-gaap:FairValueInputsLevel3Membereqh:MeasurementInputEquityVolatilityMembereqh:GmwbGwblMember2020-09-300001333986srt:WeightedAve</w:t>
      </w:r>
      <w:r>
        <w:rPr>
          <w:rFonts w:eastAsia="Times New Roman"/>
          <w:vanish/>
        </w:rPr>
        <w:t>rageMembereqh:DiscountedCashFlowValuationTechniqueMemberus-gaap:FairValueInputsLevel3Membereqh:MeasurementInputEquityVolatilityMembereqh:GmwbGwblMember2020-09-300001333986eqh:MeasurementInputNonperformanceRiskMembereqh:GuaranteedInsuranceBenefitsMembereqh:</w:t>
      </w:r>
      <w:r>
        <w:rPr>
          <w:rFonts w:eastAsia="Times New Roman"/>
          <w:vanish/>
        </w:rPr>
        <w:t>DiscountedCashFlowValuationTechniqueMemberus-gaap:FairValueInputsLevel3Member2020-09-300001333986eqh:GuaranteedInsuranceBenefitsMemberus-gaap:MeasurementInputLapseRateMembereqh:DiscountedCashFlowValuationTechniqueMemberus-gaap:FairValueInputsLevel3Membersr</w:t>
      </w:r>
      <w:r>
        <w:rPr>
          <w:rFonts w:eastAsia="Times New Roman"/>
          <w:vanish/>
        </w:rPr>
        <w:t>t:MinimumMember2020-09-300001333986srt:MaximumMembereqh:GuaranteedInsuranceBenefitsMemberus-gaap:MeasurementInputLapseRateMembereqh:DiscountedCashFlowValuationTechniqueMemberus-gaap:FairValueInputsLevel3Member2020-09-300001333986eqh:GuaranteedInsuranceBene</w:t>
      </w:r>
      <w:r>
        <w:rPr>
          <w:rFonts w:eastAsia="Times New Roman"/>
          <w:vanish/>
        </w:rPr>
        <w:t>fitsMembersrt:WeightedAverageMemberus-gaap:MeasurementInputLapseRateMembereqh:DiscountedCashFlowValuationTechniqueMemberus-gaap:FairValueInputsLevel3Member2020-09-300001333986us-gaap:MeasurementInputWithdrawalRateMembereqh:GuaranteedInsuranceBenefitsMember</w:t>
      </w:r>
      <w:r>
        <w:rPr>
          <w:rFonts w:eastAsia="Times New Roman"/>
          <w:vanish/>
        </w:rPr>
        <w:t>eqh:DiscountedCashFlowValuationTechniqueMemberus-gaap:FairValueInputsLevel3Membersrt:MinimumMember2020-09-300001333986us-gaap:MeasurementInputWithdrawalRateMembersrt:MaximumMembereqh:GuaranteedInsuranceBenefitsMembereqh:DiscountedCashFlowValuationTechnique</w:t>
      </w:r>
      <w:r>
        <w:rPr>
          <w:rFonts w:eastAsia="Times New Roman"/>
          <w:vanish/>
        </w:rPr>
        <w:t>Memberus-gaap:FairValueInputsLevel3Member2020-09-300001333986us-gaap:MeasurementInputWithdrawalRateMembereqh:GuaranteedInsuranceBenefitsMembersrt:WeightedAverageMembereqh:DiscountedCashFlowValuationTechniqueMemberus-gaap:FairValueInputsLevel3Member2020-09-</w:t>
      </w:r>
      <w:r>
        <w:rPr>
          <w:rFonts w:eastAsia="Times New Roman"/>
          <w:vanish/>
        </w:rPr>
        <w:t>300001333986us-gaap:MeasurementInputUtilizationRateMembereqh:GuaranteedInsuranceBenefitsMembereqh:DiscountedCashFlowValuationTechniqueMemberus-gaap:FairValueInputsLevel3Membersrt:MinimumMember2020-09-300001333986us-gaap:MeasurementInputUtilizationRateMembe</w:t>
      </w:r>
      <w:r>
        <w:rPr>
          <w:rFonts w:eastAsia="Times New Roman"/>
          <w:vanish/>
        </w:rPr>
        <w:t>rsrt:MaximumMembereqh:GuaranteedInsuranceBenefitsMembereqh:DiscountedCashFlowValuationTechniqueMemberus-gaap:FairValueInputsLevel3Member2020-09-300001333986us-gaap:MeasurementInputUtilizationRateMembereqh:GuaranteedInsuranceBenefitsMembersrt:WeightedAverag</w:t>
      </w:r>
      <w:r>
        <w:rPr>
          <w:rFonts w:eastAsia="Times New Roman"/>
          <w:vanish/>
        </w:rPr>
        <w:t>eMembereqh:DiscountedCashFlowValuationTechniqueMemberus-gaap:FairValueInputsLevel3Member2020-09-300001333986eqh:GuaranteedInsuranceBenefitsMembereqh:DiscountedCashFlowValuationTechniqueMemberus-gaap:FairValueInputsLevel3Membereqh:MeasurementInputEquityVola</w:t>
      </w:r>
      <w:r>
        <w:rPr>
          <w:rFonts w:eastAsia="Times New Roman"/>
          <w:vanish/>
        </w:rPr>
        <w:t>tilityMembersrt:MinimumMember2020-09-300001333986srt:MaximumMembereqh:GuaranteedInsuranceBenefitsMembereqh:DiscountedCashFlowValuationTechniqueMemberus-gaap:FairValueInputsLevel3Membereqh:MeasurementInputEquityVolatilityMember2020-09-300001333986eqh:Guaran</w:t>
      </w:r>
      <w:r>
        <w:rPr>
          <w:rFonts w:eastAsia="Times New Roman"/>
          <w:vanish/>
        </w:rPr>
        <w:t>teedInsuranceBenefitsMembersrt:WeightedAverageMembereqh:DiscountedCashFlowValuationTechniqueMemberus-gaap:FairValueInputsLevel3Membereqh:MeasurementInputEquityVolatilityMember2020-09-300001333986eqh:MeasurementInputNonperformanceRiskMembereqh:DiscountedCas</w:t>
      </w:r>
      <w:r>
        <w:rPr>
          <w:rFonts w:eastAsia="Times New Roman"/>
          <w:vanish/>
        </w:rPr>
        <w:t>hFlowValuationTechniqueMemberus-gaap:FairValueInputsLevel3Membereqh:GuaranteedMinimumAnnuityBenefitsMember2020-09-300001333986us-gaap:MeasurementInputLapseRateMembereqh:DiscountedCashFlowValuationTechniqueMemberus-gaap:FairValueInputsLevel3Membersrt:Minimu</w:t>
      </w:r>
      <w:r>
        <w:rPr>
          <w:rFonts w:eastAsia="Times New Roman"/>
          <w:vanish/>
        </w:rPr>
        <w:t>mMembereqh:GuaranteedMinimumAnnuityBenefitsMember2020-09-300001333986srt:MaximumMemberus-gaap:MeasurementInputLapseRateMembereqh:DiscountedCashFlowValuationTechniqueMemberus-gaap:FairValueInputsLevel3Membereqh:GuaranteedMinimumAnnuityBenefitsMember2020-09-</w:t>
      </w:r>
      <w:r>
        <w:rPr>
          <w:rFonts w:eastAsia="Times New Roman"/>
          <w:vanish/>
        </w:rPr>
        <w:t>300001333986srt:WeightedAverageMemberus-gaap:MeasurementInputLapseRateMembereqh:DiscountedCashFlowValuationTechniqueMemberus-gaap:FairValueInputsLevel3Membereqh:GuaranteedMinimumAnnuityBenefitsMember2020-09-300001333986eqh:DiscountedCashFlowValuationTechni</w:t>
      </w:r>
      <w:r>
        <w:rPr>
          <w:rFonts w:eastAsia="Times New Roman"/>
          <w:vanish/>
        </w:rPr>
        <w:t>queMemberus-gaap:FairValueInputsLevel3Membereqh:MeasurementInputEquityVolatilityMembersrt:MinimumMembereqh:GuaranteedMinimumAnnuityBenefitsMember2020-09-300001333986srt:MaximumMembereqh:DiscountedCashFlowValuationTechniqueMemberus-gaap:FairValueInputsLevel</w:t>
      </w:r>
      <w:r>
        <w:rPr>
          <w:rFonts w:eastAsia="Times New Roman"/>
          <w:vanish/>
        </w:rPr>
        <w:t>3Membereqh:MeasurementInputEquityVolatilityMembereqh:GuaranteedMinimumAnnuityBenefitsMember2020-09-300001333986srt:WeightedAverageMembereqh:DiscountedCashFlowValuationTechniqueMemberus-gaap:FairValueInputsLevel3Membereqh:MeasurementInputEquityVolatilityMem</w:t>
      </w:r>
      <w:r>
        <w:rPr>
          <w:rFonts w:eastAsia="Times New Roman"/>
          <w:vanish/>
        </w:rPr>
        <w:t>bereqh:GuaranteedMinimumAnnuityBenefitsMember2020-09-300001333986eqh:MatrixPricingModelValuationTechniqueMemberus-gaap:FairValueInputsLevel3Memberus-gaap:CorporateDebtSecuritiesMembersrt:MinimumMember2019-01-012019-12-310001333986eqh:MatrixPricingModelValu</w:t>
      </w:r>
      <w:r>
        <w:rPr>
          <w:rFonts w:eastAsia="Times New Roman"/>
          <w:vanish/>
        </w:rPr>
        <w:t>ationTechniqueMembersrt:MaximumMemberus-gaap:FairValueInputsLevel3Memberus-gaap:CorporateDebtSecuritiesMember2019-01-012019-12-310001333986eqh:MatrixPricingModelValuationTechniqueMembersrt:WeightedAverageMemberus-gaap:FairValueInputsLevel3Memberus-gaap:Cor</w:t>
      </w:r>
      <w:r>
        <w:rPr>
          <w:rFonts w:eastAsia="Times New Roman"/>
          <w:vanish/>
        </w:rPr>
        <w:t>porateDebtSecuritiesMember2019-01-012019-12-310001333986us-gaap:MeasurementInputEbitdaMultipleMembereqh:MarketComparableCompaniesValuationTechniqueMemberus-gaap:FairValueInputsLevel3Memberus-gaap:CorporateDebtSecuritiesMembersrt:MinimumMember2019-12-310001</w:t>
      </w:r>
      <w:r>
        <w:rPr>
          <w:rFonts w:eastAsia="Times New Roman"/>
          <w:vanish/>
        </w:rPr>
        <w:t>333986us-gaap:MeasurementInputEbitdaMultipleMembereqh:MarketComparableCompaniesValuationTechniqueMembersrt:MaximumMemberus-gaap:FairValueInputsLevel3Memberus-gaap:CorporateDebtSecuritiesMember2019-12-310001333986us-gaap:MeasurementInputEbitdaMultipleMember</w:t>
      </w:r>
      <w:r>
        <w:rPr>
          <w:rFonts w:eastAsia="Times New Roman"/>
          <w:vanish/>
        </w:rPr>
        <w:t>eqh:MarketComparableCompaniesValuationTechniqueMembersrt:WeightedAverageMemberus-gaap:FairValueInputsLevel3Memberus-gaap:CorporateDebtSecuritiesMember2019-12-310001333986eqh:MarketComparableCompaniesValuationTechniqueMemberus-gaap:FairValueInputsLevel3Memb</w:t>
      </w:r>
      <w:r>
        <w:rPr>
          <w:rFonts w:eastAsia="Times New Roman"/>
          <w:vanish/>
        </w:rPr>
        <w:t>erus-gaap:CorporateDebtSecuritiesMembersrt:MinimumMemberus-gaap:MeasurementInputDiscountRateMember2019-12-310001333986eqh:MarketComparableCompaniesValuationTechniqueMembersrt:MaximumMemberus-gaap:FairValueInputsLevel3Memberus-gaap:CorporateDebtSecuritiesMe</w:t>
      </w:r>
      <w:r>
        <w:rPr>
          <w:rFonts w:eastAsia="Times New Roman"/>
          <w:vanish/>
        </w:rPr>
        <w:t>mberus-gaap:MeasurementInputDiscountRateMember2019-12-310001333986eqh:MarketComparableCompaniesValuationTechniqueMembersrt:WeightedAverageMemberus-gaap:FairValueInputsLevel3Memberus-gaap:CorporateDebtSecuritiesMemberus-gaap:MeasurementInputDiscountRateMemb</w:t>
      </w:r>
      <w:r>
        <w:rPr>
          <w:rFonts w:eastAsia="Times New Roman"/>
          <w:vanish/>
        </w:rPr>
        <w:t>er2019-12-310001333986eqh:MeasurementInputCashFlowMultiplesMembereqh:MarketComparableCompaniesValuationTechniqueMemberus-gaap:FairValueInputsLevel3Memberus-gaap:CorporateDebtSecuritiesMembersrt:MinimumMember2019-12-310001333986eqh:MeasurementInputCashFlowM</w:t>
      </w:r>
      <w:r>
        <w:rPr>
          <w:rFonts w:eastAsia="Times New Roman"/>
          <w:vanish/>
        </w:rPr>
        <w:t>ultiplesMembereqh:MarketComparableCompaniesValuationTechniqueMembersrt:MaximumMemberus-gaap:FairValueInputsLevel3Memberus-gaap:CorporateDebtSecuritiesMember2019-12-310001333986eqh:MeasurementInputCashFlowMultiplesMembereqh:MarketComparableCompaniesValuatio</w:t>
      </w:r>
      <w:r>
        <w:rPr>
          <w:rFonts w:eastAsia="Times New Roman"/>
          <w:vanish/>
        </w:rPr>
        <w:t>nTechniqueMembersrt:WeightedAverageMemberus-gaap:FairValueInputsLevel3Memberus-gaap:CorporateDebtSecuritiesMember2019-12-310001333986us-gaap:MeasurementInputRevenueMultipleMemberus-gaap:EquityMethodInvestmentsMembereqh:DiscountedCashFlowValuationTechniqueM</w:t>
      </w:r>
      <w:r>
        <w:rPr>
          <w:rFonts w:eastAsia="Times New Roman"/>
          <w:vanish/>
        </w:rPr>
        <w:t>emberus-gaap:FairValueInputsLevel3Member2019-12-310001333986eqh:MeasurementInputsDiscountFactorMemberus-gaap:EquityMethodInvestmentsMembereqh:DiscountedCashFlowValuationTechniqueMemberus-gaap:FairValueInputsLevel3Member2019-12-310001333986us-gaap:EquityMet</w:t>
      </w:r>
      <w:r>
        <w:rPr>
          <w:rFonts w:eastAsia="Times New Roman"/>
          <w:vanish/>
        </w:rPr>
        <w:t>hodInvestmentsMembereqh:DiscountedCashFlowValuationTechniqueMemberus-gaap:FairValueInputsLevel3Member2019-01-012019-12-310001333986eqh:MeasurementInputNonperformanceRiskMembereqh:GmibReinsuranceMembereqh:DiscountedCashFlowValuationTechniqueMemberus-gaap:Fa</w:t>
      </w:r>
      <w:r>
        <w:rPr>
          <w:rFonts w:eastAsia="Times New Roman"/>
          <w:vanish/>
        </w:rPr>
        <w:t>irValueInputsLevel3Membersrt:MinimumMember2019-12-310001333986eqh:MeasurementInputNonperformanceRiskMembersrt:MaximumMembereqh:GmibReinsuranceMembereqh:DiscountedCashFlowValuationTechniqueMemberus-gaap:FairValueInputsLevel3Member2019-12-310001333986us-gaap</w:t>
      </w:r>
      <w:r>
        <w:rPr>
          <w:rFonts w:eastAsia="Times New Roman"/>
          <w:vanish/>
        </w:rPr>
        <w:t>:MeasurementInputLapseRateMembereqh:GmibReinsuranceMembereqh:DiscountedCashFlowValuationTechniqueMemberus-gaap:FairValueInputsLevel3Membersrt:MinimumMember2019-12-310001333986srt:MaximumMemberus-gaap:MeasurementInputLapseRateMembereqh:GmibReinsuranceMember</w:t>
      </w:r>
      <w:r>
        <w:rPr>
          <w:rFonts w:eastAsia="Times New Roman"/>
          <w:vanish/>
        </w:rPr>
        <w:t>eqh:DiscountedCashFlowValuationTechniqueMemberus-gaap:FairValueInputsLevel3Member2019-12-310001333986us-gaap:MeasurementInputWithdrawalRateMembereqh:GmibReinsuranceMembereqh:DiscountedCashFlowValuationTechniqueMemberus-gaap:FairValueInputsLevel3Membersrt:M</w:t>
      </w:r>
      <w:r>
        <w:rPr>
          <w:rFonts w:eastAsia="Times New Roman"/>
          <w:vanish/>
        </w:rPr>
        <w:t>inimumMember2019-12-310001333986us-gaap:MeasurementInputWithdrawalRateMembersrt:MaximumMembereqh:GmibReinsuranceMembereqh:DiscountedCashFlowValuationTechniqueMemberus-gaap:FairValueInputsLevel3Member2019-12-310001333986us-gaap:MeasurementInputUtilizationRa</w:t>
      </w:r>
      <w:r>
        <w:rPr>
          <w:rFonts w:eastAsia="Times New Roman"/>
          <w:vanish/>
        </w:rPr>
        <w:t>teMembereqh:GmibReinsuranceMembereqh:DiscountedCashFlowValuationTechniqueMemberus-gaap:FairValueInputsLevel3Membersrt:MinimumMember2019-12-310001333986us-gaap:MeasurementInputUtilizationRateMembersrt:MaximumMembereqh:GmibReinsuranceMembereqh:DiscountedCash</w:t>
      </w:r>
      <w:r>
        <w:rPr>
          <w:rFonts w:eastAsia="Times New Roman"/>
          <w:vanish/>
        </w:rPr>
        <w:t>FlowValuationTechniqueMemberus-gaap:FairValueInputsLevel3Member2019-12-310001333986eqh:GmibReinsuranceMembereqh:DiscountedCashFlowValuationTechniqueMemberus-gaap:FairValueInputsLevel3Membereqh:MeasurementInputEquityVolatilityMembersrt:MinimumMember2019-12-</w:t>
      </w:r>
      <w:r>
        <w:rPr>
          <w:rFonts w:eastAsia="Times New Roman"/>
          <w:vanish/>
        </w:rPr>
        <w:t>310001333986srt:MaximumMembereqh:GmibReinsuranceMembereqh:DiscountedCashFlowValuationTechniqueMemberus-gaap:FairValueInputsLevel3Membereqh:MeasurementInputEquityVolatilityMember2019-12-310001333986us-gaap:MeasurementInputMortalityRateMembereqh:GmibReinsura</w:t>
      </w:r>
      <w:r>
        <w:rPr>
          <w:rFonts w:eastAsia="Times New Roman"/>
          <w:vanish/>
        </w:rPr>
        <w:t>nceMembereqh:RangeOneMembereqh:DiscountedCashFlowValuationTechniqueMemberus-gaap:FairValueInputsLevel3Membersrt:MinimumMember2019-12-310001333986us-gaap:MeasurementInputMortalityRateMembersrt:MaximumMembereqh:GmibReinsuranceMembereqh:RangeOneMembereqh:Disc</w:t>
      </w:r>
      <w:r>
        <w:rPr>
          <w:rFonts w:eastAsia="Times New Roman"/>
          <w:vanish/>
        </w:rPr>
        <w:t>ountedCashFlowValuationTechniqueMemberus-gaap:FairValueInputsLevel3Member2019-12-310001333986eqh:RangeTwoMemberus-gaap:MeasurementInputMortalityRateMembereqh:GmibReinsuranceMembereqh:DiscountedCashFlowValuationTechniqueMemberus-gaap:FairValueInputsLevel3Me</w:t>
      </w:r>
      <w:r>
        <w:rPr>
          <w:rFonts w:eastAsia="Times New Roman"/>
          <w:vanish/>
        </w:rPr>
        <w:t>mbersrt:MinimumMember2019-12-310001333986eqh:RangeTwoMemberus-gaap:MeasurementInputMortalityRateMembersrt:MaximumMembereqh:GmibReinsuranceMembereqh:DiscountedCashFlowValuationTechniqueMemberus-gaap:FairValueInputsLevel3Member2019-12-310001333986eqh:RangeTh</w:t>
      </w:r>
      <w:r>
        <w:rPr>
          <w:rFonts w:eastAsia="Times New Roman"/>
          <w:vanish/>
        </w:rPr>
        <w:t>reeMemberus-gaap:MeasurementInputMortalityRateMembereqh:GmibReinsuranceMembereqh:DiscountedCashFlowValuationTechniqueMemberus-gaap:FairValueInputsLevel3Membersrt:MinimumMember2019-12-310001333986eqh:RangeThreeMemberus-gaap:MeasurementInputMortalityRateMemb</w:t>
      </w:r>
      <w:r>
        <w:rPr>
          <w:rFonts w:eastAsia="Times New Roman"/>
          <w:vanish/>
        </w:rPr>
        <w:t>ersrt:MaximumMembereqh:GmibReinsuranceMembereqh:DiscountedCashFlowValuationTechniqueMemberus-gaap:FairValueInputsLevel3Member2019-12-310001333986eqh:GuaranteedMinimumInsuranceBenefitsnoLapseGuaranteeMembereqh:MeasurementInputNonperformanceRiskMembereqh:Dis</w:t>
      </w:r>
      <w:r>
        <w:rPr>
          <w:rFonts w:eastAsia="Times New Roman"/>
          <w:vanish/>
        </w:rPr>
        <w:t>countedCashFlowValuationTechniqueMemberus-gaap:FairValueInputsLevel3Member2019-12-310001333986eqh:GuaranteedMinimumInsuranceBenefitsnoLapseGuaranteeMemberus-gaap:MeasurementInputLapseRateMembereqh:DiscountedCashFlowValuationTechniqueMemberus-gaap:FairValue</w:t>
      </w:r>
      <w:r>
        <w:rPr>
          <w:rFonts w:eastAsia="Times New Roman"/>
          <w:vanish/>
        </w:rPr>
        <w:t>InputsLevel3Membersrt:MinimumMember2019-12-310001333986eqh:GuaranteedMinimumInsuranceBenefitsnoLapseGuaranteeMembersrt:MaximumMemberus-gaap:MeasurementInputLapseRateMembereqh:DiscountedCashFlowValuationTechniqueMemberus-gaap:FairValueInputsLevel3Member2019</w:t>
      </w:r>
      <w:r>
        <w:rPr>
          <w:rFonts w:eastAsia="Times New Roman"/>
          <w:vanish/>
        </w:rPr>
        <w:t>-12-310001333986us-gaap:MeasurementInputWithdrawalRateMembereqh:GuaranteedMinimumInsuranceBenefitsnoLapseGuaranteeMembereqh:DiscountedCashFlowValuationTechniqueMemberus-gaap:FairValueInputsLevel3Membersrt:MinimumMember2019-12-310001333986us-gaap:Measuremen</w:t>
      </w:r>
      <w:r>
        <w:rPr>
          <w:rFonts w:eastAsia="Times New Roman"/>
          <w:vanish/>
        </w:rPr>
        <w:t>tInputWithdrawalRateMembereqh:GuaranteedMinimumInsuranceBenefitsnoLapseGuaranteeMembersrt:MaximumMembereqh:DiscountedCashFlowValuationTechniqueMemberus-gaap:FairValueInputsLevel3Member2019-12-310001333986eqh:MeasurementInputAnnuitizationRateMembereqh:Guara</w:t>
      </w:r>
      <w:r>
        <w:rPr>
          <w:rFonts w:eastAsia="Times New Roman"/>
          <w:vanish/>
        </w:rPr>
        <w:t>nteedMinimumInsuranceBenefitsnoLapseGuaranteeMembereqh:DiscountedCashFlowValuationTechniqueMemberus-gaap:FairValueInputsLevel3Membersrt:MinimumMember2019-12-310001333986eqh:MeasurementInputAnnuitizationRateMembereqh:GuaranteedMinimumInsuranceBenefitsnoLaps</w:t>
      </w:r>
      <w:r>
        <w:rPr>
          <w:rFonts w:eastAsia="Times New Roman"/>
          <w:vanish/>
        </w:rPr>
        <w:t>eGuaranteeMembersrt:MaximumMembereqh:DiscountedCashFlowValuationTechniqueMemberus-gaap:FairValueInputsLevel3Member2019-12-310001333986us-gaap:MeasurementInputMortalityRateMembereqh:GuaranteedMinimumInsuranceBenefitsnoLapseGuaranteeMembereqh:RangeOneMembere</w:t>
      </w:r>
      <w:r>
        <w:rPr>
          <w:rFonts w:eastAsia="Times New Roman"/>
          <w:vanish/>
        </w:rPr>
        <w:t>qh:DiscountedCashFlowValuationTechniqueMemberus-gaap:FairValueInputsLevel3Membersrt:MinimumMember2019-12-310001333986us-gaap:MeasurementInputMortalityRateMembereqh:GuaranteedMinimumInsuranceBenefitsnoLapseGuaranteeMembersrt:MaximumMembereqh:RangeOneMembere</w:t>
      </w:r>
      <w:r>
        <w:rPr>
          <w:rFonts w:eastAsia="Times New Roman"/>
          <w:vanish/>
        </w:rPr>
        <w:t>qh:DiscountedCashFlowValuationTechniqueMemberus-gaap:FairValueInputsLevel3Member2019-12-310001333986eqh:RangeTwoMemberus-gaap:MeasurementInputMortalityRateMembereqh:GuaranteedMinimumInsuranceBenefitsnoLapseGuaranteeMembereqh:DiscountedCashFlowValuationTech</w:t>
      </w:r>
      <w:r>
        <w:rPr>
          <w:rFonts w:eastAsia="Times New Roman"/>
          <w:vanish/>
        </w:rPr>
        <w:t>niqueMemberus-gaap:FairValueInputsLevel3Membersrt:MinimumMember2019-12-310001333986eqh:RangeTwoMemberus-gaap:MeasurementInputMortalityRateMembereqh:GuaranteedMinimumInsuranceBenefitsnoLapseGuaranteeMembersrt:MaximumMembereqh:DiscountedCashFlowValuationTech</w:t>
      </w:r>
      <w:r>
        <w:rPr>
          <w:rFonts w:eastAsia="Times New Roman"/>
          <w:vanish/>
        </w:rPr>
        <w:t>niqueMemberus-gaap:FairValueInputsLevel3Member2019-12-310001333986eqh:RangeThreeMemberus-gaap:MeasurementInputMortalityRateMembereqh:GuaranteedMinimumInsuranceBenefitsnoLapseGuaranteeMembereqh:DiscountedCashFlowValuationTechniqueMemberus-gaap:FairValueInpu</w:t>
      </w:r>
      <w:r>
        <w:rPr>
          <w:rFonts w:eastAsia="Times New Roman"/>
          <w:vanish/>
        </w:rPr>
        <w:t>tsLevel3Membersrt:MinimumMember2019-12-310001333986eqh:RangeThreeMemberus-gaap:MeasurementInputMortalityRateMembereqh:GuaranteedMinimumInsuranceBenefitsnoLapseGuaranteeMembersrt:MaximumMembereqh:DiscountedCashFlowValuationTechniqueMemberus-gaap:FairValueIn</w:t>
      </w:r>
      <w:r>
        <w:rPr>
          <w:rFonts w:eastAsia="Times New Roman"/>
          <w:vanish/>
        </w:rPr>
        <w:t>putsLevel3Member2019-12-310001333986eqh:MeasurementInputNonperformanceRiskMembereqh:DiscountedCashFlowValuationTechniqueMemberus-gaap:FairValueInputsLevel3Membersrt:MinimumMembereqh:AssumedGMIBReinsuranceContractsMember2019-12-310001333986eqh:MeasurementIn</w:t>
      </w:r>
      <w:r>
        <w:rPr>
          <w:rFonts w:eastAsia="Times New Roman"/>
          <w:vanish/>
        </w:rPr>
        <w:t>putNonperformanceRiskMembersrt:MaximumMembereqh:DiscountedCashFlowValuationTechniqueMemberus-gaap:FairValueInputsLevel3Membereqh:AssumedGMIBReinsuranceContractsMember2019-12-310001333986us-gaap:MeasurementInputLapseRateMembereqh:DiscountedCashFlowValuation</w:t>
      </w:r>
      <w:r>
        <w:rPr>
          <w:rFonts w:eastAsia="Times New Roman"/>
          <w:vanish/>
        </w:rPr>
        <w:t>TechniqueMemberus-gaap:FairValueInputsLevel3Membersrt:MinimumMembereqh:AssumedGMIBReinsuranceContractsMember2019-12-310001333986srt:MaximumMemberus-gaap:MeasurementInputLapseRateMembereqh:DiscountedCashFlowValuationTechniqueMemberus-gaap:FairValueInputsLev</w:t>
      </w:r>
      <w:r>
        <w:rPr>
          <w:rFonts w:eastAsia="Times New Roman"/>
          <w:vanish/>
        </w:rPr>
        <w:t>el3Membereqh:AssumedGMIBReinsuranceContractsMember2019-12-310001333986us-gaap:MeasurementInputWithdrawalRateMembereqh:DiscountedCashFlowValuationTechniqueMemberus-gaap:FairValueInputsLevel3Membersrt:MinimumMembereqh:AssumedGMIBReinsuranceContractsMember201</w:t>
      </w:r>
      <w:r>
        <w:rPr>
          <w:rFonts w:eastAsia="Times New Roman"/>
          <w:vanish/>
        </w:rPr>
        <w:t>9-12-310001333986us-gaap:MeasurementInputWithdrawalRateMembersrt:MaximumMembereqh:DiscountedCashFlowValuationTechniqueMemberus-gaap:FairValueInputsLevel3Membereqh:AssumedGMIBReinsuranceContractsMember2019-12-310001333986eqh:MeasurementInputWithdrawalRateTw</w:t>
      </w:r>
      <w:r>
        <w:rPr>
          <w:rFonts w:eastAsia="Times New Roman"/>
          <w:vanish/>
        </w:rPr>
        <w:t>oMembereqh:DiscountedCashFlowValuationTechniqueMemberus-gaap:FairValueInputsLevel3Membersrt:MinimumMembereqh:AssumedGMIBReinsuranceContractsMember2019-12-310001333986srt:MaximumMembereqh:MeasurementInputWithdrawalRateTwoMembereqh:DiscountedCashFlowValuatio</w:t>
      </w:r>
      <w:r>
        <w:rPr>
          <w:rFonts w:eastAsia="Times New Roman"/>
          <w:vanish/>
        </w:rPr>
        <w:t>nTechniqueMemberus-gaap:FairValueInputsLevel3Membereqh:AssumedGMIBReinsuranceContractsMember2019-12-310001333986us-gaap:MeasurementInputUtilizationRateMembereqh:DiscountedCashFlowValuationTechniqueMemberus-gaap:FairValueInputsLevel3Membersrt:MinimumMembere</w:t>
      </w:r>
      <w:r>
        <w:rPr>
          <w:rFonts w:eastAsia="Times New Roman"/>
          <w:vanish/>
        </w:rPr>
        <w:t>qh:AssumedGMIBReinsuranceContractsMember2019-12-310001333986us-gaap:MeasurementInputUtilizationRateMembersrt:MaximumMembereqh:DiscountedCashFlowValuationTechniqueMemberus-gaap:FairValueInputsLevel3Membereqh:AssumedGMIBReinsuranceContractsMember2019-12-3100</w:t>
      </w:r>
      <w:r>
        <w:rPr>
          <w:rFonts w:eastAsia="Times New Roman"/>
          <w:vanish/>
        </w:rPr>
        <w:t>01333986eqh:DiscountedCashFlowValuationTechniqueMemberus-gaap:FairValueInputsLevel3Membereqh:MeasurementInputEquityVolatilityMembersrt:MinimumMembereqh:AssumedGMIBReinsuranceContractsMember2019-12-310001333986srt:MaximumMembereqh:DiscountedCashFlowValuatio</w:t>
      </w:r>
      <w:r>
        <w:rPr>
          <w:rFonts w:eastAsia="Times New Roman"/>
          <w:vanish/>
        </w:rPr>
        <w:t>nTechniqueMemberus-gaap:FairValueInputsLevel3Membereqh:MeasurementInputEquityVolatilityMembereqh:AssumedGMIBReinsuranceContractsMember2019-12-310001333986eqh:MeasurementInputNonperformanceRiskMembereqh:DiscountedCashFlowValuationTechniqueMemberus-gaap:Fair</w:t>
      </w:r>
      <w:r>
        <w:rPr>
          <w:rFonts w:eastAsia="Times New Roman"/>
          <w:vanish/>
        </w:rPr>
        <w:t>ValueInputsLevel3Membereqh:GmwbGwblMember2019-12-310001333986us-gaap:MeasurementInputLapseRateMembereqh:DiscountedCashFlowValuationTechniqueMemberus-gaap:FairValueInputsLevel3Membersrt:MinimumMembereqh:GmwbGwblMember2019-12-310001333986srt:MaximumMemberus-</w:t>
      </w:r>
      <w:r>
        <w:rPr>
          <w:rFonts w:eastAsia="Times New Roman"/>
          <w:vanish/>
        </w:rPr>
        <w:t>gaap:MeasurementInputLapseRateMembereqh:DiscountedCashFlowValuationTechniqueMemberus-gaap:FairValueInputsLevel3Membereqh:GmwbGwblMember2019-12-310001333986us-gaap:MeasurementInputWithdrawalRateMembereqh:DiscountedCashFlowValuationTechniqueMemberus-gaap:Fai</w:t>
      </w:r>
      <w:r>
        <w:rPr>
          <w:rFonts w:eastAsia="Times New Roman"/>
          <w:vanish/>
        </w:rPr>
        <w:t>rValueInputsLevel3Membersrt:MinimumMembereqh:GmwbGwblMember2019-12-310001333986us-gaap:MeasurementInputWithdrawalRateMembersrt:MaximumMembereqh:DiscountedCashFlowValuationTechniqueMemberus-gaap:FairValueInputsLevel3Membereqh:GmwbGwblMember2019-12-310001333</w:t>
      </w:r>
      <w:r>
        <w:rPr>
          <w:rFonts w:eastAsia="Times New Roman"/>
          <w:vanish/>
        </w:rPr>
        <w:t>986us-gaap:MeasurementInputUtilizationRateMembereqh:DiscountedCashFlowValuationTechniqueMemberus-gaap:FairValueInputsLevel3Membereqh:GmwbGwblMember2019-12-310001333986eqh:DiscountedCashFlowValuationTechniqueMemberus-gaap:FairValueInputsLevel3Membereqh:Meas</w:t>
      </w:r>
      <w:r>
        <w:rPr>
          <w:rFonts w:eastAsia="Times New Roman"/>
          <w:vanish/>
        </w:rPr>
        <w:t>urementInputEquityVolatilityMembersrt:MinimumMembereqh:GmwbGwblMember2019-12-310001333986srt:MaximumMembereqh:DiscountedCashFlowValuationTechniqueMemberus-gaap:FairValueInputsLevel3Membereqh:MeasurementInputEquityVolatilityMembereqh:GmwbGwblMember2019-12-3</w:t>
      </w:r>
      <w:r>
        <w:rPr>
          <w:rFonts w:eastAsia="Times New Roman"/>
          <w:vanish/>
        </w:rPr>
        <w:t>10001333986eqh:MeasurementInputNonperformanceRiskMembereqh:GuaranteedInsuranceBenefitsMembereqh:DiscountedCashFlowValuationTechniqueMemberus-gaap:FairValueInputsLevel3Member2019-12-310001333986eqh:GuaranteedInsuranceBenefitsMemberus-gaap:MeasurementInputLa</w:t>
      </w:r>
      <w:r>
        <w:rPr>
          <w:rFonts w:eastAsia="Times New Roman"/>
          <w:vanish/>
        </w:rPr>
        <w:t>pseRateMembereqh:DiscountedCashFlowValuationTechniqueMemberus-gaap:FairValueInputsLevel3Membersrt:MinimumMember2019-12-310001333986srt:MaximumMembereqh:GuaranteedInsuranceBenefitsMemberus-gaap:MeasurementInputLapseRateMembereqh:DiscountedCashFlowValuationT</w:t>
      </w:r>
      <w:r>
        <w:rPr>
          <w:rFonts w:eastAsia="Times New Roman"/>
          <w:vanish/>
        </w:rPr>
        <w:t>echniqueMemberus-gaap:FairValueInputsLevel3Member2019-12-310001333986us-gaap:MeasurementInputWithdrawalRateMembereqh:GuaranteedInsuranceBenefitsMembereqh:DiscountedCashFlowValuationTechniqueMemberus-gaap:FairValueInputsLevel3Membersrt:MinimumMember2019-12-</w:t>
      </w:r>
      <w:r>
        <w:rPr>
          <w:rFonts w:eastAsia="Times New Roman"/>
          <w:vanish/>
        </w:rPr>
        <w:t>310001333986us-gaap:MeasurementInputWithdrawalRateMembersrt:MaximumMembereqh:GuaranteedInsuranceBenefitsMembereqh:DiscountedCashFlowValuationTechniqueMemberus-gaap:FairValueInputsLevel3Member2019-12-310001333986us-gaap:MeasurementInputUtilizationRateMember</w:t>
      </w:r>
      <w:r>
        <w:rPr>
          <w:rFonts w:eastAsia="Times New Roman"/>
          <w:vanish/>
        </w:rPr>
        <w:t>eqh:GuaranteedInsuranceBenefitsMembereqh:DiscountedCashFlowValuationTechniqueMemberus-gaap:FairValueInputsLevel3Membersrt:MinimumMember2019-12-310001333986us-gaap:MeasurementInputUtilizationRateMembersrt:MaximumMembereqh:GuaranteedInsuranceBenefitsMembereq</w:t>
      </w:r>
      <w:r>
        <w:rPr>
          <w:rFonts w:eastAsia="Times New Roman"/>
          <w:vanish/>
        </w:rPr>
        <w:t>h:DiscountedCashFlowValuationTechniqueMemberus-gaap:FairValueInputsLevel3Member2019-12-310001333986eqh:GuaranteedInsuranceBenefitsMembereqh:DiscountedCashFlowValuationTechniqueMemberus-gaap:FairValueInputsLevel3Membereqh:MeasurementInputEquityVolatilityMem</w:t>
      </w:r>
      <w:r>
        <w:rPr>
          <w:rFonts w:eastAsia="Times New Roman"/>
          <w:vanish/>
        </w:rPr>
        <w:t>bersrt:MinimumMember2019-12-310001333986srt:MaximumMembereqh:GuaranteedInsuranceBenefitsMembereqh:DiscountedCashFlowValuationTechniqueMemberus-gaap:FairValueInputsLevel3Membereqh:MeasurementInputEquityVolatilityMember2019-12-310001333986us-gaap:Measurement</w:t>
      </w:r>
      <w:r>
        <w:rPr>
          <w:rFonts w:eastAsia="Times New Roman"/>
          <w:vanish/>
        </w:rPr>
        <w:t>InputLapseRateMembereqh:DiscountedCashFlowValuationTechniqueMemberus-gaap:FairValueInputsLevel3Membersrt:MinimumMembereqh:GuaranteedMinimumAnnuityBenefitsMember2019-12-310001333986srt:MaximumMemberus-gaap:MeasurementInputLapseRateMembereqh:DiscountedCashFl</w:t>
      </w:r>
      <w:r>
        <w:rPr>
          <w:rFonts w:eastAsia="Times New Roman"/>
          <w:vanish/>
        </w:rPr>
        <w:t>owValuationTechniqueMemberus-gaap:FairValueInputsLevel3Membereqh:GuaranteedMinimumAnnuityBenefitsMember2019-12-310001333986eqh:DiscountedCashFlowValuationTechniqueMemberus-gaap:FairValueInputsLevel3Membereqh:MeasurementInputEquityVolatilityMembersrt:Minimu</w:t>
      </w:r>
      <w:r>
        <w:rPr>
          <w:rFonts w:eastAsia="Times New Roman"/>
          <w:vanish/>
        </w:rPr>
        <w:t>mMembereqh:GuaranteedMinimumAnnuityBenefitsMember2019-12-310001333986srt:MaximumMembereqh:DiscountedCashFlowValuationTechniqueMemberus-gaap:FairValueInputsLevel3Membereqh:MeasurementInputEquityVolatilityMembereqh:GuaranteedMinimumAnnuityBenefitsMember2019-</w:t>
      </w:r>
      <w:r>
        <w:rPr>
          <w:rFonts w:eastAsia="Times New Roman"/>
          <w:vanish/>
        </w:rPr>
        <w:t>12-310001333986us-gaap:SeriesAPreferredStockMember2020-09-300001333986us-gaap:SeriesAPreferredStockMember2019-12-310001333986us-gaap:SeriesBPreferredStockMember2020-09-300001333986us-gaap:SeriesBPreferredStockMember2019-12-310001333986us-gaap:SeriesBPrefer</w:t>
      </w:r>
      <w:r>
        <w:rPr>
          <w:rFonts w:eastAsia="Times New Roman"/>
          <w:vanish/>
        </w:rPr>
        <w:t>redStockMember2020-08-112020-08-110001333986us-gaap:SeriesBPreferredStockMember2020-08-110001333986srt:ScenarioForecastMemberus-gaap:SeriesBPreferredStockMember2025-12-152025-12-1500013339862020-08-112020-08-110001333986us-gaap:SeriesAPreferredStockMember2</w:t>
      </w:r>
      <w:r>
        <w:rPr>
          <w:rFonts w:eastAsia="Times New Roman"/>
          <w:vanish/>
        </w:rPr>
        <w:t>020-07-012020-09-300001333986us-gaap:SeriesAPreferredStockMember2019-07-012019-09-300001333986us-gaap:SeriesAPreferredStockMember2020-01-012020-09-300001333986us-gaap:SeriesAPreferredStockMember2019-01-012019-09-300001333986us-gaap:SeriesBPreferredStockMem</w:t>
      </w:r>
      <w:r>
        <w:rPr>
          <w:rFonts w:eastAsia="Times New Roman"/>
          <w:vanish/>
        </w:rPr>
        <w:t>ber2020-07-012020-09-300001333986us-gaap:SeriesBPreferredStockMember2019-07-012019-09-300001333986us-gaap:SeriesBPreferredStockMember2020-01-012020-09-300001333986us-gaap:SeriesBPreferredStockMember2019-01-012019-09-3000013339862019-11-0600013339862020-02-</w:t>
      </w:r>
      <w:r>
        <w:rPr>
          <w:rFonts w:eastAsia="Times New Roman"/>
          <w:vanish/>
        </w:rPr>
        <w:t>260001333986eqh:RedeemableNoncontrollingInterestMember2020-06-300001333986eqh:RedeemableNoncontrollingInterestMember2019-06-300001333986eqh:RedeemableNoncontrollingInterestMember2019-12-310001333986eqh:RedeemableNoncontrollingInterestMember2018-12-31000133</w:t>
      </w:r>
      <w:r>
        <w:rPr>
          <w:rFonts w:eastAsia="Times New Roman"/>
          <w:vanish/>
        </w:rPr>
        <w:t>3986eqh:RedeemableNoncontrollingInterestMember2020-07-012020-09-300001333986eqh:RedeemableNoncontrollingInterestMember2019-07-012019-09-300001333986eqh:RedeemableNoncontrollingInterestMember2020-01-012020-09-300001333986eqh:RedeemableNoncontrollingInterest</w:t>
      </w:r>
      <w:r>
        <w:rPr>
          <w:rFonts w:eastAsia="Times New Roman"/>
          <w:vanish/>
        </w:rPr>
        <w:t>Member2019-01-012019-09-300001333986eqh:RedeemableNoncontrollingInterestMember2020-09-300001333986eqh:RedeemableNoncontrollingInterestMember2019-09-300001333986eqh:BrachFamilyFoundationLitigationMember2016-02-29eqh:federalAction0001333986eqh:EquitableFinan</w:t>
      </w:r>
      <w:r>
        <w:rPr>
          <w:rFonts w:eastAsia="Times New Roman"/>
          <w:vanish/>
        </w:rPr>
        <w:t>cialMember2016-02-29eqh:legalAction0001333986eqh:EquitableFinancialMemberstpr:NY2016-02-290001333986eqh:PreCapitalizedTrustSecuritiesTrancheOneMember2019-04-012019-04-300001333986eqh:PreCapitalizedTrustSecuritiesTrancheTwoMember2019-04-012019-04-3000013339</w:t>
      </w:r>
      <w:r>
        <w:rPr>
          <w:rFonts w:eastAsia="Times New Roman"/>
          <w:vanish/>
        </w:rPr>
        <w:t>86us-gaap:FederalHomeLoanBankCertificatesAndObligationsFHLBMembereqh:ShortTermFundingAgreementsMaturingInLessThanOneYearMember2019-12-310001333986us-gaap:FederalHomeLoanBankCertificatesAndObligationsFHLBMembereqh:ShortTermFundingAgreementsMaturingInLessTha</w:t>
      </w:r>
      <w:r>
        <w:rPr>
          <w:rFonts w:eastAsia="Times New Roman"/>
          <w:vanish/>
        </w:rPr>
        <w:t>nOneYearMember2020-01-012020-09-300001333986us-gaap:FederalHomeLoanBankCertificatesAndObligationsFHLBMembereqh:ShortTermFundingAgreementsMaturingInLessThanOneYearMember2020-09-300001333986us-gaap:FederalHomeLoanBankCertificatesAndObligationsFHLBMembereqh:L</w:t>
      </w:r>
      <w:r>
        <w:rPr>
          <w:rFonts w:eastAsia="Times New Roman"/>
          <w:vanish/>
        </w:rPr>
        <w:t>ongTermFundingAgreementsMaturingBetweenTwoAndFiveYearsMember2019-12-310001333986us-gaap:FederalHomeLoanBankCertificatesAndObligationsFHLBMembereqh:LongTermFundingAgreementsMaturingBetweenTwoAndFiveYearsMember2020-01-012020-09-300001333986us-gaap:FederalHom</w:t>
      </w:r>
      <w:r>
        <w:rPr>
          <w:rFonts w:eastAsia="Times New Roman"/>
          <w:vanish/>
        </w:rPr>
        <w:t>eLoanBankCertificatesAndObligationsFHLBMembereqh:LongTermFundingAgreementsMaturingBetweenTwoAndFiveYearsMember2020-09-300001333986us-gaap:FederalHomeLoanBankCertificatesAndObligationsFHLBMembereqh:LongTermFundingAgreementsMaturingInGreaterThanFiveYearsMemb</w:t>
      </w:r>
      <w:r>
        <w:rPr>
          <w:rFonts w:eastAsia="Times New Roman"/>
          <w:vanish/>
        </w:rPr>
        <w:t>er2019-12-310001333986us-gaap:FederalHomeLoanBankCertificatesAndObligationsFHLBMembereqh:LongTermFundingAgreementsMaturingInGreaterThanFiveYearsMember2020-01-012020-09-300001333986us-gaap:FederalHomeLoanBankCertificatesAndObligationsFHLBMembereqh:LongTermF</w:t>
      </w:r>
      <w:r>
        <w:rPr>
          <w:rFonts w:eastAsia="Times New Roman"/>
          <w:vanish/>
        </w:rPr>
        <w:t>undingAgreementsMaturingInGreaterThanFiveYearsMember2020-09-300001333986us-gaap:FederalHomeLoanBankCertificatesAndObligationsFHLBMembereqh:LongTermFundingAgreementsMember2019-12-310001333986us-gaap:FederalHomeLoanBankCertificatesAndObligationsFHLBMembereqh</w:t>
      </w:r>
      <w:r>
        <w:rPr>
          <w:rFonts w:eastAsia="Times New Roman"/>
          <w:vanish/>
        </w:rPr>
        <w:t>:LongTermFundingAgreementsMember2020-01-012020-09-300001333986us-gaap:FederalHomeLoanBankCertificatesAndObligationsFHLBMembereqh:LongTermFundingAgreementsMember2020-09-300001333986us-gaap:FederalHomeLoanBankCertificatesAndObligationsFHLBMember2019-12-31000</w:t>
      </w:r>
      <w:r>
        <w:rPr>
          <w:rFonts w:eastAsia="Times New Roman"/>
          <w:vanish/>
        </w:rPr>
        <w:t>1333986us-gaap:FederalHomeLoanBankCertificatesAndObligationsFHLBMember2020-01-012020-09-300001333986us-gaap:FederalHomeLoanBankCertificatesAndObligationsFHLBMember2020-09-300001333986eqh:TrustNotesMember2020-09-300001333986eqh:ShortTermFundingAgreementsMat</w:t>
      </w:r>
      <w:r>
        <w:rPr>
          <w:rFonts w:eastAsia="Times New Roman"/>
          <w:vanish/>
        </w:rPr>
        <w:t>uringInLessThanOneYearMembereqh:FundingAgreementBackedNotesProgramFABNMember2019-12-310001333986eqh:ShortTermFundingAgreementsMaturingInLessThanOneYearMembereqh:FundingAgreementBackedNotesProgramFABNMember2020-01-012020-09-300001333986eqh:ShortTermFundingA</w:t>
      </w:r>
      <w:r>
        <w:rPr>
          <w:rFonts w:eastAsia="Times New Roman"/>
          <w:vanish/>
        </w:rPr>
        <w:t>greementsMaturingInLessThanOneYearMembereqh:FundingAgreementBackedNotesProgramFABNMember2020-09-300001333986eqh:FundingAgreementBackedNotesProgramFABNMembereqh:LongTermFundingAgreementsMaturingBetweenTwoAndFiveYearsMember2019-12-310001333986eqh:FundingAgre</w:t>
      </w:r>
      <w:r>
        <w:rPr>
          <w:rFonts w:eastAsia="Times New Roman"/>
          <w:vanish/>
        </w:rPr>
        <w:t>ementBackedNotesProgramFABNMembereqh:LongTermFundingAgreementsMaturingBetweenTwoAndFiveYearsMember2020-01-012020-09-300001333986eqh:FundingAgreementBackedNotesProgramFABNMembereqh:LongTermFundingAgreementsMaturingBetweenTwoAndFiveYearsMember2020-09-3000013</w:t>
      </w:r>
      <w:r>
        <w:rPr>
          <w:rFonts w:eastAsia="Times New Roman"/>
          <w:vanish/>
        </w:rPr>
        <w:t>33986eqh:FundingAgreementBackedNotesProgramFABNMembereqh:LongTermFundingAgreementsMaturingInGreaterThanFiveYearsMember2019-12-310001333986eqh:FundingAgreementBackedNotesProgramFABNMembereqh:LongTermFundingAgreementsMaturingInGreaterThanFiveYearsMember2020-</w:t>
      </w:r>
      <w:r>
        <w:rPr>
          <w:rFonts w:eastAsia="Times New Roman"/>
          <w:vanish/>
        </w:rPr>
        <w:t>01-012020-09-300001333986eqh:FundingAgreementBackedNotesProgramFABNMembereqh:LongTermFundingAgreementsMaturingInGreaterThanFiveYearsMember2020-09-300001333986eqh:FundingAgreementBackedNotesProgramFABNMembereqh:LongTermFundingAgreementsMember2019-12-3100013</w:t>
      </w:r>
      <w:r>
        <w:rPr>
          <w:rFonts w:eastAsia="Times New Roman"/>
          <w:vanish/>
        </w:rPr>
        <w:t>33986eqh:FundingAgreementBackedNotesProgramFABNMembereqh:LongTermFundingAgreementsMember2020-01-012020-09-300001333986eqh:FundingAgreementBackedNotesProgramFABNMembereqh:LongTermFundingAgreementsMember2020-09-300001333986eqh:FundingAgreementBackedNotesProg</w:t>
      </w:r>
      <w:r>
        <w:rPr>
          <w:rFonts w:eastAsia="Times New Roman"/>
          <w:vanish/>
        </w:rPr>
        <w:t>ramFABNMember2019-12-310001333986eqh:FundingAgreementBackedNotesProgramFABNMember2020-01-012020-09-300001333986eqh:FundingAgreementBackedNotesProgramFABNMember2020-09-300001333986us-gaap:RevolvingCreditFacilityMembereqh:HoldingsRevolvingCreditFacilityMembe</w:t>
      </w:r>
      <w:r>
        <w:rPr>
          <w:rFonts w:eastAsia="Times New Roman"/>
          <w:vanish/>
        </w:rPr>
        <w:t>r2020-09-300001333986us-gaap:RevolvingCreditFacilityMembereqh:HoldingsRevolvingCreditFacilityMember2020-01-012020-09-300001333986us-gaap:RevolvingCreditFacilityMemberus-gaap:LetterOfCreditMember2020-09-300001333986us-gaap:RevolvingCreditFacilityMembereqh:A</w:t>
      </w:r>
      <w:r>
        <w:rPr>
          <w:rFonts w:eastAsia="Times New Roman"/>
          <w:vanish/>
        </w:rPr>
        <w:t>CSLifeMemberus-gaap:LetterOfCreditMember2020-09-300001333986us-gaap:RevolvingCreditFacilityMembereqh:AXAEquitableLifeInsuranceCoMemberus-gaap:LetterOfCreditMember2020-09-300001333986us-gaap:RevolvingCreditFacilityMembereqh:BilateralLetterOfCreditFacilities</w:t>
      </w:r>
      <w:r>
        <w:rPr>
          <w:rFonts w:eastAsia="Times New Roman"/>
          <w:vanish/>
        </w:rPr>
        <w:t>Member2020-09-300001333986eqh:AxaMember2020-09-300001333986srt:AffiliatedEntityMembereqh:AxaMember2020-09-300001333986us-gaap:RevolvingCreditFacilityMember2020-09-300001333986us-gaap:MaterialReconcilingItemsMember2020-07-012020-09-300001333986us-gaap:Mater</w:t>
      </w:r>
      <w:r>
        <w:rPr>
          <w:rFonts w:eastAsia="Times New Roman"/>
          <w:vanish/>
        </w:rPr>
        <w:t>ialReconcilingItemsMember2019-07-012019-09-300001333986us-gaap:MaterialReconcilingItemsMember2020-01-012020-09-300001333986us-gaap:MaterialReconcilingItemsMember2019-01-012019-09-300001333986eqh:IndividualRetirementMemberus-gaap:OperatingSegmentsMember2020</w:t>
      </w:r>
      <w:r>
        <w:rPr>
          <w:rFonts w:eastAsia="Times New Roman"/>
          <w:vanish/>
        </w:rPr>
        <w:t>-07-012020-09-300001333986eqh:IndividualRetirementMemberus-gaap:OperatingSegmentsMember2019-07-012019-09-300001333986eqh:IndividualRetirementMemberus-gaap:OperatingSegmentsMember2020-01-012020-09-300001333986eqh:IndividualRetirementMemberus-gaap:OperatingS</w:t>
      </w:r>
      <w:r>
        <w:rPr>
          <w:rFonts w:eastAsia="Times New Roman"/>
          <w:vanish/>
        </w:rPr>
        <w:t>egmentsMember2019-01-012019-09-300001333986eqh:GroupRetirementMemberus-gaap:OperatingSegmentsMember2020-07-012020-09-300001333986eqh:GroupRetirementMemberus-gaap:OperatingSegmentsMember2019-07-012019-09-300001333986eqh:GroupRetirementMemberus-gaap:Operatin</w:t>
      </w:r>
      <w:r>
        <w:rPr>
          <w:rFonts w:eastAsia="Times New Roman"/>
          <w:vanish/>
        </w:rPr>
        <w:t>gSegmentsMember2020-01-012020-09-300001333986eqh:GroupRetirementMemberus-gaap:OperatingSegmentsMember2019-01-012019-09-300001333986eqh:InvestmentManagementAndResearchMemberus-gaap:OperatingSegmentsMember2020-07-012020-09-300001333986eqh:InvestmentManagemen</w:t>
      </w:r>
      <w:r>
        <w:rPr>
          <w:rFonts w:eastAsia="Times New Roman"/>
          <w:vanish/>
        </w:rPr>
        <w:t>tAndResearchMemberus-gaap:OperatingSegmentsMember2019-07-012019-09-300001333986eqh:InvestmentManagementAndResearchMemberus-gaap:OperatingSegmentsMember2020-01-012020-09-300001333986eqh:InvestmentManagementAndResearchMemberus-gaap:OperatingSegmentsMember201</w:t>
      </w:r>
      <w:r>
        <w:rPr>
          <w:rFonts w:eastAsia="Times New Roman"/>
          <w:vanish/>
        </w:rPr>
        <w:t>9-01-012019-09-300001333986eqh:ProtectionSolutionsMemberus-gaap:OperatingSegmentsMember2020-07-012020-09-300001333986eqh:ProtectionSolutionsMemberus-gaap:OperatingSegmentsMember2019-07-012019-09-300001333986eqh:ProtectionSolutionsMemberus-gaap:OperatingSeg</w:t>
      </w:r>
      <w:r>
        <w:rPr>
          <w:rFonts w:eastAsia="Times New Roman"/>
          <w:vanish/>
        </w:rPr>
        <w:t>mentsMember2020-01-012020-09-300001333986eqh:ProtectionSolutionsMemberus-gaap:OperatingSegmentsMember2019-01-012019-09-300001333986us-gaap:CorporateNonSegmentMember2020-07-012020-09-300001333986us-gaap:CorporateNonSegmentMember2019-07-012019-09-30000133398</w:t>
      </w:r>
      <w:r>
        <w:rPr>
          <w:rFonts w:eastAsia="Times New Roman"/>
          <w:vanish/>
        </w:rPr>
        <w:t>6us-gaap:CorporateNonSegmentMember2020-01-012020-09-300001333986us-gaap:CorporateNonSegmentMember2019-01-012019-09-300001333986us-gaap:IntersegmentEliminationMember2020-07-012020-09-300001333986us-gaap:IntersegmentEliminationMember2019-07-012019-09-3000013</w:t>
      </w:r>
      <w:r>
        <w:rPr>
          <w:rFonts w:eastAsia="Times New Roman"/>
          <w:vanish/>
        </w:rPr>
        <w:t>33986us-gaap:IntersegmentEliminationMember2020-01-012020-09-300001333986us-gaap:IntersegmentEliminationMember2019-01-012019-09-300001333986us-gaap:InvestmentAdviceMemberus-gaap:IntersegmentEliminationMember2020-07-012020-09-300001333986us-gaap:InvestmentAd</w:t>
      </w:r>
      <w:r>
        <w:rPr>
          <w:rFonts w:eastAsia="Times New Roman"/>
          <w:vanish/>
        </w:rPr>
        <w:t>viceMemberus-gaap:IntersegmentEliminationMember2019-07-012019-09-300001333986us-gaap:InvestmentAdviceMemberus-gaap:IntersegmentEliminationMember2020-01-012020-09-300001333986us-gaap:InvestmentAdviceMemberus-gaap:IntersegmentEliminationMember2019-01-012019-</w:t>
      </w:r>
      <w:r>
        <w:rPr>
          <w:rFonts w:eastAsia="Times New Roman"/>
          <w:vanish/>
        </w:rPr>
        <w:t>09-300001333986eqh:IndividualRetirementMemberus-gaap:OperatingSegmentsMember2020-09-300001333986eqh:IndividualRetirementMemberus-gaap:OperatingSegmentsMember2019-12-310001333986eqh:GroupRetirementMemberus-gaap:OperatingSegmentsMember2020-09-300001333986eqh</w:t>
      </w:r>
      <w:r>
        <w:rPr>
          <w:rFonts w:eastAsia="Times New Roman"/>
          <w:vanish/>
        </w:rPr>
        <w:t>:GroupRetirementMemberus-gaap:OperatingSegmentsMember2019-12-310001333986eqh:InvestmentManagementAndResearchMemberus-gaap:OperatingSegmentsMember2020-09-300001333986eqh:InvestmentManagementAndResearchMemberus-gaap:OperatingSegmentsMember2019-12-31000133398</w:t>
      </w:r>
      <w:r>
        <w:rPr>
          <w:rFonts w:eastAsia="Times New Roman"/>
          <w:vanish/>
        </w:rPr>
        <w:t>6eqh:ProtectionSolutionsMemberus-gaap:OperatingSegmentsMember2020-09-300001333986eqh:ProtectionSolutionsMemberus-gaap:OperatingSegmentsMember2019-12-310001333986us-gaap:CorporateNonSegmentMember2020-09-300001333986us-gaap:CorporateNonSegmentMember2019-12-3</w:t>
      </w:r>
      <w:r>
        <w:rPr>
          <w:rFonts w:eastAsia="Times New Roman"/>
          <w:vanish/>
        </w:rPr>
        <w:t>10001333986srt:ScenarioPreviouslyReportedMember2020-06-300001333986srt:RestatementAdjustmentMember2020-06-300001333986srt:ScenarioPreviouslyReportedMember2020-03-310001333986srt:RestatementAdjustmentMember2020-03-3100013339862020-03-310001333986srt:Scenari</w:t>
      </w:r>
      <w:r>
        <w:rPr>
          <w:rFonts w:eastAsia="Times New Roman"/>
          <w:vanish/>
        </w:rPr>
        <w:t>oPreviouslyReportedMember2019-12-310001333986srt:RestatementAdjustmentMember2019-12-310001333986srt:ScenarioPreviouslyReportedMember2018-12-310001333986srt:RestatementAdjustmentMember2018-12-310001333986srt:ScenarioPreviouslyReportedMember2020-04-012020-06</w:t>
      </w:r>
      <w:r>
        <w:rPr>
          <w:rFonts w:eastAsia="Times New Roman"/>
          <w:vanish/>
        </w:rPr>
        <w:t>-300001333986srt:RestatementAdjustmentMember2020-04-012020-06-3000013339862020-04-012020-06-300001333986srt:ScenarioPreviouslyReportedMember2020-01-012020-06-300001333986srt:RestatementAdjustmentMember2020-01-012020-06-3000013339862020-01-012020-06-3000013</w:t>
      </w:r>
      <w:r>
        <w:rPr>
          <w:rFonts w:eastAsia="Times New Roman"/>
          <w:vanish/>
        </w:rPr>
        <w:t>33986srt:ScenarioPreviouslyReportedMember2020-01-012020-03-310001333986srt:RestatementAdjustmentMember2020-01-012020-03-3100013339862020-01-012020-03-310001333986srt:ScenarioPreviouslyReportedMember2019-01-012019-12-310001333986srt:RestatementAdjustmentMem</w:t>
      </w:r>
      <w:r>
        <w:rPr>
          <w:rFonts w:eastAsia="Times New Roman"/>
          <w:vanish/>
        </w:rPr>
        <w:t>ber2019-01-012019-12-310001333986srt:ScenarioPreviouslyReportedMember2018-01-012018-12-310001333986srt:RestatementAdjustmentMember2018-01-012018-12-3100013339862018-01-012018-12-310001333986srt:ScenarioPreviouslyReportedMember2019-07-012019-09-300001333986</w:t>
      </w:r>
      <w:r>
        <w:rPr>
          <w:rFonts w:eastAsia="Times New Roman"/>
          <w:vanish/>
        </w:rPr>
        <w:t>srt:RestatementAdjustmentMember2019-07-012019-09-300001333986srt:ScenarioPreviouslyReportedMember2019-01-012019-09-300001333986srt:RestatementAdjustmentMember2019-01-012019-09-300001333986srt:ScenarioPreviouslyReportedMember2019-04-012019-06-300001333986sr</w:t>
      </w:r>
      <w:r>
        <w:rPr>
          <w:rFonts w:eastAsia="Times New Roman"/>
          <w:vanish/>
        </w:rPr>
        <w:t>t:RestatementAdjustmentMember2019-04-012019-06-3000013339862019-04-012019-06-300001333986srt:ScenarioPreviouslyReportedMember2019-01-012019-06-300001333986srt:RestatementAdjustmentMember2019-01-012019-06-3000013339862019-01-012019-06-300001333986srt:Scenar</w:t>
      </w:r>
      <w:r>
        <w:rPr>
          <w:rFonts w:eastAsia="Times New Roman"/>
          <w:vanish/>
        </w:rPr>
        <w:t>ioPreviouslyReportedMember2019-01-012019-03-310001333986srt:RestatementAdjustmentMember2019-01-012019-03-3100013339862019-01-012019-03-310001333986srt:ScenarioPreviouslyReportedMember2017-01-012017-12-310001333986srt:RestatementAdjustmentMember2017-01-0120</w:t>
      </w:r>
      <w:r>
        <w:rPr>
          <w:rFonts w:eastAsia="Times New Roman"/>
          <w:vanish/>
        </w:rPr>
        <w:t>17-12-3100013339862017-01-012017-12-310001333986srt:ScenarioPreviouslyReportedMemberus-gaap:RetainedEarningsMember2020-03-310001333986srt:RestatementAdjustmentMemberus-gaap:RetainedEarningsMember2020-03-310001333986us-gaap:RetainedEarningsMember2020-03-310</w:t>
      </w:r>
      <w:r>
        <w:rPr>
          <w:rFonts w:eastAsia="Times New Roman"/>
          <w:vanish/>
        </w:rPr>
        <w:t>001333986srt:ScenarioPreviouslyReportedMemberus-gaap:RetainedEarningsMember2019-12-310001333986srt:RestatementAdjustmentMemberus-gaap:RetainedEarningsMember2019-12-310001333986srt:ScenarioPreviouslyReportedMemberus-gaap:RetainedEarningsMember2020-04-012020</w:t>
      </w:r>
      <w:r>
        <w:rPr>
          <w:rFonts w:eastAsia="Times New Roman"/>
          <w:vanish/>
        </w:rPr>
        <w:t>-06-300001333986srt:RestatementAdjustmentMemberus-gaap:RetainedEarningsMember2020-04-012020-06-300001333986us-gaap:RetainedEarningsMember2020-04-012020-06-300001333986srt:ScenarioPreviouslyReportedMemberus-gaap:RetainedEarningsMember2020-01-012020-06-30000</w:t>
      </w:r>
      <w:r>
        <w:rPr>
          <w:rFonts w:eastAsia="Times New Roman"/>
          <w:vanish/>
        </w:rPr>
        <w:t>1333986srt:RestatementAdjustmentMemberus-gaap:RetainedEarningsMember2020-01-012020-06-300001333986us-gaap:RetainedEarningsMember2020-01-012020-06-300001333986srt:ScenarioPreviouslyReportedMemberus-gaap:RetainedEarningsMember2020-06-300001333986srt:Restatem</w:t>
      </w:r>
      <w:r>
        <w:rPr>
          <w:rFonts w:eastAsia="Times New Roman"/>
          <w:vanish/>
        </w:rPr>
        <w:t>entAdjustmentMemberus-gaap:RetainedEarningsMember2020-06-300001333986srt:ScenarioPreviouslyReportedMemberus-gaap:ParentMember2020-06-300001333986us-gaap:ParentMembersrt:RestatementAdjustmentMember2020-06-300001333986srt:ScenarioPreviouslyReportedMemberus-g</w:t>
      </w:r>
      <w:r>
        <w:rPr>
          <w:rFonts w:eastAsia="Times New Roman"/>
          <w:vanish/>
        </w:rPr>
        <w:t>aap:RetainedEarningsMember2020-01-012020-03-310001333986srt:RestatementAdjustmentMemberus-gaap:RetainedEarningsMember2020-01-012020-03-310001333986us-gaap:RetainedEarningsMember2020-01-012020-03-310001333986srt:ScenarioPreviouslyReportedMemberus-gaap:Paren</w:t>
      </w:r>
      <w:r>
        <w:rPr>
          <w:rFonts w:eastAsia="Times New Roman"/>
          <w:vanish/>
        </w:rPr>
        <w:t>tMember2020-03-310001333986us-gaap:ParentMembersrt:RestatementAdjustmentMember2020-03-310001333986us-gaap:ParentMember2020-03-310001333986srt:ScenarioPreviouslyReportedMemberus-gaap:RetainedEarningsMember2018-12-310001333986srt:RestatementAdjustmentMemberu</w:t>
      </w:r>
      <w:r>
        <w:rPr>
          <w:rFonts w:eastAsia="Times New Roman"/>
          <w:vanish/>
        </w:rPr>
        <w:t>s-gaap:RetainedEarningsMember2018-12-310001333986srt:ScenarioPreviouslyReportedMemberus-gaap:RetainedEarningsMember2017-12-310001333986srt:RestatementAdjustmentMemberus-gaap:RetainedEarningsMember2017-12-310001333986us-gaap:RetainedEarningsMember2017-12-31</w:t>
      </w:r>
      <w:r>
        <w:rPr>
          <w:rFonts w:eastAsia="Times New Roman"/>
          <w:vanish/>
        </w:rPr>
        <w:t>0001333986srt:ScenarioPreviouslyReportedMemberus-gaap:RetainedEarningsMember2019-01-012019-12-310001333986srt:RestatementAdjustmentMemberus-gaap:RetainedEarningsMember2019-01-012019-12-310001333986us-gaap:RetainedEarningsMember2019-01-012019-12-31000133398</w:t>
      </w:r>
      <w:r>
        <w:rPr>
          <w:rFonts w:eastAsia="Times New Roman"/>
          <w:vanish/>
        </w:rPr>
        <w:t>6srt:ScenarioPreviouslyReportedMemberus-gaap:RetainedEarningsMember2018-01-012018-12-310001333986srt:RestatementAdjustmentMemberus-gaap:RetainedEarningsMember2018-01-012018-12-310001333986us-gaap:RetainedEarningsMember2018-01-012018-12-310001333986srt:Scen</w:t>
      </w:r>
      <w:r>
        <w:rPr>
          <w:rFonts w:eastAsia="Times New Roman"/>
          <w:vanish/>
        </w:rPr>
        <w:t>arioPreviouslyReportedMemberus-gaap:AccumulatedOtherComprehensiveIncomeMember2018-12-310001333986srt:RestatementAdjustmentMemberus-gaap:AccumulatedOtherComprehensiveIncomeMember2018-12-310001333986srt:ScenarioPreviouslyReportedMemberus-gaap:AccumulatedOthe</w:t>
      </w:r>
      <w:r>
        <w:rPr>
          <w:rFonts w:eastAsia="Times New Roman"/>
          <w:vanish/>
        </w:rPr>
        <w:t>rComprehensiveIncomeMember2017-12-310001333986srt:RestatementAdjustmentMemberus-gaap:AccumulatedOtherComprehensiveIncomeMember2017-12-310001333986us-gaap:AccumulatedOtherComprehensiveIncomeMember2017-12-310001333986srt:ScenarioPreviouslyReportedMemberus-ga</w:t>
      </w:r>
      <w:r>
        <w:rPr>
          <w:rFonts w:eastAsia="Times New Roman"/>
          <w:vanish/>
        </w:rPr>
        <w:t>ap:AccumulatedOtherComprehensiveIncomeMember2019-01-012019-12-310001333986srt:RestatementAdjustmentMemberus-gaap:AccumulatedOtherComprehensiveIncomeMember2019-01-012019-12-310001333986us-gaap:AccumulatedOtherComprehensiveIncomeMember2019-01-012019-12-31000</w:t>
      </w:r>
      <w:r>
        <w:rPr>
          <w:rFonts w:eastAsia="Times New Roman"/>
          <w:vanish/>
        </w:rPr>
        <w:t>1333986srt:ScenarioPreviouslyReportedMemberus-gaap:AccumulatedOtherComprehensiveIncomeMember2018-01-012018-12-310001333986srt:RestatementAdjustmentMemberus-gaap:AccumulatedOtherComprehensiveIncomeMember2018-01-012018-12-310001333986us-gaap:AccumulatedOther</w:t>
      </w:r>
      <w:r>
        <w:rPr>
          <w:rFonts w:eastAsia="Times New Roman"/>
          <w:vanish/>
        </w:rPr>
        <w:t>ComprehensiveIncomeMember2018-01-012018-12-310001333986srt:ScenarioPreviouslyReportedMemberus-gaap:AccumulatedOtherComprehensiveIncomeMember2019-12-310001333986srt:RestatementAdjustmentMemberus-gaap:AccumulatedOtherComprehensiveIncomeMember2019-12-31000133</w:t>
      </w:r>
      <w:r>
        <w:rPr>
          <w:rFonts w:eastAsia="Times New Roman"/>
          <w:vanish/>
        </w:rPr>
        <w:t>3986srt:ScenarioPreviouslyReportedMemberus-gaap:ParentMember2019-12-310001333986us-gaap:ParentMembersrt:RestatementAdjustmentMember2019-12-310001333986srt:ScenarioPreviouslyReportedMemberus-gaap:ParentMember2018-12-310001333986us-gaap:ParentMembersrt:Resta</w:t>
      </w:r>
      <w:r>
        <w:rPr>
          <w:rFonts w:eastAsia="Times New Roman"/>
          <w:vanish/>
        </w:rPr>
        <w:t>tementAdjustmentMember2018-12-310001333986srt:ScenarioPreviouslyReportedMemberus-gaap:RetainedEarningsMember2019-06-300001333986srt:RestatementAdjustmentMemberus-gaap:RetainedEarningsMember2019-06-300001333986srt:ScenarioPreviouslyReportedMemberus-gaap:Ret</w:t>
      </w:r>
      <w:r>
        <w:rPr>
          <w:rFonts w:eastAsia="Times New Roman"/>
          <w:vanish/>
        </w:rPr>
        <w:t>ainedEarningsMember2019-07-012019-09-300001333986srt:RestatementAdjustmentMemberus-gaap:RetainedEarningsMember2019-07-012019-09-300001333986srt:ScenarioPreviouslyReportedMemberus-gaap:RetainedEarningsMember2019-01-012019-09-300001333986srt:RestatementAdjus</w:t>
      </w:r>
      <w:r>
        <w:rPr>
          <w:rFonts w:eastAsia="Times New Roman"/>
          <w:vanish/>
        </w:rPr>
        <w:t>tmentMemberus-gaap:RetainedEarningsMember2019-01-012019-09-300001333986srt:ScenarioPreviouslyReportedMemberus-gaap:RetainedEarningsMember2019-09-300001333986srt:RestatementAdjustmentMemberus-gaap:RetainedEarningsMember2019-09-300001333986srt:ScenarioPrevio</w:t>
      </w:r>
      <w:r>
        <w:rPr>
          <w:rFonts w:eastAsia="Times New Roman"/>
          <w:vanish/>
        </w:rPr>
        <w:t>uslyReportedMemberus-gaap:AccumulatedOtherComprehensiveIncomeMember2019-06-300001333986srt:RestatementAdjustmentMemberus-gaap:AccumulatedOtherComprehensiveIncomeMember2019-06-300001333986srt:ScenarioPreviouslyReportedMemberus-gaap:AccumulatedOtherComprehen</w:t>
      </w:r>
      <w:r>
        <w:rPr>
          <w:rFonts w:eastAsia="Times New Roman"/>
          <w:vanish/>
        </w:rPr>
        <w:t>siveIncomeMember2019-07-012019-09-300001333986srt:RestatementAdjustmentMemberus-gaap:AccumulatedOtherComprehensiveIncomeMember2019-07-012019-09-300001333986srt:ScenarioPreviouslyReportedMemberus-gaap:AccumulatedOtherComprehensiveIncomeMember2019-01-012019-</w:t>
      </w:r>
      <w:r>
        <w:rPr>
          <w:rFonts w:eastAsia="Times New Roman"/>
          <w:vanish/>
        </w:rPr>
        <w:t>09-300001333986srt:RestatementAdjustmentMemberus-gaap:AccumulatedOtherComprehensiveIncomeMember2019-01-012019-09-300001333986srt:ScenarioPreviouslyReportedMemberus-gaap:AccumulatedOtherComprehensiveIncomeMember2019-09-300001333986srt:RestatementAdjustmentM</w:t>
      </w:r>
      <w:r>
        <w:rPr>
          <w:rFonts w:eastAsia="Times New Roman"/>
          <w:vanish/>
        </w:rPr>
        <w:t>emberus-gaap:AccumulatedOtherComprehensiveIncomeMember2019-09-300001333986srt:ScenarioPreviouslyReportedMemberus-gaap:ParentMember2019-09-300001333986us-gaap:ParentMembersrt:RestatementAdjustmentMember2019-09-300001333986srt:ScenarioPreviouslyReportedMembe</w:t>
      </w:r>
      <w:r>
        <w:rPr>
          <w:rFonts w:eastAsia="Times New Roman"/>
          <w:vanish/>
        </w:rPr>
        <w:t>r2019-09-300001333986srt:RestatementAdjustmentMember2019-09-300001333986srt:ScenarioPreviouslyReportedMemberus-gaap:AdditionalPaidInCapitalMember2019-03-310001333986us-gaap:AdditionalPaidInCapitalMembersrt:RestatementAdjustmentMember2019-03-310001333986us-</w:t>
      </w:r>
      <w:r>
        <w:rPr>
          <w:rFonts w:eastAsia="Times New Roman"/>
          <w:vanish/>
        </w:rPr>
        <w:t>gaap:AdditionalPaidInCapitalMember2019-03-310001333986srt:ScenarioPreviouslyReportedMemberus-gaap:AdditionalPaidInCapitalMember2018-12-310001333986us-gaap:AdditionalPaidInCapitalMembersrt:RestatementAdjustmentMember2018-12-310001333986srt:ScenarioPreviousl</w:t>
      </w:r>
      <w:r>
        <w:rPr>
          <w:rFonts w:eastAsia="Times New Roman"/>
          <w:vanish/>
        </w:rPr>
        <w:t>yReportedMemberus-gaap:AdditionalPaidInCapitalMember2019-04-012019-06-300001333986us-gaap:AdditionalPaidInCapitalMembersrt:RestatementAdjustmentMember2019-04-012019-06-300001333986us-gaap:AdditionalPaidInCapitalMember2019-04-012019-06-300001333986srt:Scena</w:t>
      </w:r>
      <w:r>
        <w:rPr>
          <w:rFonts w:eastAsia="Times New Roman"/>
          <w:vanish/>
        </w:rPr>
        <w:t>rioPreviouslyReportedMemberus-gaap:AdditionalPaidInCapitalMember2019-01-012019-06-300001333986us-gaap:AdditionalPaidInCapitalMembersrt:RestatementAdjustmentMember2019-01-012019-06-300001333986us-gaap:AdditionalPaidInCapitalMember2019-01-012019-06-300001333</w:t>
      </w:r>
      <w:r>
        <w:rPr>
          <w:rFonts w:eastAsia="Times New Roman"/>
          <w:vanish/>
        </w:rPr>
        <w:t>986srt:ScenarioPreviouslyReportedMemberus-gaap:AdditionalPaidInCapitalMember2019-06-300001333986us-gaap:AdditionalPaidInCapitalMembersrt:RestatementAdjustmentMember2019-06-300001333986srt:ScenarioPreviouslyReportedMemberus-gaap:RetainedEarningsMember2019-0</w:t>
      </w:r>
      <w:r>
        <w:rPr>
          <w:rFonts w:eastAsia="Times New Roman"/>
          <w:vanish/>
        </w:rPr>
        <w:t>3-310001333986srt:RestatementAdjustmentMemberus-gaap:RetainedEarningsMember2019-03-310001333986us-gaap:RetainedEarningsMember2019-03-310001333986srt:ScenarioPreviouslyReportedMemberus-gaap:RetainedEarningsMember2019-04-012019-06-300001333986srt:Restatement</w:t>
      </w:r>
      <w:r>
        <w:rPr>
          <w:rFonts w:eastAsia="Times New Roman"/>
          <w:vanish/>
        </w:rPr>
        <w:t>AdjustmentMemberus-gaap:RetainedEarningsMember2019-04-012019-06-300001333986us-gaap:RetainedEarningsMember2019-04-012019-06-300001333986srt:ScenarioPreviouslyReportedMemberus-gaap:RetainedEarningsMember2019-01-012019-06-300001333986srt:RestatementAdjustmen</w:t>
      </w:r>
      <w:r>
        <w:rPr>
          <w:rFonts w:eastAsia="Times New Roman"/>
          <w:vanish/>
        </w:rPr>
        <w:t>tMemberus-gaap:RetainedEarningsMember2019-01-012019-06-300001333986us-gaap:RetainedEarningsMember2019-01-012019-06-300001333986srt:ScenarioPreviouslyReportedMemberus-gaap:AccumulatedOtherComprehensiveIncomeMember2019-03-310001333986srt:RestatementAdjustmen</w:t>
      </w:r>
      <w:r>
        <w:rPr>
          <w:rFonts w:eastAsia="Times New Roman"/>
          <w:vanish/>
        </w:rPr>
        <w:t>tMemberus-gaap:AccumulatedOtherComprehensiveIncomeMember2019-03-310001333986us-gaap:AccumulatedOtherComprehensiveIncomeMember2019-03-310001333986srt:ScenarioPreviouslyReportedMemberus-gaap:AccumulatedOtherComprehensiveIncomeMember2019-04-012019-06-30000133</w:t>
      </w:r>
      <w:r>
        <w:rPr>
          <w:rFonts w:eastAsia="Times New Roman"/>
          <w:vanish/>
        </w:rPr>
        <w:t>3986srt:RestatementAdjustmentMemberus-gaap:AccumulatedOtherComprehensiveIncomeMember2019-04-012019-06-300001333986us-gaap:AccumulatedOtherComprehensiveIncomeMember2019-04-012019-06-300001333986srt:ScenarioPreviouslyReportedMemberus-gaap:AccumulatedOtherCom</w:t>
      </w:r>
      <w:r>
        <w:rPr>
          <w:rFonts w:eastAsia="Times New Roman"/>
          <w:vanish/>
        </w:rPr>
        <w:t>prehensiveIncomeMember2019-01-012019-06-300001333986srt:RestatementAdjustmentMemberus-gaap:AccumulatedOtherComprehensiveIncomeMember2019-01-012019-06-300001333986us-gaap:AccumulatedOtherComprehensiveIncomeMember2019-01-012019-06-300001333986srt:ScenarioPre</w:t>
      </w:r>
      <w:r>
        <w:rPr>
          <w:rFonts w:eastAsia="Times New Roman"/>
          <w:vanish/>
        </w:rPr>
        <w:t>viouslyReportedMemberus-gaap:ParentMember2019-06-300001333986us-gaap:ParentMembersrt:RestatementAdjustmentMember2019-06-300001333986srt:ScenarioPreviouslyReportedMember2019-06-300001333986srt:RestatementAdjustmentMember2019-06-300001333986srt:ScenarioPrevi</w:t>
      </w:r>
      <w:r>
        <w:rPr>
          <w:rFonts w:eastAsia="Times New Roman"/>
          <w:vanish/>
        </w:rPr>
        <w:t>ouslyReportedMemberus-gaap:RetainedEarningsMember2019-01-012019-03-310001333986srt:RestatementAdjustmentMemberus-gaap:RetainedEarningsMember2019-01-012019-03-310001333986us-gaap:RetainedEarningsMember2019-01-012019-03-310001333986srt:ScenarioPreviouslyRepo</w:t>
      </w:r>
      <w:r>
        <w:rPr>
          <w:rFonts w:eastAsia="Times New Roman"/>
          <w:vanish/>
        </w:rPr>
        <w:t>rtedMemberus-gaap:AccumulatedOtherComprehensiveIncomeMember2019-01-012019-03-310001333986srt:RestatementAdjustmentMemberus-gaap:AccumulatedOtherComprehensiveIncomeMember2019-01-012019-03-310001333986us-gaap:AccumulatedOtherComprehensiveIncomeMember2019-01-</w:t>
      </w:r>
      <w:r>
        <w:rPr>
          <w:rFonts w:eastAsia="Times New Roman"/>
          <w:vanish/>
        </w:rPr>
        <w:t>012019-03-310001333986srt:ScenarioPreviouslyReportedMemberus-gaap:ParentMember2019-03-310001333986us-gaap:ParentMembersrt:RestatementAdjustmentMember2019-03-310001333986us-gaap:ParentMember2019-03-310001333986srt:ScenarioPreviouslyReportedMember2019-03-310</w:t>
      </w:r>
      <w:r>
        <w:rPr>
          <w:rFonts w:eastAsia="Times New Roman"/>
          <w:vanish/>
        </w:rPr>
        <w:t>001333986srt:RestatementAdjustmentMember2019-03-3100013339862019-03-310001333986srt:ScenarioPreviouslyReportedMemberus-gaap:RetainedEarningsMember2016-12-310001333986srt:RestatementAdjustmentMemberus-gaap:RetainedEarningsMember2016-12-310001333986us-gaap:R</w:t>
      </w:r>
      <w:r>
        <w:rPr>
          <w:rFonts w:eastAsia="Times New Roman"/>
          <w:vanish/>
        </w:rPr>
        <w:t>etainedEarningsMember2016-12-310001333986srt:ScenarioPreviouslyReportedMemberus-gaap:RetainedEarningsMember2017-01-012017-12-310001333986srt:RestatementAdjustmentMemberus-gaap:RetainedEarningsMember2017-01-012017-12-310001333986us-gaap:RetainedEarningsMemb</w:t>
      </w:r>
      <w:r>
        <w:rPr>
          <w:rFonts w:eastAsia="Times New Roman"/>
          <w:vanish/>
        </w:rPr>
        <w:t>er2017-01-012017-12-310001333986srt:ScenarioPreviouslyReportedMemberus-gaap:AccumulatedOtherComprehensiveIncomeMember2016-12-310001333986srt:RestatementAdjustmentMemberus-gaap:AccumulatedOtherComprehensiveIncomeMember2016-12-310001333986us-gaap:Accumulated</w:t>
      </w:r>
      <w:r>
        <w:rPr>
          <w:rFonts w:eastAsia="Times New Roman"/>
          <w:vanish/>
        </w:rPr>
        <w:t>OtherComprehensiveIncomeMember2016-12-310001333986srt:ScenarioPreviouslyReportedMemberus-gaap:AccumulatedOtherComprehensiveIncomeMember2017-01-012017-12-310001333986srt:RestatementAdjustmentMemberus-gaap:AccumulatedOtherComprehensiveIncomeMember2017-01-012</w:t>
      </w:r>
      <w:r>
        <w:rPr>
          <w:rFonts w:eastAsia="Times New Roman"/>
          <w:vanish/>
        </w:rPr>
        <w:t>017-12-310001333986us-gaap:AccumulatedOtherComprehensiveIncomeMember2017-01-012017-12-310001333986srt:ScenarioPreviouslyReportedMemberus-gaap:ParentMember2017-12-310001333986us-gaap:ParentMembersrt:RestatementAdjustmentMember2017-12-310001333986us-gaap:Par</w:t>
      </w:r>
      <w:r>
        <w:rPr>
          <w:rFonts w:eastAsia="Times New Roman"/>
          <w:vanish/>
        </w:rPr>
        <w:t>entMember2017-12-310001333986srt:ScenarioPreviouslyReportedMember2017-12-310001333986srt:RestatementAdjustmentMember2017-12-3100013339862017-12-310001333986us-gaap:SubsequentEventMember2020-10-27</w:t>
      </w:r>
    </w:p>
    <w:p w:rsidR="00000000" w:rsidRDefault="000C147A">
      <w:pPr>
        <w:jc w:val="right"/>
        <w:divId w:val="1654288400"/>
        <w:rPr>
          <w:rFonts w:eastAsia="Times New Roman"/>
        </w:rPr>
      </w:pPr>
    </w:p>
    <w:p w:rsidR="00000000" w:rsidRDefault="000C147A">
      <w:pPr>
        <w:jc w:val="right"/>
        <w:rPr>
          <w:rFonts w:eastAsia="Times New Roman"/>
        </w:rPr>
      </w:pPr>
    </w:p>
    <w:p w:rsidR="00000000" w:rsidRDefault="000C147A">
      <w:pPr>
        <w:jc w:val="center"/>
        <w:rPr>
          <w:rFonts w:eastAsia="Times New Roman"/>
        </w:rPr>
      </w:pPr>
      <w:r>
        <w:rPr>
          <w:rFonts w:eastAsia="Times New Roman"/>
          <w:b/>
          <w:bCs/>
          <w:color w:val="000000"/>
        </w:rPr>
        <w:t>UNITED STATES</w:t>
      </w:r>
    </w:p>
    <w:p w:rsidR="00000000" w:rsidRDefault="000C147A">
      <w:pPr>
        <w:jc w:val="center"/>
        <w:rPr>
          <w:rFonts w:eastAsia="Times New Roman"/>
        </w:rPr>
      </w:pPr>
      <w:r>
        <w:rPr>
          <w:rFonts w:eastAsia="Times New Roman"/>
          <w:b/>
          <w:bCs/>
          <w:color w:val="000000"/>
        </w:rPr>
        <w:t>SECURITIES AND EXCHANGE COMMISSION</w:t>
      </w:r>
    </w:p>
    <w:p w:rsidR="00000000" w:rsidRDefault="000C147A">
      <w:pPr>
        <w:jc w:val="center"/>
        <w:rPr>
          <w:rFonts w:eastAsia="Times New Roman"/>
        </w:rPr>
      </w:pPr>
      <w:r>
        <w:rPr>
          <w:rFonts w:eastAsia="Times New Roman"/>
          <w:b/>
          <w:bCs/>
          <w:color w:val="000000"/>
        </w:rPr>
        <w:t>Washing</w:t>
      </w:r>
      <w:r>
        <w:rPr>
          <w:rFonts w:eastAsia="Times New Roman"/>
          <w:b/>
          <w:bCs/>
          <w:color w:val="000000"/>
        </w:rPr>
        <w:t>ton, D.C. 20549</w:t>
      </w:r>
    </w:p>
    <w:p w:rsidR="00000000" w:rsidRDefault="000C147A">
      <w:pPr>
        <w:jc w:val="center"/>
        <w:rPr>
          <w:rFonts w:eastAsia="Times New Roman"/>
        </w:rPr>
      </w:pPr>
      <w:r>
        <w:rPr>
          <w:rFonts w:eastAsia="Times New Roman"/>
          <w:b/>
          <w:bCs/>
          <w:color w:val="000000"/>
          <w:sz w:val="18"/>
          <w:szCs w:val="18"/>
        </w:rPr>
        <w:t>———————————————</w:t>
      </w:r>
    </w:p>
    <w:p w:rsidR="00000000" w:rsidRDefault="000C147A">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745566391"/>
          <w:jc w:val="center"/>
        </w:trPr>
        <w:tc>
          <w:tcPr>
            <w:tcW w:w="50" w:type="pct"/>
            <w:vAlign w:val="center"/>
            <w:hideMark/>
          </w:tcPr>
          <w:p w:rsidR="00000000" w:rsidRDefault="000C147A">
            <w:pPr>
              <w:jc w:val="center"/>
              <w:rPr>
                <w:rFonts w:eastAsia="Times New Roman"/>
              </w:rPr>
            </w:pPr>
          </w:p>
        </w:tc>
        <w:tc>
          <w:tcPr>
            <w:tcW w:w="1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45566391"/>
          <w:jc w:val="center"/>
        </w:trPr>
        <w:tc>
          <w:tcPr>
            <w:tcW w:w="0" w:type="auto"/>
            <w:gridSpan w:val="3"/>
            <w:tcMar>
              <w:top w:w="30" w:type="dxa"/>
              <w:left w:w="20" w:type="dxa"/>
              <w:bottom w:w="30" w:type="dxa"/>
              <w:right w:w="20" w:type="dxa"/>
            </w:tcMar>
            <w:hideMark/>
          </w:tcPr>
          <w:p w:rsidR="00000000" w:rsidRDefault="000C147A">
            <w:pPr>
              <w:jc w:val="center"/>
              <w:divId w:val="90086712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0C147A">
      <w:pPr>
        <w:jc w:val="center"/>
        <w:divId w:val="106781971"/>
        <w:rPr>
          <w:rFonts w:eastAsia="Times New Roman"/>
        </w:rPr>
      </w:pPr>
      <w:r>
        <w:rPr>
          <w:rFonts w:eastAsia="Times New Roman"/>
          <w:b/>
          <w:bCs/>
          <w:color w:val="000000"/>
          <w:sz w:val="18"/>
          <w:szCs w:val="18"/>
        </w:rPr>
        <w:t>For the quarterly period ended September 30, 2020 </w:t>
      </w:r>
    </w:p>
    <w:p w:rsidR="00000000" w:rsidRDefault="000C147A">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847981180"/>
          <w:jc w:val="center"/>
        </w:trPr>
        <w:tc>
          <w:tcPr>
            <w:tcW w:w="50" w:type="pct"/>
            <w:vAlign w:val="center"/>
            <w:hideMark/>
          </w:tcPr>
          <w:p w:rsidR="00000000" w:rsidRDefault="000C147A">
            <w:pPr>
              <w:jc w:val="center"/>
              <w:rPr>
                <w:rFonts w:eastAsia="Times New Roman"/>
              </w:rPr>
            </w:pPr>
          </w:p>
        </w:tc>
        <w:tc>
          <w:tcPr>
            <w:tcW w:w="1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47981180"/>
          <w:jc w:val="center"/>
        </w:trPr>
        <w:tc>
          <w:tcPr>
            <w:tcW w:w="0" w:type="auto"/>
            <w:gridSpan w:val="3"/>
            <w:tcMar>
              <w:top w:w="30" w:type="dxa"/>
              <w:left w:w="20" w:type="dxa"/>
              <w:bottom w:w="30" w:type="dxa"/>
              <w:right w:w="20" w:type="dxa"/>
            </w:tcMar>
            <w:hideMark/>
          </w:tcPr>
          <w:p w:rsidR="00000000" w:rsidRDefault="000C147A">
            <w:pPr>
              <w:jc w:val="center"/>
              <w:divId w:val="1387141114"/>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0C147A">
      <w:pPr>
        <w:jc w:val="center"/>
        <w:divId w:val="1701587943"/>
        <w:rPr>
          <w:rFonts w:eastAsia="Times New Roman"/>
        </w:rPr>
      </w:pPr>
      <w:r>
        <w:rPr>
          <w:rFonts w:eastAsia="Times New Roman"/>
          <w:b/>
          <w:bCs/>
          <w:color w:val="000000"/>
          <w:sz w:val="18"/>
          <w:szCs w:val="18"/>
        </w:rPr>
        <w:t>For the transition period from              to</w:t>
      </w:r>
    </w:p>
    <w:p w:rsidR="00000000" w:rsidRDefault="000C147A">
      <w:pPr>
        <w:jc w:val="center"/>
        <w:divId w:val="1414930571"/>
        <w:rPr>
          <w:rFonts w:eastAsia="Times New Roman"/>
        </w:rPr>
      </w:pPr>
      <w:r>
        <w:rPr>
          <w:rFonts w:eastAsia="Times New Roman"/>
          <w:b/>
          <w:bCs/>
          <w:color w:val="000000"/>
          <w:sz w:val="20"/>
          <w:szCs w:val="20"/>
        </w:rPr>
        <w:t>Commission File No. 001-38469</w:t>
      </w:r>
    </w:p>
    <w:p w:rsidR="00000000" w:rsidRDefault="000C147A">
      <w:pPr>
        <w:jc w:val="center"/>
        <w:divId w:val="133759943"/>
        <w:rPr>
          <w:rFonts w:eastAsia="Times New Roman"/>
        </w:rPr>
      </w:pPr>
      <w:r>
        <w:rPr>
          <w:rFonts w:eastAsia="Times New Roman"/>
          <w:b/>
          <w:bCs/>
          <w:color w:val="000000"/>
          <w:sz w:val="18"/>
          <w:szCs w:val="18"/>
        </w:rPr>
        <w:t>————————————————</w:t>
      </w:r>
    </w:p>
    <w:p w:rsidR="00000000" w:rsidRDefault="000C147A">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C147A">
      <w:pPr>
        <w:jc w:val="center"/>
        <w:rPr>
          <w:rFonts w:eastAsia="Times New Roman"/>
        </w:rPr>
      </w:pPr>
      <w:r>
        <w:rPr>
          <w:rFonts w:eastAsia="Times New Roman"/>
          <w:b/>
          <w:bCs/>
          <w:color w:val="000000"/>
          <w:sz w:val="36"/>
          <w:szCs w:val="36"/>
        </w:rPr>
        <w:t>Equitable Holdings, Inc.</w:t>
      </w:r>
      <w:r>
        <w:rPr>
          <w:rFonts w:eastAsia="Times New Roman"/>
          <w:b/>
          <w:bCs/>
          <w:color w:val="000000"/>
          <w:sz w:val="44"/>
          <w:szCs w:val="44"/>
        </w:rPr>
        <w:t xml:space="preserve"> </w:t>
      </w:r>
    </w:p>
    <w:p w:rsidR="00000000" w:rsidRDefault="000C147A">
      <w:pPr>
        <w:jc w:val="center"/>
        <w:divId w:val="2121030158"/>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897087649"/>
        </w:trPr>
        <w:tc>
          <w:tcPr>
            <w:tcW w:w="50" w:type="pct"/>
            <w:vAlign w:val="center"/>
            <w:hideMark/>
          </w:tcPr>
          <w:p w:rsidR="00000000" w:rsidRDefault="000C147A">
            <w:pPr>
              <w:jc w:val="center"/>
              <w:rPr>
                <w:rFonts w:eastAsia="Times New Roman"/>
              </w:rPr>
            </w:pPr>
          </w:p>
        </w:tc>
        <w:tc>
          <w:tcPr>
            <w:tcW w:w="24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32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97087649"/>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90-0226248</w:t>
            </w:r>
          </w:p>
        </w:tc>
      </w:tr>
      <w:tr w:rsidR="00000000">
        <w:trPr>
          <w:divId w:val="897087649"/>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(I.R.S. Employer Identification No.)</w:t>
            </w:r>
          </w:p>
        </w:tc>
      </w:tr>
    </w:tbl>
    <w:p w:rsidR="00000000" w:rsidRDefault="000C147A">
      <w:pPr>
        <w:divId w:val="1405301117"/>
        <w:rPr>
          <w:rFonts w:eastAsia="Times New Roman"/>
        </w:rPr>
      </w:pPr>
    </w:p>
    <w:p w:rsidR="00000000" w:rsidRDefault="000C147A">
      <w:pPr>
        <w:divId w:val="611017081"/>
        <w:rPr>
          <w:rFonts w:eastAsia="Times New Roman"/>
        </w:rPr>
      </w:pPr>
      <w:r>
        <w:rPr>
          <w:rFonts w:eastAsia="Times New Roman"/>
          <w:b/>
          <w:bCs/>
          <w:color w:val="000000"/>
          <w:sz w:val="20"/>
          <w:szCs w:val="20"/>
        </w:rPr>
        <w:t xml:space="preserve">1290 Avenue of the Americas, New York, New York                 10104 </w:t>
      </w:r>
    </w:p>
    <w:p w:rsidR="00000000" w:rsidRDefault="000C147A">
      <w:pPr>
        <w:divId w:val="60100745"/>
        <w:rPr>
          <w:rFonts w:eastAsia="Times New Roman"/>
        </w:rPr>
      </w:pPr>
      <w:r>
        <w:rPr>
          <w:rFonts w:eastAsia="Times New Roman"/>
          <w:color w:val="000000"/>
          <w:sz w:val="16"/>
          <w:szCs w:val="16"/>
        </w:rPr>
        <w:t>(Address of principal executive offices) (Zip Code)</w:t>
      </w:r>
    </w:p>
    <w:p w:rsidR="00000000" w:rsidRDefault="000C147A">
      <w:pPr>
        <w:divId w:val="1834566591"/>
        <w:rPr>
          <w:rFonts w:eastAsia="Times New Roman"/>
        </w:rPr>
      </w:pPr>
    </w:p>
    <w:p w:rsidR="00000000" w:rsidRDefault="000C147A">
      <w:pPr>
        <w:jc w:val="center"/>
        <w:rPr>
          <w:rFonts w:eastAsia="Times New Roman"/>
        </w:rPr>
      </w:pPr>
      <w:r>
        <w:rPr>
          <w:rFonts w:eastAsia="Times New Roman"/>
          <w:b/>
          <w:bCs/>
          <w:color w:val="000000"/>
          <w:sz w:val="20"/>
          <w:szCs w:val="20"/>
        </w:rPr>
        <w:t xml:space="preserve">(212) 554-1234 </w:t>
      </w:r>
    </w:p>
    <w:p w:rsidR="00000000" w:rsidRDefault="000C147A">
      <w:pPr>
        <w:jc w:val="center"/>
        <w:divId w:val="309597109"/>
        <w:rPr>
          <w:rFonts w:eastAsia="Times New Roman"/>
        </w:rPr>
      </w:pPr>
      <w:r>
        <w:rPr>
          <w:rFonts w:eastAsia="Times New Roman"/>
          <w:color w:val="000000"/>
          <w:sz w:val="16"/>
          <w:szCs w:val="16"/>
        </w:rPr>
        <w:t>(Registrant’s telephone number, including area code)</w:t>
      </w:r>
    </w:p>
    <w:p w:rsidR="00000000" w:rsidRDefault="000C147A">
      <w:pPr>
        <w:divId w:val="432633292"/>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654523742"/>
          <w:jc w:val="center"/>
        </w:trPr>
        <w:tc>
          <w:tcPr>
            <w:tcW w:w="50" w:type="pct"/>
            <w:vAlign w:val="center"/>
            <w:hideMark/>
          </w:tcPr>
          <w:p w:rsidR="00000000" w:rsidRDefault="000C147A">
            <w:pPr>
              <w:rPr>
                <w:rFonts w:eastAsia="Times New Roman"/>
              </w:rPr>
            </w:pPr>
          </w:p>
        </w:tc>
        <w:tc>
          <w:tcPr>
            <w:tcW w:w="177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39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5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54523742"/>
          <w:jc w:val="center"/>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Name of each exchange on which registered</w:t>
            </w:r>
          </w:p>
        </w:tc>
      </w:tr>
      <w:tr w:rsidR="00000000">
        <w:trPr>
          <w:divId w:val="165452374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New York Stock Exchange</w:t>
            </w:r>
          </w:p>
        </w:tc>
      </w:tr>
      <w:tr w:rsidR="00000000">
        <w:trPr>
          <w:divId w:val="1654523742"/>
          <w:jc w:val="center"/>
        </w:trPr>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color w:val="000000"/>
                <w:sz w:val="16"/>
                <w:szCs w:val="16"/>
              </w:rPr>
              <w:t>New York Stock Exchange</w:t>
            </w:r>
          </w:p>
        </w:tc>
      </w:tr>
    </w:tbl>
    <w:p w:rsidR="00000000" w:rsidRDefault="000C147A">
      <w:pPr>
        <w:divId w:val="523834687"/>
        <w:rPr>
          <w:rFonts w:eastAsia="Times New Roman"/>
        </w:rPr>
      </w:pPr>
      <w:r>
        <w:rPr>
          <w:rFonts w:eastAsia="Times New Roman"/>
          <w:color w:val="000000"/>
          <w:sz w:val="16"/>
          <w:szCs w:val="16"/>
        </w:rPr>
        <w:t>Securities registered pursuant to Section 12(g) of the Act: None</w:t>
      </w:r>
    </w:p>
    <w:p w:rsidR="00000000" w:rsidRDefault="000C147A">
      <w:pPr>
        <w:divId w:val="621693644"/>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0C147A">
      <w:pPr>
        <w:divId w:val="561330005"/>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0C147A">
      <w:pPr>
        <w:divId w:val="1568950302"/>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581795239"/>
        </w:trPr>
        <w:tc>
          <w:tcPr>
            <w:tcW w:w="50" w:type="pct"/>
            <w:vAlign w:val="center"/>
            <w:hideMark/>
          </w:tcPr>
          <w:p w:rsidR="00000000" w:rsidRDefault="000C147A">
            <w:pPr>
              <w:rPr>
                <w:rFonts w:eastAsia="Times New Roman"/>
              </w:rPr>
            </w:pPr>
          </w:p>
        </w:tc>
        <w:tc>
          <w:tcPr>
            <w:tcW w:w="8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6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9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94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58179523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0C147A">
            <w:pPr>
              <w:divId w:val="104248685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0C147A">
            <w:pPr>
              <w:divId w:val="68729202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0C147A">
            <w:pPr>
              <w:divId w:val="8906563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0C147A">
            <w:pPr>
              <w:divId w:val="2047413127"/>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0C147A">
            <w:pPr>
              <w:divId w:val="1302732570"/>
              <w:rPr>
                <w:rFonts w:eastAsia="Times New Roman"/>
              </w:rPr>
            </w:pPr>
            <w:r>
              <w:rPr>
                <w:rFonts w:ascii="Segoe UI Symbol" w:eastAsia="Times New Roman" w:hAnsi="Segoe UI Symbol" w:cs="Segoe UI Symbol"/>
                <w:color w:val="000000"/>
                <w:sz w:val="16"/>
                <w:szCs w:val="16"/>
              </w:rPr>
              <w:t>☐</w:t>
            </w:r>
          </w:p>
        </w:tc>
      </w:tr>
      <w:tr w:rsidR="00000000">
        <w:trPr>
          <w:divId w:val="581795239"/>
        </w:trPr>
        <w:tc>
          <w:tcPr>
            <w:tcW w:w="0" w:type="auto"/>
            <w:gridSpan w:val="30"/>
            <w:tcMar>
              <w:top w:w="30" w:type="dxa"/>
              <w:left w:w="20" w:type="dxa"/>
              <w:bottom w:w="30" w:type="dxa"/>
              <w:right w:w="20" w:type="dxa"/>
            </w:tcMar>
            <w:vAlign w:val="center"/>
            <w:hideMark/>
          </w:tcPr>
          <w:p w:rsidR="00000000" w:rsidRDefault="000C147A">
            <w:pPr>
              <w:jc w:val="both"/>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w:t>
            </w:r>
            <w:r>
              <w:rPr>
                <w:rFonts w:eastAsia="Times New Roman"/>
                <w:color w:val="000000"/>
                <w:sz w:val="16"/>
                <w:szCs w:val="16"/>
              </w:rPr>
              <w:t xml:space="preserve">3 (a) of the Exchange Act. </w:t>
            </w:r>
            <w:r>
              <w:rPr>
                <w:rFonts w:ascii="Wingdings" w:eastAsia="Times New Roman" w:hAnsi="Wingdings"/>
                <w:color w:val="000000"/>
                <w:sz w:val="16"/>
                <w:szCs w:val="16"/>
              </w:rPr>
              <w:t>¨</w:t>
            </w:r>
          </w:p>
        </w:tc>
      </w:tr>
    </w:tbl>
    <w:p w:rsidR="00000000" w:rsidRDefault="000C147A">
      <w:pPr>
        <w:divId w:val="541937998"/>
        <w:rPr>
          <w:rFonts w:eastAsia="Times New Roman"/>
        </w:rPr>
      </w:pPr>
      <w:r>
        <w:rPr>
          <w:rFonts w:eastAsia="Times New Roman"/>
          <w:color w:val="000000"/>
          <w:sz w:val="16"/>
          <w:szCs w:val="16"/>
        </w:rPr>
        <w:lastRenderedPageBreak/>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0C147A">
      <w:pPr>
        <w:divId w:val="905142507"/>
        <w:rPr>
          <w:rFonts w:eastAsia="Times New Roman"/>
        </w:rPr>
      </w:pPr>
      <w:r>
        <w:rPr>
          <w:rFonts w:eastAsia="Times New Roman"/>
          <w:color w:val="000000"/>
          <w:sz w:val="16"/>
          <w:szCs w:val="16"/>
        </w:rPr>
        <w:t>As of November 3, 2020, 444,684,279 shares of the registrant’s Common Stock, $0.01 par value, were outstanding.</w:t>
      </w:r>
    </w:p>
    <w:p w:rsidR="00000000" w:rsidRDefault="000C147A">
      <w:pPr>
        <w:divId w:val="1207986948"/>
        <w:rPr>
          <w:rFonts w:eastAsia="Times New Roman"/>
        </w:rPr>
      </w:pPr>
    </w:p>
    <w:p w:rsidR="00000000" w:rsidRDefault="000C147A">
      <w:pPr>
        <w:rPr>
          <w:rFonts w:eastAsia="Times New Roman"/>
        </w:rPr>
      </w:pPr>
      <w:r>
        <w:rPr>
          <w:rFonts w:eastAsia="Times New Roman"/>
        </w:rPr>
        <w:pict>
          <v:rect id="_x0000_i1026" style="width:0;height:1.5pt" o:hralign="center" o:hrstd="t" o:hr="t" fillcolor="#a0a0a0" stroked="f"/>
        </w:pict>
      </w:r>
    </w:p>
    <w:p w:rsidR="00000000" w:rsidRDefault="000C147A">
      <w:pPr>
        <w:divId w:val="1130439012"/>
        <w:rPr>
          <w:rFonts w:eastAsia="Times New Roman"/>
        </w:rPr>
      </w:pPr>
    </w:p>
    <w:p w:rsidR="00000000" w:rsidRDefault="000C147A">
      <w:pPr>
        <w:jc w:val="center"/>
        <w:divId w:val="985744377"/>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750657688"/>
          <w:jc w:val="center"/>
        </w:trPr>
        <w:tc>
          <w:tcPr>
            <w:tcW w:w="50" w:type="pct"/>
            <w:vAlign w:val="center"/>
            <w:hideMark/>
          </w:tcPr>
          <w:p w:rsidR="00000000" w:rsidRDefault="000C147A">
            <w:pPr>
              <w:jc w:val="center"/>
              <w:rPr>
                <w:rFonts w:eastAsia="Times New Roman"/>
              </w:rPr>
            </w:pPr>
          </w:p>
        </w:tc>
        <w:tc>
          <w:tcPr>
            <w:tcW w:w="29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color w:val="000000"/>
                <w:sz w:val="18"/>
                <w:szCs w:val="18"/>
              </w:rPr>
              <w:t>Page</w:t>
            </w:r>
          </w:p>
        </w:tc>
      </w:tr>
      <w:tr w:rsidR="00000000">
        <w:trPr>
          <w:divId w:val="750657688"/>
          <w:jc w:val="center"/>
        </w:trPr>
        <w:tc>
          <w:tcPr>
            <w:tcW w:w="0" w:type="auto"/>
            <w:gridSpan w:val="6"/>
            <w:tcMar>
              <w:top w:w="30" w:type="dxa"/>
              <w:left w:w="20" w:type="dxa"/>
              <w:bottom w:w="30" w:type="dxa"/>
              <w:right w:w="20" w:type="dxa"/>
            </w:tcMar>
            <w:vAlign w:val="center"/>
            <w:hideMark/>
          </w:tcPr>
          <w:p w:rsidR="00000000" w:rsidRDefault="000C147A">
            <w:pPr>
              <w:divId w:val="1085691477"/>
              <w:rPr>
                <w:rFonts w:eastAsia="Times New Roman"/>
              </w:rPr>
            </w:pPr>
            <w:hyperlink w:anchor="if19291b5c8264b3cb55d7a3b583e4acc_1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rPr>
            </w:pPr>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divId w:val="482939274"/>
              <w:rPr>
                <w:rFonts w:eastAsia="Times New Roman"/>
              </w:rPr>
            </w:pPr>
            <w:hyperlink w:anchor="if19291b5c8264b3cb55d7a3b583e4acc_370"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0C147A">
            <w:pPr>
              <w:divId w:val="1522861625"/>
              <w:rPr>
                <w:rFonts w:eastAsia="Times New Roman"/>
              </w:rPr>
            </w:pPr>
            <w:hyperlink w:anchor="if19291b5c8264b3cb55d7a3b583e4acc_19" w:history="1">
              <w:r>
                <w:rPr>
                  <w:rStyle w:val="a3"/>
                  <w:rFonts w:eastAsia="Times New Roman"/>
                  <w:sz w:val="18"/>
                  <w:szCs w:val="18"/>
                </w:rPr>
                <w:t>Consolidated Financial Statements</w:t>
              </w:r>
            </w:hyperlink>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0C147A">
            <w:pPr>
              <w:divId w:val="1293363573"/>
              <w:rPr>
                <w:rFonts w:eastAsia="Times New Roman"/>
              </w:rPr>
            </w:pPr>
            <w:hyperlink w:anchor="if19291b5c8264b3cb55d7a3b583e4acc_22" w:history="1">
              <w:r>
                <w:rPr>
                  <w:rStyle w:val="a3"/>
                  <w:rFonts w:eastAsia="Times New Roman"/>
                  <w:sz w:val="18"/>
                  <w:szCs w:val="18"/>
                </w:rPr>
                <w:t>Consolidated Balance Shee</w:t>
              </w:r>
              <w:r>
                <w:rPr>
                  <w:rStyle w:val="a3"/>
                  <w:rFonts w:eastAsia="Times New Roman"/>
                  <w:sz w:val="18"/>
                  <w:szCs w:val="18"/>
                </w:rPr>
                <w:t xml:space="preserve">ts, </w:t>
              </w:r>
            </w:hyperlink>
            <w:hyperlink w:anchor="if19291b5c8264b3cb55d7a3b583e4acc_22" w:history="1">
              <w:r>
                <w:rPr>
                  <w:rStyle w:val="a3"/>
                  <w:rFonts w:eastAsia="Times New Roman"/>
                  <w:sz w:val="18"/>
                  <w:szCs w:val="18"/>
                </w:rPr>
                <w:t>September</w:t>
              </w:r>
            </w:hyperlink>
            <w:hyperlink w:anchor="if19291b5c8264b3cb55d7a3b583e4acc_22" w:history="1">
              <w:r>
                <w:rPr>
                  <w:rStyle w:val="a3"/>
                  <w:rFonts w:eastAsia="Times New Roman"/>
                  <w:sz w:val="18"/>
                  <w:szCs w:val="18"/>
                </w:rPr>
                <w:t xml:space="preserve"> 30, 2020 (Unaudited) and December 31, 2019</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22" w:history="1">
              <w:r>
                <w:rPr>
                  <w:rStyle w:val="a3"/>
                  <w:rFonts w:eastAsia="Times New Roman"/>
                  <w:sz w:val="18"/>
                  <w:szCs w:val="18"/>
                </w:rPr>
                <w:t>4</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divId w:val="2007711419"/>
              <w:rPr>
                <w:rFonts w:eastAsia="Times New Roman"/>
              </w:rPr>
            </w:pPr>
            <w:hyperlink w:anchor="if19291b5c8264b3cb55d7a3b583e4acc_28" w:history="1">
              <w:r>
                <w:rPr>
                  <w:rStyle w:val="a3"/>
                  <w:rFonts w:eastAsia="Times New Roman"/>
                  <w:sz w:val="18"/>
                  <w:szCs w:val="18"/>
                </w:rPr>
                <w:t xml:space="preserve">Consolidated Statements of Income (Loss), Three and </w:t>
              </w:r>
            </w:hyperlink>
            <w:hyperlink w:anchor="if19291b5c8264b3cb55d7a3b583e4acc_28" w:history="1">
              <w:r>
                <w:rPr>
                  <w:rStyle w:val="a3"/>
                  <w:rFonts w:eastAsia="Times New Roman"/>
                  <w:sz w:val="18"/>
                  <w:szCs w:val="18"/>
                </w:rPr>
                <w:t>N</w:t>
              </w:r>
            </w:hyperlink>
            <w:hyperlink w:anchor="if19291b5c8264b3cb55d7a3b583e4acc_28" w:history="1">
              <w:r>
                <w:rPr>
                  <w:rStyle w:val="a3"/>
                  <w:rFonts w:eastAsia="Times New Roman"/>
                  <w:sz w:val="18"/>
                  <w:szCs w:val="18"/>
                </w:rPr>
                <w:t>ine</w:t>
              </w:r>
            </w:hyperlink>
            <w:hyperlink w:anchor="if19291b5c8264b3cb55d7a3b583e4acc_28" w:history="1">
              <w:r>
                <w:rPr>
                  <w:rStyle w:val="a3"/>
                  <w:rFonts w:eastAsia="Times New Roman"/>
                  <w:sz w:val="18"/>
                  <w:szCs w:val="18"/>
                </w:rPr>
                <w:t xml:space="preserve"> Months Ended </w:t>
              </w:r>
            </w:hyperlink>
            <w:hyperlink w:anchor="if19291b5c8264b3cb55d7a3b583e4acc_22" w:history="1">
              <w:r>
                <w:rPr>
                  <w:rStyle w:val="a3"/>
                  <w:rFonts w:eastAsia="Times New Roman"/>
                  <w:sz w:val="18"/>
                  <w:szCs w:val="18"/>
                </w:rPr>
                <w:t>Se</w:t>
              </w:r>
              <w:r>
                <w:rPr>
                  <w:rStyle w:val="a3"/>
                  <w:rFonts w:eastAsia="Times New Roman"/>
                  <w:sz w:val="18"/>
                  <w:szCs w:val="18"/>
                </w:rPr>
                <w:t>ptember</w:t>
              </w:r>
            </w:hyperlink>
            <w:hyperlink w:anchor="if19291b5c8264b3cb55d7a3b583e4acc_28" w:history="1">
              <w:r>
                <w:rPr>
                  <w:rStyle w:val="a3"/>
                  <w:rFonts w:eastAsia="Times New Roman"/>
                  <w:sz w:val="18"/>
                  <w:szCs w:val="18"/>
                </w:rPr>
                <w:t xml:space="preserve"> 30, 2020 and 2019 (Unaudited)</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28" w:history="1">
              <w:r>
                <w:rPr>
                  <w:rStyle w:val="a3"/>
                  <w:rFonts w:eastAsia="Times New Roman"/>
                  <w:sz w:val="18"/>
                  <w:szCs w:val="18"/>
                </w:rPr>
                <w:t>5</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divId w:val="542139701"/>
              <w:rPr>
                <w:rFonts w:eastAsia="Times New Roman"/>
              </w:rPr>
            </w:pPr>
            <w:hyperlink w:anchor="if19291b5c8264b3cb55d7a3b583e4acc_31" w:history="1">
              <w:r>
                <w:rPr>
                  <w:rStyle w:val="a3"/>
                  <w:rFonts w:eastAsia="Times New Roman"/>
                  <w:sz w:val="18"/>
                  <w:szCs w:val="18"/>
                </w:rPr>
                <w:t>Consolidated Statements of Comp</w:t>
              </w:r>
              <w:r>
                <w:rPr>
                  <w:rStyle w:val="a3"/>
                  <w:rFonts w:eastAsia="Times New Roman"/>
                  <w:sz w:val="18"/>
                  <w:szCs w:val="18"/>
                </w:rPr>
                <w:t xml:space="preserve">rehensive Income (Loss), Three and </w:t>
              </w:r>
            </w:hyperlink>
            <w:hyperlink w:anchor="if19291b5c8264b3cb55d7a3b583e4acc_31" w:history="1">
              <w:r>
                <w:rPr>
                  <w:rStyle w:val="a3"/>
                  <w:rFonts w:eastAsia="Times New Roman"/>
                  <w:sz w:val="18"/>
                  <w:szCs w:val="18"/>
                </w:rPr>
                <w:t>Nine</w:t>
              </w:r>
            </w:hyperlink>
            <w:hyperlink w:anchor="if19291b5c8264b3cb55d7a3b583e4acc_31" w:history="1">
              <w:r>
                <w:rPr>
                  <w:rStyle w:val="a3"/>
                  <w:rFonts w:eastAsia="Times New Roman"/>
                  <w:sz w:val="18"/>
                  <w:szCs w:val="18"/>
                </w:rPr>
                <w:t xml:space="preserve"> Months Ended </w:t>
              </w:r>
            </w:hyperlink>
            <w:hyperlink w:anchor="if19291b5c8264b3cb55d7a3b583e4acc_22" w:history="1">
              <w:r>
                <w:rPr>
                  <w:rStyle w:val="a3"/>
                  <w:rFonts w:eastAsia="Times New Roman"/>
                  <w:sz w:val="18"/>
                  <w:szCs w:val="18"/>
                </w:rPr>
                <w:t>September</w:t>
              </w:r>
            </w:hyperlink>
            <w:hyperlink w:anchor="if19291b5c8264b3cb55d7a3b583e4acc_31" w:history="1">
              <w:r>
                <w:rPr>
                  <w:rStyle w:val="a3"/>
                  <w:rFonts w:eastAsia="Times New Roman"/>
                  <w:sz w:val="18"/>
                  <w:szCs w:val="18"/>
                </w:rPr>
                <w:t xml:space="preserve"> 30, 2020 and 2019 (Unaudited)</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1" w:history="1">
              <w:r>
                <w:rPr>
                  <w:rStyle w:val="a3"/>
                  <w:rFonts w:eastAsia="Times New Roman"/>
                  <w:sz w:val="18"/>
                  <w:szCs w:val="18"/>
                </w:rPr>
                <w:t>6</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divId w:val="1082601743"/>
              <w:rPr>
                <w:rFonts w:eastAsia="Times New Roman"/>
              </w:rPr>
            </w:pPr>
            <w:hyperlink w:anchor="if19291b5c8264b3cb55d7a3b583e4acc_43" w:history="1">
              <w:r>
                <w:rPr>
                  <w:rStyle w:val="a3"/>
                  <w:rFonts w:eastAsia="Times New Roman"/>
                  <w:sz w:val="18"/>
                  <w:szCs w:val="18"/>
                </w:rPr>
                <w:t xml:space="preserve">Consolidated Statements of Equity, Three and </w:t>
              </w:r>
            </w:hyperlink>
            <w:hyperlink w:anchor="if19291b5c8264b3cb55d7a3b583e4acc_43" w:history="1">
              <w:r>
                <w:rPr>
                  <w:rStyle w:val="a3"/>
                  <w:rFonts w:eastAsia="Times New Roman"/>
                  <w:sz w:val="18"/>
                  <w:szCs w:val="18"/>
                </w:rPr>
                <w:t>Nine</w:t>
              </w:r>
            </w:hyperlink>
            <w:hyperlink w:anchor="if19291b5c8264b3cb55d7a3b583e4acc_43" w:history="1">
              <w:r>
                <w:rPr>
                  <w:rStyle w:val="a3"/>
                  <w:rFonts w:eastAsia="Times New Roman"/>
                  <w:sz w:val="18"/>
                  <w:szCs w:val="18"/>
                </w:rPr>
                <w:t xml:space="preserve"> Months Ended </w:t>
              </w:r>
            </w:hyperlink>
            <w:hyperlink w:anchor="if19291b5c8264b3cb55d7a3b583e4acc_22" w:history="1">
              <w:r>
                <w:rPr>
                  <w:rStyle w:val="a3"/>
                  <w:rFonts w:eastAsia="Times New Roman"/>
                  <w:sz w:val="18"/>
                  <w:szCs w:val="18"/>
                </w:rPr>
                <w:t>September</w:t>
              </w:r>
            </w:hyperlink>
            <w:hyperlink w:anchor="if19291b5c8264b3cb55d7a3b583e4acc_43" w:history="1">
              <w:r>
                <w:rPr>
                  <w:rStyle w:val="a3"/>
                  <w:rFonts w:eastAsia="Times New Roman"/>
                  <w:sz w:val="18"/>
                  <w:szCs w:val="18"/>
                </w:rPr>
                <w:t xml:space="preserve"> 30, 2020 and 2019 (Unaudited)</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4" w:history="1">
              <w:r>
                <w:rPr>
                  <w:rStyle w:val="a3"/>
                  <w:rFonts w:eastAsia="Times New Roman"/>
                  <w:sz w:val="18"/>
                  <w:szCs w:val="18"/>
                </w:rPr>
                <w:t>7</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divId w:val="471943794"/>
              <w:rPr>
                <w:rFonts w:eastAsia="Times New Roman"/>
              </w:rPr>
            </w:pPr>
            <w:hyperlink w:anchor="if19291b5c8264b3cb55d7a3b583e4acc_46" w:history="1">
              <w:r>
                <w:rPr>
                  <w:rStyle w:val="a3"/>
                  <w:rFonts w:eastAsia="Times New Roman"/>
                  <w:sz w:val="18"/>
                  <w:szCs w:val="18"/>
                </w:rPr>
                <w:t xml:space="preserve">Consolidated Statements of Cash Flows, </w:t>
              </w:r>
            </w:hyperlink>
            <w:hyperlink w:anchor="if19291b5c8264b3cb55d7a3b583e4acc_46" w:history="1">
              <w:r>
                <w:rPr>
                  <w:rStyle w:val="a3"/>
                  <w:rFonts w:eastAsia="Times New Roman"/>
                  <w:sz w:val="18"/>
                  <w:szCs w:val="18"/>
                </w:rPr>
                <w:t>N</w:t>
              </w:r>
            </w:hyperlink>
            <w:hyperlink w:anchor="if19291b5c8264b3cb55d7a3b583e4acc_46" w:history="1">
              <w:r>
                <w:rPr>
                  <w:rStyle w:val="a3"/>
                  <w:rFonts w:eastAsia="Times New Roman"/>
                  <w:sz w:val="18"/>
                  <w:szCs w:val="18"/>
                </w:rPr>
                <w:t>ine</w:t>
              </w:r>
            </w:hyperlink>
            <w:hyperlink w:anchor="if19291b5c8264b3cb55d7a3b583e4acc_46" w:history="1">
              <w:r>
                <w:rPr>
                  <w:rStyle w:val="a3"/>
                  <w:rFonts w:eastAsia="Times New Roman"/>
                  <w:sz w:val="18"/>
                  <w:szCs w:val="18"/>
                </w:rPr>
                <w:t xml:space="preserve"> Month</w:t>
              </w:r>
              <w:r>
                <w:rPr>
                  <w:rStyle w:val="a3"/>
                  <w:rFonts w:eastAsia="Times New Roman"/>
                  <w:sz w:val="18"/>
                  <w:szCs w:val="18"/>
                </w:rPr>
                <w:t xml:space="preserve">s Ended </w:t>
              </w:r>
            </w:hyperlink>
            <w:hyperlink w:anchor="if19291b5c8264b3cb55d7a3b583e4acc_22" w:history="1">
              <w:r>
                <w:rPr>
                  <w:rStyle w:val="a3"/>
                  <w:rFonts w:eastAsia="Times New Roman"/>
                  <w:sz w:val="20"/>
                  <w:szCs w:val="20"/>
                </w:rPr>
                <w:t>September</w:t>
              </w:r>
            </w:hyperlink>
            <w:hyperlink w:anchor="if19291b5c8264b3cb55d7a3b583e4acc_46" w:history="1">
              <w:r>
                <w:rPr>
                  <w:rStyle w:val="a3"/>
                  <w:rFonts w:eastAsia="Times New Roman"/>
                  <w:sz w:val="18"/>
                  <w:szCs w:val="18"/>
                </w:rPr>
                <w:t xml:space="preserve"> 30, 2020 and 2019 (Unaudited</w:t>
              </w:r>
            </w:hyperlink>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46" w:history="1">
              <w:r>
                <w:rPr>
                  <w:rStyle w:val="a3"/>
                  <w:rFonts w:eastAsia="Times New Roman"/>
                  <w:sz w:val="18"/>
                  <w:szCs w:val="18"/>
                </w:rPr>
                <w:t>9</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C147A">
            <w:pPr>
              <w:divId w:val="439839690"/>
              <w:rPr>
                <w:rFonts w:eastAsia="Times New Roman"/>
              </w:rPr>
            </w:pPr>
            <w:hyperlink w:anchor="if19291b5c8264b3cb55d7a3b583e4acc_49"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divId w:val="1395198364"/>
              <w:rPr>
                <w:rFonts w:eastAsia="Times New Roman"/>
              </w:rPr>
            </w:pPr>
            <w:hyperlink w:anchor="if19291b5c8264b3cb55d7a3b583e4acc_52"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52" w:history="1">
              <w:r>
                <w:rPr>
                  <w:rStyle w:val="a3"/>
                  <w:rFonts w:eastAsia="Times New Roman"/>
                  <w:sz w:val="18"/>
                  <w:szCs w:val="18"/>
                  <w:u w:val="none"/>
                </w:rPr>
                <w:t>11</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divId w:val="620763786"/>
              <w:rPr>
                <w:rFonts w:eastAsia="Times New Roman"/>
              </w:rPr>
            </w:pPr>
            <w:hyperlink w:anchor="if19291b5c8264b3cb55d7a3b583e4acc_55"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55" w:history="1">
              <w:r>
                <w:rPr>
                  <w:rStyle w:val="a3"/>
                  <w:rFonts w:eastAsia="Times New Roman"/>
                  <w:sz w:val="18"/>
                  <w:szCs w:val="18"/>
                  <w:u w:val="none"/>
                </w:rPr>
                <w:t>11</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976684414"/>
              <w:rPr>
                <w:rFonts w:eastAsia="Times New Roman"/>
              </w:rPr>
            </w:pPr>
            <w:hyperlink w:anchor="if19291b5c8264b3cb55d7a3b583e4acc_82"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82" w:history="1">
              <w:r>
                <w:rPr>
                  <w:rStyle w:val="a3"/>
                  <w:rFonts w:eastAsia="Times New Roman"/>
                  <w:sz w:val="18"/>
                  <w:szCs w:val="18"/>
                  <w:u w:val="none"/>
                </w:rPr>
                <w:t>20</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205370280"/>
              <w:rPr>
                <w:rFonts w:eastAsia="Times New Roman"/>
              </w:rPr>
            </w:pPr>
            <w:hyperlink w:anchor="if19291b5c8264b3cb55d7a3b583e4acc_85"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85" w:history="1">
              <w:r>
                <w:rPr>
                  <w:rStyle w:val="a3"/>
                  <w:rFonts w:eastAsia="Times New Roman"/>
                  <w:sz w:val="18"/>
                  <w:szCs w:val="18"/>
                  <w:u w:val="none"/>
                </w:rPr>
                <w:t>30</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252013002"/>
              <w:rPr>
                <w:rFonts w:eastAsia="Times New Roman"/>
              </w:rPr>
            </w:pPr>
            <w:hyperlink w:anchor="if19291b5c8264b3cb55d7a3b583e4acc_88" w:history="1">
              <w:r>
                <w:rPr>
                  <w:rStyle w:val="a3"/>
                  <w:rFonts w:eastAsia="Times New Roman"/>
                  <w:sz w:val="18"/>
                  <w:szCs w:val="18"/>
                </w:rPr>
                <w:t>Note 5 - Goodwill</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88" w:history="1">
              <w:r>
                <w:rPr>
                  <w:rStyle w:val="a3"/>
                  <w:rFonts w:eastAsia="Times New Roman"/>
                  <w:sz w:val="18"/>
                  <w:szCs w:val="18"/>
                  <w:u w:val="none"/>
                </w:rPr>
                <w:t>34</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399015370"/>
              <w:rPr>
                <w:rFonts w:eastAsia="Times New Roman"/>
              </w:rPr>
            </w:pPr>
            <w:hyperlink w:anchor="if19291b5c8264b3cb55d7a3b583e4acc_97" w:history="1">
              <w:r>
                <w:rPr>
                  <w:rStyle w:val="a3"/>
                  <w:rFonts w:eastAsia="Times New Roman"/>
                  <w:sz w:val="18"/>
                  <w:szCs w:val="18"/>
                </w:rPr>
                <w:t>Note 6 - Closed Block</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97" w:history="1">
              <w:r>
                <w:rPr>
                  <w:rStyle w:val="a3"/>
                  <w:rFonts w:eastAsia="Times New Roman"/>
                  <w:sz w:val="18"/>
                  <w:szCs w:val="18"/>
                  <w:u w:val="none"/>
                </w:rPr>
                <w:t>35</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662047913"/>
              <w:rPr>
                <w:rFonts w:eastAsia="Times New Roman"/>
              </w:rPr>
            </w:pPr>
            <w:hyperlink w:anchor="if19291b5c8264b3cb55d7a3b583e4acc_103" w:history="1">
              <w:r>
                <w:rPr>
                  <w:rStyle w:val="a3"/>
                  <w:rFonts w:eastAsia="Times New Roman"/>
                  <w:sz w:val="18"/>
                  <w:szCs w:val="18"/>
                </w:rPr>
                <w:t>Note 7 - Insurance Liabilities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03" w:history="1">
              <w:r>
                <w:rPr>
                  <w:rStyle w:val="a3"/>
                  <w:rFonts w:eastAsia="Times New Roman"/>
                  <w:sz w:val="18"/>
                  <w:szCs w:val="18"/>
                  <w:u w:val="none"/>
                </w:rPr>
                <w:t>36</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770781216"/>
              <w:rPr>
                <w:rFonts w:eastAsia="Times New Roman"/>
              </w:rPr>
            </w:pPr>
            <w:hyperlink w:anchor="if19291b5c8264b3cb55d7a3b583e4acc_109" w:history="1">
              <w:r>
                <w:rPr>
                  <w:rStyle w:val="a3"/>
                  <w:rFonts w:eastAsia="Times New Roman"/>
                  <w:sz w:val="18"/>
                  <w:szCs w:val="18"/>
                </w:rPr>
                <w:t>Note 8 - Fair Value Disclosures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09" w:history="1">
              <w:r>
                <w:rPr>
                  <w:rStyle w:val="a3"/>
                  <w:rFonts w:eastAsia="Times New Roman"/>
                  <w:sz w:val="18"/>
                  <w:szCs w:val="18"/>
                  <w:u w:val="none"/>
                </w:rPr>
                <w:t>40</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423526635"/>
              <w:rPr>
                <w:rFonts w:eastAsia="Times New Roman"/>
              </w:rPr>
            </w:pPr>
            <w:hyperlink w:anchor="if19291b5c8264b3cb55d7a3b583e4acc_115" w:history="1">
              <w:r>
                <w:rPr>
                  <w:rStyle w:val="a3"/>
                  <w:rFonts w:eastAsia="Times New Roman"/>
                  <w:sz w:val="18"/>
                  <w:szCs w:val="18"/>
                </w:rPr>
                <w:t>Note 9 - Employee Benefit Plans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15" w:history="1">
              <w:r>
                <w:rPr>
                  <w:rStyle w:val="a3"/>
                  <w:rFonts w:eastAsia="Times New Roman"/>
                  <w:sz w:val="18"/>
                  <w:szCs w:val="18"/>
                  <w:u w:val="none"/>
                </w:rPr>
                <w:t>54</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199584879"/>
              <w:rPr>
                <w:rFonts w:eastAsia="Times New Roman"/>
              </w:rPr>
            </w:pPr>
            <w:hyperlink w:anchor="if19291b5c8264b3cb55d7a3b583e4acc_118" w:history="1">
              <w:r>
                <w:rPr>
                  <w:rStyle w:val="a3"/>
                  <w:rFonts w:eastAsia="Times New Roman"/>
                  <w:sz w:val="18"/>
                  <w:szCs w:val="18"/>
                </w:rPr>
                <w:t>Note 10 - Income Taxes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18" w:history="1">
              <w:r>
                <w:rPr>
                  <w:rStyle w:val="a3"/>
                  <w:rFonts w:eastAsia="Times New Roman"/>
                  <w:sz w:val="18"/>
                  <w:szCs w:val="18"/>
                  <w:u w:val="none"/>
                </w:rPr>
                <w:t>55</w:t>
              </w:r>
            </w:hyperlink>
          </w:p>
        </w:tc>
      </w:tr>
      <w:tr w:rsidR="00000000">
        <w:trPr>
          <w:divId w:val="750657688"/>
          <w:jc w:val="center"/>
        </w:trPr>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divId w:val="1502310685"/>
              <w:rPr>
                <w:rFonts w:eastAsia="Times New Roman"/>
              </w:rPr>
            </w:pPr>
            <w:hyperlink w:anchor="if19291b5c8264b3cb55d7a3b583e4acc_124" w:history="1">
              <w:r>
                <w:rPr>
                  <w:rStyle w:val="a3"/>
                  <w:rFonts w:eastAsia="Times New Roman"/>
                  <w:sz w:val="18"/>
                  <w:szCs w:val="18"/>
                </w:rPr>
                <w:t>Note 11 - Equity</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24" w:history="1">
              <w:r>
                <w:rPr>
                  <w:rStyle w:val="a3"/>
                  <w:rFonts w:eastAsia="Times New Roman"/>
                  <w:sz w:val="18"/>
                  <w:szCs w:val="18"/>
                  <w:u w:val="none"/>
                </w:rPr>
                <w:t>55</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315259465"/>
              <w:rPr>
                <w:rFonts w:eastAsia="Times New Roman"/>
              </w:rPr>
            </w:pPr>
            <w:hyperlink w:anchor="if19291b5c8264b3cb55d7a3b583e4acc_130" w:history="1">
              <w:r>
                <w:rPr>
                  <w:rStyle w:val="a3"/>
                  <w:rFonts w:eastAsia="Times New Roman"/>
                  <w:sz w:val="18"/>
                  <w:szCs w:val="18"/>
                </w:rPr>
                <w:t>Note 12 - Redeemable Noncontrolling Interest</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30" w:history="1">
              <w:r>
                <w:rPr>
                  <w:rStyle w:val="a3"/>
                  <w:rFonts w:eastAsia="Times New Roman"/>
                  <w:sz w:val="18"/>
                  <w:szCs w:val="18"/>
                  <w:u w:val="none"/>
                </w:rPr>
                <w:t>57</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2140613469"/>
              <w:rPr>
                <w:rFonts w:eastAsia="Times New Roman"/>
              </w:rPr>
            </w:pPr>
            <w:hyperlink w:anchor="if19291b5c8264b3cb55d7a3b583e4acc_133" w:history="1">
              <w:r>
                <w:rPr>
                  <w:rStyle w:val="a3"/>
                  <w:rFonts w:eastAsia="Times New Roman"/>
                  <w:sz w:val="18"/>
                  <w:szCs w:val="18"/>
                </w:rPr>
                <w:t>Note 1</w:t>
              </w:r>
            </w:hyperlink>
            <w:hyperlink w:anchor="if19291b5c8264b3cb55d7a3b583e4acc_133" w:history="1">
              <w:r>
                <w:rPr>
                  <w:rStyle w:val="a3"/>
                  <w:rFonts w:eastAsia="Times New Roman"/>
                  <w:sz w:val="18"/>
                  <w:szCs w:val="18"/>
                </w:rPr>
                <w:t>3</w:t>
              </w:r>
            </w:hyperlink>
            <w:hyperlink w:anchor="if19291b5c8264b3cb55d7a3b583e4acc_133" w:history="1">
              <w:r>
                <w:rPr>
                  <w:rStyle w:val="a3"/>
                  <w:rFonts w:eastAsia="Times New Roman"/>
                  <w:sz w:val="18"/>
                  <w:szCs w:val="18"/>
                </w:rPr>
                <w:t xml:space="preserve"> - Commitments and Contingent Liabilities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33" w:history="1">
              <w:r>
                <w:rPr>
                  <w:rStyle w:val="a3"/>
                  <w:rFonts w:eastAsia="Times New Roman"/>
                  <w:sz w:val="18"/>
                  <w:szCs w:val="18"/>
                  <w:u w:val="none"/>
                </w:rPr>
                <w:t>58</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769666239"/>
              <w:rPr>
                <w:rFonts w:eastAsia="Times New Roman"/>
              </w:rPr>
            </w:pPr>
            <w:hyperlink w:anchor="if19291b5c8264b3cb55d7a3b583e4acc_136" w:history="1">
              <w:r>
                <w:rPr>
                  <w:rStyle w:val="a3"/>
                  <w:rFonts w:eastAsia="Times New Roman"/>
                  <w:sz w:val="18"/>
                  <w:szCs w:val="18"/>
                </w:rPr>
                <w:t>Note 14 - Business Segment Information</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36" w:history="1">
              <w:r>
                <w:rPr>
                  <w:rStyle w:val="a3"/>
                  <w:rFonts w:eastAsia="Times New Roman"/>
                  <w:sz w:val="18"/>
                  <w:szCs w:val="18"/>
                  <w:u w:val="none"/>
                </w:rPr>
                <w:t>62</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019237995"/>
              <w:rPr>
                <w:rFonts w:eastAsia="Times New Roman"/>
              </w:rPr>
            </w:pPr>
            <w:hyperlink w:anchor="if19291b5c8264b3cb55d7a3b583e4acc_139" w:history="1">
              <w:r>
                <w:rPr>
                  <w:rStyle w:val="a3"/>
                  <w:rFonts w:eastAsia="Times New Roman"/>
                  <w:sz w:val="18"/>
                  <w:szCs w:val="18"/>
                </w:rPr>
                <w:t>Note 15 - Earnings per Common Share</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39" w:history="1">
              <w:r>
                <w:rPr>
                  <w:rStyle w:val="a3"/>
                  <w:rFonts w:eastAsia="Times New Roman"/>
                  <w:sz w:val="18"/>
                  <w:szCs w:val="18"/>
                  <w:u w:val="none"/>
                </w:rPr>
                <w:t>64</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1824278110"/>
              <w:rPr>
                <w:rFonts w:eastAsia="Times New Roman"/>
              </w:rPr>
            </w:pPr>
            <w:hyperlink w:anchor="if19291b5c8264b3cb55d7a3b583e4acc_655" w:history="1">
              <w:r>
                <w:rPr>
                  <w:rStyle w:val="a3"/>
                  <w:rFonts w:eastAsia="Times New Roman"/>
                  <w:sz w:val="18"/>
                  <w:szCs w:val="18"/>
                </w:rPr>
                <w:t>Note 16 - Revision of Prior P</w:t>
              </w:r>
              <w:r>
                <w:rPr>
                  <w:rStyle w:val="a3"/>
                  <w:rFonts w:eastAsia="Times New Roman"/>
                  <w:sz w:val="18"/>
                  <w:szCs w:val="18"/>
                </w:rPr>
                <w:t>eriod Financial Statements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655" w:history="1">
              <w:r>
                <w:rPr>
                  <w:rStyle w:val="a3"/>
                  <w:rFonts w:eastAsia="Times New Roman"/>
                  <w:sz w:val="18"/>
                  <w:szCs w:val="18"/>
                  <w:u w:val="none"/>
                </w:rPr>
                <w:t>66</w:t>
              </w:r>
            </w:hyperlink>
          </w:p>
        </w:tc>
      </w:tr>
      <w:tr w:rsidR="00000000">
        <w:trPr>
          <w:divId w:val="750657688"/>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divId w:val="872574546"/>
              <w:rPr>
                <w:rFonts w:eastAsia="Times New Roman"/>
              </w:rPr>
            </w:pPr>
            <w:hyperlink w:anchor="if19291b5c8264b3cb55d7a3b583e4acc_142" w:history="1">
              <w:r>
                <w:rPr>
                  <w:rStyle w:val="a3"/>
                  <w:rFonts w:eastAsia="Times New Roman"/>
                  <w:sz w:val="18"/>
                  <w:szCs w:val="18"/>
                </w:rPr>
                <w:t>Note 17 - Subsequent Events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142" w:history="1">
              <w:r>
                <w:rPr>
                  <w:rStyle w:val="a3"/>
                  <w:rFonts w:eastAsia="Times New Roman"/>
                  <w:sz w:val="18"/>
                  <w:szCs w:val="18"/>
                  <w:u w:val="none"/>
                </w:rPr>
                <w:t>80</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divId w:val="1962683448"/>
              <w:rPr>
                <w:rFonts w:eastAsia="Times New Roman"/>
              </w:rPr>
            </w:pPr>
            <w:hyperlink w:anchor="if19291b5c8264b3cb55d7a3b583e4acc_148"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0C147A">
            <w:pPr>
              <w:divId w:val="1686593600"/>
              <w:rPr>
                <w:rFonts w:eastAsia="Times New Roman"/>
              </w:rPr>
            </w:pPr>
            <w:hyperlink w:anchor="if19291b5c8264b3cb55d7a3b583e4acc_148" w:history="1">
              <w:r>
                <w:rPr>
                  <w:rStyle w:val="a3"/>
                  <w:rFonts w:eastAsia="Times New Roman"/>
                  <w:sz w:val="18"/>
                  <w:szCs w:val="18"/>
                </w:rPr>
                <w:t>Management’</w:t>
              </w:r>
              <w:r>
                <w:rPr>
                  <w:rStyle w:val="a3"/>
                  <w:rFonts w:eastAsia="Times New Roman"/>
                  <w:sz w:val="18"/>
                  <w:szCs w:val="18"/>
                </w:rPr>
                <w: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148" w:history="1">
              <w:r>
                <w:rPr>
                  <w:rStyle w:val="a3"/>
                  <w:rFonts w:eastAsia="Times New Roman"/>
                  <w:sz w:val="18"/>
                  <w:szCs w:val="18"/>
                </w:rPr>
                <w:t>81</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divId w:val="244538660"/>
              <w:rPr>
                <w:rFonts w:eastAsia="Times New Roman"/>
              </w:rPr>
            </w:pPr>
            <w:hyperlink w:anchor="if19291b5c8264b3cb55d7a3b583e4acc_319"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0C147A">
            <w:pPr>
              <w:divId w:val="1266617278"/>
              <w:rPr>
                <w:rFonts w:eastAsia="Times New Roman"/>
              </w:rPr>
            </w:pPr>
            <w:hyperlink w:anchor="if19291b5c8264b3cb55d7a3b583e4acc_532"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19" w:history="1">
              <w:r>
                <w:rPr>
                  <w:rStyle w:val="a3"/>
                  <w:rFonts w:eastAsia="Times New Roman"/>
                  <w:sz w:val="18"/>
                  <w:szCs w:val="18"/>
                </w:rPr>
                <w:t>128</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divId w:val="345862360"/>
              <w:rPr>
                <w:rFonts w:eastAsia="Times New Roman"/>
              </w:rPr>
            </w:pPr>
            <w:hyperlink w:anchor="if19291b5c8264b3cb55d7a3b583e4acc_322"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0C147A">
            <w:pPr>
              <w:divId w:val="752357444"/>
              <w:rPr>
                <w:rFonts w:eastAsia="Times New Roman"/>
              </w:rPr>
            </w:pPr>
            <w:hyperlink w:anchor="if19291b5c8264b3cb55d7a3b583e4acc_322"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22" w:history="1">
              <w:r>
                <w:rPr>
                  <w:rStyle w:val="a3"/>
                  <w:rFonts w:eastAsia="Times New Roman"/>
                  <w:sz w:val="18"/>
                  <w:szCs w:val="18"/>
                </w:rPr>
                <w:t>128</w:t>
              </w:r>
            </w:hyperlink>
          </w:p>
        </w:tc>
      </w:tr>
      <w:tr w:rsidR="00000000">
        <w:trPr>
          <w:divId w:val="750657688"/>
          <w:trHeight w:val="28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750657688"/>
          <w:jc w:val="center"/>
        </w:trPr>
        <w:tc>
          <w:tcPr>
            <w:tcW w:w="0" w:type="auto"/>
            <w:gridSpan w:val="6"/>
            <w:tcMar>
              <w:top w:w="30" w:type="dxa"/>
              <w:left w:w="20" w:type="dxa"/>
              <w:bottom w:w="30" w:type="dxa"/>
              <w:right w:w="20" w:type="dxa"/>
            </w:tcMar>
            <w:vAlign w:val="center"/>
            <w:hideMark/>
          </w:tcPr>
          <w:p w:rsidR="00000000" w:rsidRDefault="000C147A">
            <w:pPr>
              <w:divId w:val="39550091"/>
              <w:rPr>
                <w:rFonts w:eastAsia="Times New Roman"/>
              </w:rPr>
            </w:pPr>
            <w:hyperlink w:anchor="if19291b5c8264b3cb55d7a3b583e4acc_325"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0C147A">
            <w:pPr>
              <w:divId w:val="382171657"/>
              <w:rPr>
                <w:rFonts w:eastAsia="Times New Roman"/>
              </w:rPr>
            </w:pPr>
            <w:hyperlink w:anchor="if19291b5c8264b3cb55d7a3b583e4acc_328"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28"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rsidR="00000000" w:rsidRDefault="000C147A">
            <w:pPr>
              <w:divId w:val="1664773397"/>
              <w:rPr>
                <w:rFonts w:eastAsia="Times New Roman"/>
              </w:rPr>
            </w:pPr>
            <w:hyperlink w:anchor="if19291b5c8264b3cb55d7a3b583e4acc_415"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31"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0C147A">
            <w:pPr>
              <w:divId w:val="1655528955"/>
              <w:rPr>
                <w:rFonts w:eastAsia="Times New Roman"/>
              </w:rPr>
            </w:pPr>
            <w:hyperlink w:anchor="if19291b5c8264b3cb55d7a3b583e4acc_334"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334"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0C147A">
            <w:pPr>
              <w:divId w:val="386298673"/>
              <w:rPr>
                <w:rFonts w:eastAsia="Times New Roman"/>
              </w:rPr>
            </w:pPr>
            <w:hyperlink w:anchor="if19291b5c8264b3cb55d7a3b583e4acc_337"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hyperlink w:anchor="if19291b5c8264b3cb55d7a3b583e4acc_337"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0C147A">
            <w:pPr>
              <w:divId w:val="1036781426"/>
              <w:rPr>
                <w:rFonts w:eastAsia="Times New Roman"/>
              </w:rPr>
            </w:pPr>
            <w:hyperlink w:anchor="if19291b5c8264b3cb55d7a3b583e4acc_340"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40"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0C147A">
            <w:pPr>
              <w:divId w:val="1007439464"/>
              <w:rPr>
                <w:rFonts w:eastAsia="Times New Roman"/>
              </w:rPr>
            </w:pPr>
            <w:hyperlink w:anchor="if19291b5c8264b3cb55d7a3b583e4acc_541"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43" w:history="1">
              <w:r>
                <w:rPr>
                  <w:rStyle w:val="a3"/>
                  <w:rFonts w:eastAsia="Times New Roman"/>
                  <w:sz w:val="18"/>
                  <w:szCs w:val="18"/>
                </w:rPr>
                <w:t>131</w:t>
              </w:r>
            </w:hyperlink>
          </w:p>
        </w:tc>
      </w:tr>
      <w:tr w:rsidR="00000000">
        <w:trPr>
          <w:divId w:val="750657688"/>
          <w:jc w:val="center"/>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0C147A">
            <w:pPr>
              <w:divId w:val="18088346"/>
              <w:rPr>
                <w:rFonts w:eastAsia="Times New Roman"/>
              </w:rPr>
            </w:pPr>
            <w:hyperlink w:anchor="if19291b5c8264b3cb55d7a3b583e4acc_346"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46" w:history="1">
              <w:r>
                <w:rPr>
                  <w:rStyle w:val="a3"/>
                  <w:rFonts w:eastAsia="Times New Roman"/>
                  <w:sz w:val="18"/>
                  <w:szCs w:val="18"/>
                </w:rPr>
                <w:t>132</w:t>
              </w:r>
            </w:hyperlink>
          </w:p>
        </w:tc>
      </w:tr>
      <w:tr w:rsidR="00000000">
        <w:trPr>
          <w:divId w:val="750657688"/>
          <w:trHeight w:val="28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750657688"/>
          <w:jc w:val="center"/>
        </w:trPr>
        <w:tc>
          <w:tcPr>
            <w:tcW w:w="0" w:type="auto"/>
            <w:gridSpan w:val="6"/>
            <w:tcMar>
              <w:top w:w="30" w:type="dxa"/>
              <w:left w:w="20" w:type="dxa"/>
              <w:bottom w:w="30" w:type="dxa"/>
              <w:right w:w="20" w:type="dxa"/>
            </w:tcMar>
            <w:vAlign w:val="center"/>
            <w:hideMark/>
          </w:tcPr>
          <w:p w:rsidR="00000000" w:rsidRDefault="000C147A">
            <w:pPr>
              <w:divId w:val="147330819"/>
              <w:rPr>
                <w:rFonts w:eastAsia="Times New Roman"/>
              </w:rPr>
            </w:pPr>
            <w:hyperlink w:anchor="if19291b5c8264b3cb55d7a3b583e4acc_916"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0C147A">
            <w:pPr>
              <w:jc w:val="center"/>
              <w:rPr>
                <w:rFonts w:eastAsia="Times New Roman"/>
              </w:rPr>
            </w:pPr>
            <w:hyperlink w:anchor="if19291b5c8264b3cb55d7a3b583e4acc_349" w:history="1">
              <w:r>
                <w:rPr>
                  <w:rStyle w:val="a3"/>
                  <w:rFonts w:eastAsia="Times New Roman"/>
                  <w:sz w:val="18"/>
                  <w:szCs w:val="18"/>
                </w:rPr>
                <w:t>132</w:t>
              </w:r>
            </w:hyperlink>
          </w:p>
        </w:tc>
      </w:tr>
    </w:tbl>
    <w:p w:rsidR="00000000" w:rsidRDefault="000C147A">
      <w:pPr>
        <w:divId w:val="2124415788"/>
        <w:rPr>
          <w:rFonts w:eastAsia="Times New Roman"/>
        </w:rPr>
      </w:pPr>
    </w:p>
    <w:p w:rsidR="00000000" w:rsidRDefault="000C147A">
      <w:pPr>
        <w:divId w:val="786505864"/>
        <w:rPr>
          <w:rFonts w:eastAsia="Times New Roman"/>
        </w:rPr>
      </w:pPr>
    </w:p>
    <w:p w:rsidR="00000000" w:rsidRDefault="000C147A">
      <w:pPr>
        <w:rPr>
          <w:rFonts w:eastAsia="Times New Roman"/>
        </w:rPr>
      </w:pPr>
      <w:r>
        <w:rPr>
          <w:rFonts w:eastAsia="Times New Roman"/>
        </w:rPr>
        <w:pict>
          <v:rect id="_x0000_i1027" style="width:0;height:1.5pt" o:hralign="center" o:hrstd="t" o:hr="t" fillcolor="#a0a0a0" stroked="f"/>
        </w:pict>
      </w:r>
    </w:p>
    <w:p w:rsidR="00000000" w:rsidRDefault="000C147A">
      <w:pPr>
        <w:divId w:val="1113020511"/>
        <w:rPr>
          <w:rFonts w:eastAsia="Times New Roman"/>
        </w:rPr>
      </w:pPr>
    </w:p>
    <w:p w:rsidR="00000000" w:rsidRDefault="000C147A">
      <w:pPr>
        <w:jc w:val="center"/>
        <w:divId w:val="505678093"/>
        <w:rPr>
          <w:rFonts w:eastAsia="Times New Roman"/>
        </w:rPr>
      </w:pPr>
      <w:r>
        <w:rPr>
          <w:rFonts w:eastAsia="Times New Roman"/>
          <w:b/>
          <w:bCs/>
          <w:color w:val="000000"/>
          <w:sz w:val="20"/>
          <w:szCs w:val="20"/>
        </w:rPr>
        <w:t xml:space="preserve">NOTE REGARDING FORWARD-LOOKING STATEMENTS AND INFORMATION </w:t>
      </w:r>
    </w:p>
    <w:p w:rsidR="00000000" w:rsidRDefault="000C147A">
      <w:pPr>
        <w:ind w:firstLine="360"/>
        <w:divId w:val="1260867890"/>
        <w:rPr>
          <w:rFonts w:eastAsia="Times New Roman"/>
        </w:rPr>
      </w:pPr>
      <w:r>
        <w:rPr>
          <w:rFonts w:eastAsia="Times New Roman"/>
          <w:color w:val="000000"/>
          <w:sz w:val="20"/>
          <w:szCs w:val="20"/>
        </w:rPr>
        <w:t xml:space="preserve">Certain of the statements included or incorporated by reference in this Quarterly Report on Form 10-Q constitute forward-looking statements within the meaning </w:t>
      </w:r>
      <w:r>
        <w:rPr>
          <w:rFonts w:eastAsia="Times New Roman"/>
          <w:color w:val="000000"/>
          <w:sz w:val="20"/>
          <w:szCs w:val="20"/>
        </w:rPr>
        <w:t>of the Private Securities Litigation Reform Act of 1995. Words such as “expects,” “believes,” “anticipates,” “intends,” “seeks,” “aims,” “plans,” “assumes,” “estimates,” “projects,” “should,” “would,” “could,” “may,” “will,” “shall” or variations of such w</w:t>
      </w:r>
      <w:r>
        <w:rPr>
          <w:rFonts w:eastAsia="Times New Roman"/>
          <w:color w:val="000000"/>
          <w:sz w:val="20"/>
          <w:szCs w:val="20"/>
        </w:rPr>
        <w:t xml:space="preserve">ords are generally part of forward-looking statements. Forward-looking statements are made based on management’s current expectations and beliefs concerning future developments and their potential effects upon Equitable Holdings, Inc. (“Holdings”) and its </w:t>
      </w:r>
      <w:r>
        <w:rPr>
          <w:rFonts w:eastAsia="Times New Roman"/>
          <w:color w:val="000000"/>
          <w:sz w:val="20"/>
          <w:szCs w:val="20"/>
        </w:rPr>
        <w:t>consolidated subsidiaries. “We,” “us” and “our” refer to Holdings and its consolidated subsidiaries, unless the context refers only to Holdings as a corporate entity. There can be no assurance that future developments affecting Holdings will be those antic</w:t>
      </w:r>
      <w:r>
        <w:rPr>
          <w:rFonts w:eastAsia="Times New Roman"/>
          <w:color w:val="000000"/>
          <w:sz w:val="20"/>
          <w:szCs w:val="20"/>
        </w:rPr>
        <w:t xml:space="preserve">ipated by management. Forward-looking statements include, without limitation, all matters that are not historical facts. </w:t>
      </w:r>
    </w:p>
    <w:p w:rsidR="00000000" w:rsidRDefault="000C147A">
      <w:pPr>
        <w:ind w:firstLine="360"/>
        <w:divId w:val="433133705"/>
        <w:rPr>
          <w:rFonts w:eastAsia="Times New Roman"/>
        </w:rPr>
      </w:pPr>
      <w:r>
        <w:rPr>
          <w:rFonts w:eastAsia="Times New Roman"/>
          <w:color w:val="000000"/>
          <w:sz w:val="20"/>
          <w:szCs w:val="20"/>
        </w:rPr>
        <w:t xml:space="preserve">These forward-looking statements are not a guarantee of future performance and involve risks and uncertainties, and there are certain </w:t>
      </w:r>
      <w:r>
        <w:rPr>
          <w:rFonts w:eastAsia="Times New Roman"/>
          <w:color w:val="000000"/>
          <w:sz w:val="20"/>
          <w:szCs w:val="20"/>
        </w:rPr>
        <w:t>important factors that could cause actual results to differ, possibly materially, from expectations or estimates reflected in such forward-looking statements, including, among others: (i) conditions in the financial markets and economy, including equity ma</w:t>
      </w:r>
      <w:r>
        <w:rPr>
          <w:rFonts w:eastAsia="Times New Roman"/>
          <w:color w:val="000000"/>
          <w:sz w:val="20"/>
          <w:szCs w:val="20"/>
        </w:rPr>
        <w:t>rket declines and volatility, interest rate fluctuations, impacts on our goodwill and changes in liquidity, access to and cost of capital and the impact of COVID-19 and related economic conditions; (ii) operational factors, including reliance on the paymen</w:t>
      </w:r>
      <w:r>
        <w:rPr>
          <w:rFonts w:eastAsia="Times New Roman"/>
          <w:color w:val="000000"/>
          <w:sz w:val="20"/>
          <w:szCs w:val="20"/>
        </w:rPr>
        <w:t>t of dividends to Holdings by its subsidiaries, remediation of our material weakness, indebtedness, protection of confidential customer information or proprietary business information, information systems failing or being compromised, strong industry compe</w:t>
      </w:r>
      <w:r>
        <w:rPr>
          <w:rFonts w:eastAsia="Times New Roman"/>
          <w:color w:val="000000"/>
          <w:sz w:val="20"/>
          <w:szCs w:val="20"/>
        </w:rPr>
        <w:t>tition and catastrophic events, such as the outbreak of pandemic diseases including COVID-19; (iii) credit, counterparties and investments, including counterparty default on derivative contracts, failure of financial institutions, defaults, errors or omiss</w:t>
      </w:r>
      <w:r>
        <w:rPr>
          <w:rFonts w:eastAsia="Times New Roman"/>
          <w:color w:val="000000"/>
          <w:sz w:val="20"/>
          <w:szCs w:val="20"/>
        </w:rPr>
        <w:t>ions by third parties and affiliates and gross unrealized losses on fixed maturity and equity securities; (iv) our reinsurance and hedging programs; (v) our products, structure and product distribution, including variable annuity guaranteed benefits featur</w:t>
      </w:r>
      <w:r>
        <w:rPr>
          <w:rFonts w:eastAsia="Times New Roman"/>
          <w:color w:val="000000"/>
          <w:sz w:val="20"/>
          <w:szCs w:val="20"/>
        </w:rPr>
        <w:t>es within certain of our products, complex regulation and administration of our products, variations in statutory capital requirements, financial strength and claims-paying ratings and key product distribution relationships; (vi) estimates, assumptions and</w:t>
      </w:r>
      <w:r>
        <w:rPr>
          <w:rFonts w:eastAsia="Times New Roman"/>
          <w:color w:val="000000"/>
          <w:sz w:val="20"/>
          <w:szCs w:val="20"/>
        </w:rPr>
        <w:t xml:space="preserve"> valuations, including risk management policies and procedures, potential inadequacy of reserves, actual mortality, longevity, morbidity and lapse experience differing from pricing expectations or reserves, amortization of deferred acquisition costs and fi</w:t>
      </w:r>
      <w:r>
        <w:rPr>
          <w:rFonts w:eastAsia="Times New Roman"/>
          <w:color w:val="000000"/>
          <w:sz w:val="20"/>
          <w:szCs w:val="20"/>
        </w:rPr>
        <w:t xml:space="preserve">nancial models; (vii) our Investment Management and Research segment, including fluctuations in assets under management, the industry-wide shift from actively-managed investment services to passive services and potential termination of investment advisory </w:t>
      </w:r>
      <w:r>
        <w:rPr>
          <w:rFonts w:eastAsia="Times New Roman"/>
          <w:color w:val="000000"/>
          <w:sz w:val="20"/>
          <w:szCs w:val="20"/>
        </w:rPr>
        <w:t>agreements; (viii) legal and regulatory risks, including federal and state legislation affecting financial institutions, insurance regulation and tax reform; (ix) risks related to separation from, and continuing relationship with, AXA, including costs asso</w:t>
      </w:r>
      <w:r>
        <w:rPr>
          <w:rFonts w:eastAsia="Times New Roman"/>
          <w:color w:val="000000"/>
          <w:sz w:val="20"/>
          <w:szCs w:val="20"/>
        </w:rPr>
        <w:t>ciated with separation and rebranding; and (x) risks related to our common stock and future offerings, including the market price for our common stock being volatile and potential stock price declines due to future sales of shares by existing stockholders.</w:t>
      </w:r>
      <w:r>
        <w:rPr>
          <w:rFonts w:eastAsia="Times New Roman"/>
          <w:color w:val="000000"/>
          <w:sz w:val="20"/>
          <w:szCs w:val="20"/>
        </w:rPr>
        <w:t xml:space="preserve"> </w:t>
      </w:r>
    </w:p>
    <w:p w:rsidR="00000000" w:rsidRDefault="000C147A">
      <w:pPr>
        <w:ind w:firstLine="360"/>
        <w:divId w:val="1638490721"/>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Annual Report on Form 10-K for the year ended December 31, 2019, as amended or supplemented in our</w:t>
      </w:r>
      <w:r>
        <w:rPr>
          <w:rFonts w:eastAsia="Times New Roman"/>
          <w:color w:val="000000"/>
          <w:sz w:val="20"/>
          <w:szCs w:val="20"/>
        </w:rPr>
        <w:t xml:space="preserve"> subsequently filed Quarterly Reports on Form 10-Q, including in the section entitled “Risk Factors,” and elsewhere in this Quarterly Report on Form 10-Q. Further, any forward-looking statement speaks only as of the date on which it is made, and we underta</w:t>
      </w:r>
      <w:r>
        <w:rPr>
          <w:rFonts w:eastAsia="Times New Roman"/>
          <w:color w:val="000000"/>
          <w:sz w:val="20"/>
          <w:szCs w:val="20"/>
        </w:rPr>
        <w:t>ke no obligation to update or revise any forward-looking statement to reflect events or circumstances after the date on which the statement is made or to reflect the occurrence of unanticipated events, except as otherwise may be required by law.</w:t>
      </w:r>
    </w:p>
    <w:p w:rsidR="00000000" w:rsidRDefault="000C147A">
      <w:pPr>
        <w:jc w:val="center"/>
        <w:divId w:val="1237128760"/>
        <w:rPr>
          <w:rFonts w:eastAsia="Times New Roman"/>
        </w:rPr>
      </w:pPr>
      <w:r>
        <w:rPr>
          <w:rFonts w:eastAsia="Times New Roman"/>
          <w:color w:val="000000"/>
          <w:sz w:val="20"/>
          <w:szCs w:val="20"/>
        </w:rPr>
        <w:t>2</w:t>
      </w:r>
    </w:p>
    <w:p w:rsidR="00000000" w:rsidRDefault="000C147A">
      <w:pPr>
        <w:rPr>
          <w:rFonts w:eastAsia="Times New Roman"/>
        </w:rPr>
      </w:pPr>
      <w:r>
        <w:rPr>
          <w:rFonts w:eastAsia="Times New Roman"/>
        </w:rPr>
        <w:pict>
          <v:rect id="_x0000_i1028" style="width:0;height:1.5pt" o:hralign="center" o:hrstd="t" o:hr="t" fillcolor="#a0a0a0" stroked="f"/>
        </w:pict>
      </w:r>
    </w:p>
    <w:p w:rsidR="00000000" w:rsidRDefault="000C147A">
      <w:pPr>
        <w:divId w:val="1777869863"/>
        <w:rPr>
          <w:rFonts w:eastAsia="Times New Roman"/>
        </w:rPr>
      </w:pPr>
    </w:p>
    <w:p w:rsidR="00000000" w:rsidRDefault="000C147A">
      <w:pPr>
        <w:divId w:val="1177698098"/>
        <w:rPr>
          <w:rFonts w:eastAsia="Times New Roman"/>
        </w:rPr>
      </w:pPr>
      <w:r>
        <w:rPr>
          <w:rFonts w:eastAsia="Times New Roman"/>
          <w:b/>
          <w:bCs/>
          <w:color w:val="000000"/>
          <w:sz w:val="20"/>
          <w:szCs w:val="20"/>
        </w:rPr>
        <w:t xml:space="preserve">Part I FINANCIAL INFORMATION </w:t>
      </w:r>
    </w:p>
    <w:p w:rsidR="00000000" w:rsidRDefault="000C147A">
      <w:pPr>
        <w:divId w:val="2130976601"/>
        <w:rPr>
          <w:rFonts w:eastAsia="Times New Roman"/>
        </w:rPr>
      </w:pPr>
      <w:r>
        <w:rPr>
          <w:rFonts w:eastAsia="Times New Roman"/>
          <w:b/>
          <w:bCs/>
          <w:color w:val="000000"/>
          <w:sz w:val="20"/>
          <w:szCs w:val="20"/>
        </w:rPr>
        <w:lastRenderedPageBreak/>
        <w:t xml:space="preserve">Item 1. Consolidated Financial Statements </w:t>
      </w:r>
    </w:p>
    <w:p w:rsidR="00000000" w:rsidRDefault="000C147A">
      <w:pPr>
        <w:jc w:val="center"/>
        <w:divId w:val="616184865"/>
        <w:rPr>
          <w:rFonts w:eastAsia="Times New Roman"/>
        </w:rPr>
      </w:pPr>
      <w:r>
        <w:rPr>
          <w:rFonts w:eastAsia="Times New Roman"/>
          <w:color w:val="000000"/>
          <w:sz w:val="20"/>
          <w:szCs w:val="20"/>
        </w:rPr>
        <w:t>3</w:t>
      </w:r>
    </w:p>
    <w:p w:rsidR="00000000" w:rsidRDefault="000C147A">
      <w:pPr>
        <w:rPr>
          <w:rFonts w:eastAsia="Times New Roman"/>
        </w:rPr>
      </w:pPr>
      <w:r>
        <w:rPr>
          <w:rFonts w:eastAsia="Times New Roman"/>
        </w:rPr>
        <w:pict>
          <v:rect id="_x0000_i1029" style="width:0;height:1.5pt" o:hralign="center" o:hrstd="t" o:hr="t" fillcolor="#a0a0a0" stroked="f"/>
        </w:pict>
      </w:r>
    </w:p>
    <w:p w:rsidR="00000000" w:rsidRDefault="000C147A">
      <w:pPr>
        <w:divId w:val="1748091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734"/>
        <w:gridCol w:w="37"/>
        <w:gridCol w:w="120"/>
        <w:gridCol w:w="1079"/>
        <w:gridCol w:w="36"/>
        <w:gridCol w:w="36"/>
        <w:gridCol w:w="36"/>
        <w:gridCol w:w="36"/>
        <w:gridCol w:w="120"/>
        <w:gridCol w:w="996"/>
        <w:gridCol w:w="36"/>
      </w:tblGrid>
      <w:tr w:rsidR="00000000">
        <w:trPr>
          <w:divId w:val="135032884"/>
        </w:trPr>
        <w:tc>
          <w:tcPr>
            <w:tcW w:w="50" w:type="pct"/>
            <w:vAlign w:val="center"/>
            <w:hideMark/>
          </w:tcPr>
          <w:p w:rsidR="00000000" w:rsidRDefault="000C147A">
            <w:pPr>
              <w:rPr>
                <w:rFonts w:eastAsia="Times New Roman"/>
              </w:rPr>
            </w:pPr>
          </w:p>
        </w:tc>
        <w:tc>
          <w:tcPr>
            <w:tcW w:w="34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4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5032884"/>
        </w:trPr>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20"/>
                <w:szCs w:val="20"/>
              </w:rPr>
              <w:t>EQUITABLE HOLDINGS, INC.</w:t>
            </w:r>
          </w:p>
        </w:tc>
      </w:tr>
      <w:tr w:rsidR="00000000">
        <w:trPr>
          <w:divId w:val="135032884"/>
        </w:trPr>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20"/>
                <w:szCs w:val="20"/>
              </w:rPr>
              <w:t>Consolidated Balance Sheets</w:t>
            </w:r>
          </w:p>
        </w:tc>
      </w:tr>
      <w:tr w:rsidR="00000000">
        <w:trPr>
          <w:divId w:val="135032884"/>
        </w:trPr>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20"/>
                <w:szCs w:val="20"/>
              </w:rPr>
              <w:t>September </w:t>
            </w:r>
            <w:r>
              <w:rPr>
                <w:rFonts w:eastAsia="Times New Roman"/>
                <w:b/>
                <w:bCs/>
                <w:color w:val="000000"/>
                <w:sz w:val="20"/>
                <w:szCs w:val="20"/>
              </w:rPr>
              <w:t>30, 2020 (Unaudited) and December 31, 2019</w:t>
            </w:r>
          </w:p>
        </w:tc>
      </w:tr>
      <w:tr w:rsidR="00000000">
        <w:trPr>
          <w:divId w:val="135032884"/>
          <w:trHeight w:val="6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135032884"/>
        </w:trPr>
        <w:tc>
          <w:tcPr>
            <w:tcW w:w="0" w:type="auto"/>
            <w:gridSpan w:val="3"/>
            <w:tcMar>
              <w:top w:w="0" w:type="dxa"/>
              <w:left w:w="20" w:type="dxa"/>
              <w:bottom w:w="0" w:type="dxa"/>
              <w:right w:w="20" w:type="dxa"/>
            </w:tcMar>
            <w:vAlign w:val="center"/>
            <w:hideMark/>
          </w:tcPr>
          <w:p w:rsidR="00000000" w:rsidRDefault="000C147A">
            <w:pPr>
              <w:divId w:val="1505321473"/>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share data)</w:t>
            </w:r>
          </w:p>
        </w:tc>
      </w:tr>
      <w:tr w:rsidR="00000000">
        <w:trPr>
          <w:divId w:val="135032884"/>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Fixed maturities available-for-sale, at fair value (amortized cost of $70,307 and $62,937) (allowance for credit losses of $13 at September 30, 2020)</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66,343 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Mortgage loans on real estate (net of allowance for credit losses of $70 at September 30, 2020)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equity investments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Trading securities, at fair value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7,031 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invested assets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105,778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Cash and cash equivalents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8,684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Cash and securities segregated, at fair value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Broker-dealer related receivables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Goodwill and 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Amounts due from reinsurers (allowance for credit losses of $0 at September 30, 2020)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GMIB reinsurance contract asset, at fair value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126,910 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262,496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249,818 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62,726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58,879 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34,635 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Short-term and long-term debt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liabilities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Liabilities held-for-sale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Separate Accounts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126,910 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243,549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234,406 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Redeemable noncontrolling interest (1) (2)</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lastRenderedPageBreak/>
              <w:t>Commitments and contingent liabilities (Note 13)</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Equity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Common stock, $0.01 par value, 2,000,000,000 shares authorized; 552,896,328 and 552,896,328 shares issued, respectively; 444,708,017 and 463,711,392 shares outstanding, respectively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Treasury stock, at cost, 108,188,311 and 89,184,936 shares, respectively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(1,832)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12,032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11,744 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17,300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18,852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0328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262,496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249,818 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464472560"/>
        <w:rPr>
          <w:rFonts w:eastAsia="Times New Roman"/>
        </w:rPr>
      </w:pPr>
      <w:r>
        <w:rPr>
          <w:rFonts w:eastAsia="Times New Roman"/>
          <w:color w:val="000000"/>
          <w:sz w:val="18"/>
          <w:szCs w:val="18"/>
        </w:rPr>
        <w:t>____________</w:t>
      </w:r>
    </w:p>
    <w:p w:rsidR="00000000" w:rsidRDefault="000C147A">
      <w:pPr>
        <w:ind w:hanging="360"/>
        <w:divId w:val="503324081"/>
        <w:rPr>
          <w:rFonts w:eastAsia="Times New Roman"/>
        </w:rPr>
      </w:pPr>
      <w:r>
        <w:rPr>
          <w:rFonts w:eastAsia="Times New Roman"/>
          <w:color w:val="000000"/>
          <w:sz w:val="18"/>
          <w:szCs w:val="18"/>
        </w:rPr>
        <w:t>(1)    </w:t>
      </w:r>
      <w:r>
        <w:rPr>
          <w:rFonts w:eastAsia="Times New Roman"/>
          <w:color w:val="000000"/>
          <w:sz w:val="18"/>
          <w:szCs w:val="18"/>
        </w:rPr>
        <w:t>See Note 2 for details of balances with variable interest entities.</w:t>
      </w:r>
    </w:p>
    <w:p w:rsidR="00000000" w:rsidRDefault="000C147A">
      <w:pPr>
        <w:ind w:hanging="450"/>
        <w:divId w:val="228809336"/>
        <w:rPr>
          <w:rFonts w:eastAsia="Times New Roman"/>
        </w:rPr>
      </w:pPr>
      <w:r>
        <w:rPr>
          <w:rFonts w:eastAsia="Times New Roman"/>
          <w:color w:val="000000"/>
          <w:sz w:val="18"/>
          <w:szCs w:val="18"/>
        </w:rPr>
        <w:t>(2)    See Note 12 for details of Redeemable noncontrolling interest.</w:t>
      </w:r>
    </w:p>
    <w:p w:rsidR="00000000" w:rsidRDefault="000C147A">
      <w:pPr>
        <w:jc w:val="center"/>
        <w:rPr>
          <w:rFonts w:eastAsia="Times New Roman"/>
        </w:rPr>
      </w:pPr>
      <w:r>
        <w:rPr>
          <w:rFonts w:eastAsia="Times New Roman"/>
          <w:color w:val="000000"/>
          <w:sz w:val="20"/>
          <w:szCs w:val="20"/>
        </w:rPr>
        <w:t>See Notes to Consolidated Financial Statements (Unaudited).</w:t>
      </w:r>
    </w:p>
    <w:p w:rsidR="00000000" w:rsidRDefault="000C147A">
      <w:pPr>
        <w:jc w:val="center"/>
        <w:divId w:val="1634167070"/>
        <w:rPr>
          <w:rFonts w:eastAsia="Times New Roman"/>
        </w:rPr>
      </w:pPr>
      <w:r>
        <w:rPr>
          <w:rFonts w:eastAsia="Times New Roman"/>
          <w:color w:val="000000"/>
          <w:sz w:val="20"/>
          <w:szCs w:val="20"/>
        </w:rPr>
        <w:t>4</w:t>
      </w:r>
    </w:p>
    <w:p w:rsidR="00000000" w:rsidRDefault="000C147A">
      <w:pPr>
        <w:rPr>
          <w:rFonts w:eastAsia="Times New Roman"/>
        </w:rPr>
      </w:pPr>
      <w:r>
        <w:rPr>
          <w:rFonts w:eastAsia="Times New Roman"/>
        </w:rPr>
        <w:pict>
          <v:rect id="_x0000_i1030" style="width:0;height:1.5pt" o:hralign="center" o:hrstd="t" o:hr="t" fillcolor="#a0a0a0" stroked="f"/>
        </w:pict>
      </w:r>
    </w:p>
    <w:p w:rsidR="00000000" w:rsidRDefault="000C147A">
      <w:pPr>
        <w:jc w:val="center"/>
        <w:divId w:val="1477720832"/>
        <w:rPr>
          <w:rFonts w:eastAsia="Times New Roman"/>
        </w:rPr>
      </w:pPr>
      <w:r>
        <w:rPr>
          <w:rFonts w:eastAsia="Times New Roman"/>
          <w:b/>
          <w:bCs/>
          <w:color w:val="000000"/>
          <w:sz w:val="20"/>
          <w:szCs w:val="20"/>
        </w:rPr>
        <w:t>EQUITABLE HOLDINGS, INC.</w:t>
      </w:r>
    </w:p>
    <w:p w:rsidR="00000000" w:rsidRDefault="000C147A">
      <w:pPr>
        <w:jc w:val="center"/>
        <w:divId w:val="1477720832"/>
        <w:rPr>
          <w:rFonts w:eastAsia="Times New Roman"/>
        </w:rPr>
      </w:pPr>
      <w:r>
        <w:rPr>
          <w:rFonts w:eastAsia="Times New Roman"/>
          <w:b/>
          <w:bCs/>
          <w:color w:val="000000"/>
          <w:sz w:val="20"/>
          <w:szCs w:val="20"/>
        </w:rPr>
        <w:t>Consolidated Statements of Income (Loss)</w:t>
      </w:r>
    </w:p>
    <w:p w:rsidR="00000000" w:rsidRDefault="000C147A">
      <w:pPr>
        <w:jc w:val="center"/>
        <w:divId w:val="1477720832"/>
        <w:rPr>
          <w:rFonts w:eastAsia="Times New Roman"/>
        </w:rPr>
      </w:pPr>
      <w:r>
        <w:rPr>
          <w:rFonts w:eastAsia="Times New Roman"/>
          <w:b/>
          <w:bCs/>
          <w:color w:val="000000"/>
          <w:sz w:val="20"/>
          <w:szCs w:val="20"/>
        </w:rPr>
        <w:t>For the Three and Nine Months Ended September 30, 2020 and 2019 (Unaudited)</w:t>
      </w:r>
    </w:p>
    <w:tbl>
      <w:tblPr>
        <w:tblW w:w="4634" w:type="pct"/>
        <w:jc w:val="center"/>
        <w:tblCellMar>
          <w:top w:w="15" w:type="dxa"/>
          <w:left w:w="15" w:type="dxa"/>
          <w:bottom w:w="15" w:type="dxa"/>
          <w:right w:w="15" w:type="dxa"/>
        </w:tblCellMar>
        <w:tblLook w:val="04A0" w:firstRow="1" w:lastRow="0" w:firstColumn="1" w:lastColumn="0" w:noHBand="0" w:noVBand="1"/>
      </w:tblPr>
      <w:tblGrid>
        <w:gridCol w:w="38"/>
        <w:gridCol w:w="3824"/>
        <w:gridCol w:w="37"/>
        <w:gridCol w:w="120"/>
        <w:gridCol w:w="699"/>
        <w:gridCol w:w="36"/>
        <w:gridCol w:w="36"/>
        <w:gridCol w:w="36"/>
        <w:gridCol w:w="36"/>
        <w:gridCol w:w="120"/>
        <w:gridCol w:w="630"/>
        <w:gridCol w:w="36"/>
        <w:gridCol w:w="36"/>
        <w:gridCol w:w="36"/>
        <w:gridCol w:w="36"/>
        <w:gridCol w:w="120"/>
        <w:gridCol w:w="651"/>
        <w:gridCol w:w="36"/>
        <w:gridCol w:w="36"/>
        <w:gridCol w:w="36"/>
        <w:gridCol w:w="36"/>
        <w:gridCol w:w="120"/>
        <w:gridCol w:w="655"/>
        <w:gridCol w:w="36"/>
        <w:gridCol w:w="36"/>
        <w:gridCol w:w="36"/>
        <w:gridCol w:w="36"/>
        <w:gridCol w:w="36"/>
        <w:gridCol w:w="36"/>
        <w:gridCol w:w="36"/>
      </w:tblGrid>
      <w:tr w:rsidR="00000000">
        <w:trPr>
          <w:divId w:val="291324218"/>
          <w:jc w:val="center"/>
        </w:trPr>
        <w:tc>
          <w:tcPr>
            <w:tcW w:w="50" w:type="pct"/>
            <w:vAlign w:val="center"/>
            <w:hideMark/>
          </w:tcPr>
          <w:p w:rsidR="00000000" w:rsidRDefault="000C147A">
            <w:pPr>
              <w:jc w:val="center"/>
              <w:rPr>
                <w:rFonts w:eastAsia="Times New Roman"/>
              </w:rPr>
            </w:pPr>
          </w:p>
        </w:tc>
        <w:tc>
          <w:tcPr>
            <w:tcW w:w="26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91324218"/>
          <w:jc w:val="center"/>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(1,472)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495" w:type="dxa"/>
              <w:bottom w:w="30" w:type="dxa"/>
              <w:right w:w="20" w:type="dxa"/>
            </w:tcMar>
            <w:hideMark/>
          </w:tcPr>
          <w:p w:rsidR="00000000" w:rsidRDefault="000C147A">
            <w:pPr>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and service fees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1,523 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lastRenderedPageBreak/>
              <w:t>Interest expense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(1.77)</w:t>
            </w:r>
          </w:p>
        </w:tc>
        <w:tc>
          <w:tcPr>
            <w:tcW w:w="0" w:type="auto"/>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20"/>
                <w:szCs w:val="20"/>
              </w:rPr>
              <w:t>(0.76)</w:t>
            </w:r>
          </w:p>
        </w:tc>
        <w:tc>
          <w:tcPr>
            <w:tcW w:w="0" w:type="auto"/>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(1.77)</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20"/>
                <w:szCs w:val="20"/>
              </w:rPr>
              <w:t>(0.76)</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91324218"/>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rPr>
          <w:rFonts w:eastAsia="Times New Roman"/>
        </w:rPr>
      </w:pPr>
    </w:p>
    <w:p w:rsidR="00000000" w:rsidRDefault="000C147A">
      <w:pPr>
        <w:jc w:val="center"/>
        <w:rPr>
          <w:rFonts w:eastAsia="Times New Roman"/>
        </w:rPr>
      </w:pPr>
      <w:r>
        <w:rPr>
          <w:rFonts w:eastAsia="Times New Roman"/>
          <w:color w:val="000000"/>
          <w:sz w:val="20"/>
          <w:szCs w:val="20"/>
        </w:rPr>
        <w:t>See Notes to Consolidated Financial Statements (Unaudited).</w:t>
      </w:r>
    </w:p>
    <w:p w:rsidR="00000000" w:rsidRDefault="000C147A">
      <w:pPr>
        <w:jc w:val="center"/>
        <w:divId w:val="2038852354"/>
        <w:rPr>
          <w:rFonts w:eastAsia="Times New Roman"/>
        </w:rPr>
      </w:pPr>
      <w:r>
        <w:rPr>
          <w:rFonts w:eastAsia="Times New Roman"/>
          <w:color w:val="000000"/>
          <w:sz w:val="20"/>
          <w:szCs w:val="20"/>
        </w:rPr>
        <w:t>5</w:t>
      </w:r>
    </w:p>
    <w:p w:rsidR="00000000" w:rsidRDefault="000C147A">
      <w:pPr>
        <w:rPr>
          <w:rFonts w:eastAsia="Times New Roman"/>
        </w:rPr>
      </w:pPr>
      <w:r>
        <w:rPr>
          <w:rFonts w:eastAsia="Times New Roman"/>
        </w:rPr>
        <w:pict>
          <v:rect id="_x0000_i1031" style="width:0;height:1.5pt" o:hralign="center" o:hrstd="t" o:hr="t" fillcolor="#a0a0a0" stroked="f"/>
        </w:pict>
      </w:r>
    </w:p>
    <w:p w:rsidR="00000000" w:rsidRDefault="000C147A">
      <w:pPr>
        <w:divId w:val="763692887"/>
        <w:rPr>
          <w:rFonts w:eastAsia="Times New Roman"/>
        </w:rPr>
      </w:pPr>
    </w:p>
    <w:p w:rsidR="00000000" w:rsidRDefault="000C147A">
      <w:pPr>
        <w:jc w:val="center"/>
        <w:divId w:val="807476114"/>
        <w:rPr>
          <w:rFonts w:eastAsia="Times New Roman"/>
        </w:rPr>
      </w:pPr>
      <w:r>
        <w:rPr>
          <w:rFonts w:eastAsia="Times New Roman"/>
          <w:b/>
          <w:bCs/>
          <w:color w:val="000000"/>
          <w:sz w:val="20"/>
          <w:szCs w:val="20"/>
        </w:rPr>
        <w:t>EQUITABLE HOLDINGS, INC.</w:t>
      </w:r>
    </w:p>
    <w:p w:rsidR="00000000" w:rsidRDefault="000C147A">
      <w:pPr>
        <w:jc w:val="center"/>
        <w:divId w:val="807476114"/>
        <w:rPr>
          <w:rFonts w:eastAsia="Times New Roman"/>
        </w:rPr>
      </w:pPr>
      <w:r>
        <w:rPr>
          <w:rFonts w:eastAsia="Times New Roman"/>
          <w:b/>
          <w:bCs/>
          <w:color w:val="000000"/>
          <w:sz w:val="20"/>
          <w:szCs w:val="20"/>
        </w:rPr>
        <w:t>Consolidated Statements of Comprehensive Income (Loss)</w:t>
      </w:r>
    </w:p>
    <w:p w:rsidR="00000000" w:rsidRDefault="000C147A">
      <w:pPr>
        <w:jc w:val="center"/>
        <w:divId w:val="807476114"/>
        <w:rPr>
          <w:rFonts w:eastAsia="Times New Roman"/>
        </w:rPr>
      </w:pPr>
      <w:r>
        <w:rPr>
          <w:rFonts w:eastAsia="Times New Roman"/>
          <w:b/>
          <w:bCs/>
          <w:color w:val="000000"/>
          <w:sz w:val="20"/>
          <w:szCs w:val="20"/>
        </w:rPr>
        <w:t>For the Three and Nine Months Ended September 30, 2020 and 2019 (Unaudited)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606"/>
        <w:gridCol w:w="36"/>
        <w:gridCol w:w="120"/>
        <w:gridCol w:w="647"/>
        <w:gridCol w:w="36"/>
        <w:gridCol w:w="36"/>
        <w:gridCol w:w="36"/>
        <w:gridCol w:w="36"/>
        <w:gridCol w:w="120"/>
        <w:gridCol w:w="598"/>
        <w:gridCol w:w="36"/>
        <w:gridCol w:w="36"/>
        <w:gridCol w:w="36"/>
        <w:gridCol w:w="36"/>
        <w:gridCol w:w="120"/>
        <w:gridCol w:w="609"/>
        <w:gridCol w:w="36"/>
        <w:gridCol w:w="36"/>
        <w:gridCol w:w="36"/>
        <w:gridCol w:w="36"/>
        <w:gridCol w:w="120"/>
        <w:gridCol w:w="609"/>
        <w:gridCol w:w="36"/>
        <w:gridCol w:w="36"/>
        <w:gridCol w:w="36"/>
        <w:gridCol w:w="36"/>
        <w:gridCol w:w="36"/>
        <w:gridCol w:w="36"/>
        <w:gridCol w:w="36"/>
      </w:tblGrid>
      <w:tr w:rsidR="00000000">
        <w:trPr>
          <w:divId w:val="1057318003"/>
        </w:trPr>
        <w:tc>
          <w:tcPr>
            <w:tcW w:w="50" w:type="pct"/>
            <w:vAlign w:val="center"/>
            <w:hideMark/>
          </w:tcPr>
          <w:p w:rsidR="00000000" w:rsidRDefault="000C147A">
            <w:pPr>
              <w:jc w:val="center"/>
              <w:rPr>
                <w:rFonts w:eastAsia="Times New Roman"/>
              </w:rPr>
            </w:pPr>
          </w:p>
        </w:tc>
        <w:tc>
          <w:tcPr>
            <w:tcW w:w="28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057318003"/>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w:t>
            </w:r>
            <w:r>
              <w:rPr>
                <w:rFonts w:eastAsia="Times New Roman"/>
                <w:color w:val="000000"/>
                <w:sz w:val="20"/>
                <w:szCs w:val="20"/>
              </w:rPr>
              <w:t>617)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comprehensive income (loss) net of income taxes: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Change in unrealized gains (losses),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Comprehensive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5731800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Comprehensive income (loss) attributable to Holdings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rPr>
          <w:rFonts w:eastAsia="Times New Roman"/>
        </w:rPr>
      </w:pPr>
      <w:r>
        <w:rPr>
          <w:rFonts w:eastAsia="Times New Roman"/>
          <w:color w:val="000000"/>
          <w:sz w:val="20"/>
          <w:szCs w:val="20"/>
        </w:rPr>
        <w:t>See Notes to Consolidated Financial Statements (Unaudited).</w:t>
      </w:r>
    </w:p>
    <w:p w:rsidR="00000000" w:rsidRDefault="000C147A">
      <w:pPr>
        <w:jc w:val="center"/>
        <w:divId w:val="1116367393"/>
        <w:rPr>
          <w:rFonts w:eastAsia="Times New Roman"/>
        </w:rPr>
      </w:pPr>
      <w:r>
        <w:rPr>
          <w:rFonts w:eastAsia="Times New Roman"/>
          <w:color w:val="000000"/>
          <w:sz w:val="20"/>
          <w:szCs w:val="20"/>
        </w:rPr>
        <w:t>6</w:t>
      </w:r>
    </w:p>
    <w:p w:rsidR="00000000" w:rsidRDefault="000C147A">
      <w:pPr>
        <w:rPr>
          <w:rFonts w:eastAsia="Times New Roman"/>
        </w:rPr>
      </w:pPr>
      <w:r>
        <w:rPr>
          <w:rFonts w:eastAsia="Times New Roman"/>
        </w:rPr>
        <w:pict>
          <v:rect id="_x0000_i1032" style="width:0;height:1.5pt" o:hralign="center" o:hrstd="t" o:hr="t" fillcolor="#a0a0a0" stroked="f"/>
        </w:pict>
      </w:r>
    </w:p>
    <w:p w:rsidR="00000000" w:rsidRDefault="000C147A">
      <w:pPr>
        <w:divId w:val="1649284445"/>
        <w:rPr>
          <w:rFonts w:eastAsia="Times New Roman"/>
        </w:rPr>
      </w:pPr>
    </w:p>
    <w:p w:rsidR="00000000" w:rsidRDefault="000C147A">
      <w:pPr>
        <w:jc w:val="center"/>
        <w:divId w:val="261109970"/>
        <w:rPr>
          <w:rFonts w:eastAsia="Times New Roman"/>
        </w:rPr>
      </w:pPr>
      <w:r>
        <w:rPr>
          <w:rFonts w:eastAsia="Times New Roman"/>
          <w:b/>
          <w:bCs/>
          <w:color w:val="000000"/>
          <w:sz w:val="20"/>
          <w:szCs w:val="20"/>
        </w:rPr>
        <w:t>EQUITABLE HOLDINGS, INC.</w:t>
      </w:r>
    </w:p>
    <w:p w:rsidR="00000000" w:rsidRDefault="000C147A">
      <w:pPr>
        <w:jc w:val="center"/>
        <w:divId w:val="261109970"/>
        <w:rPr>
          <w:rFonts w:eastAsia="Times New Roman"/>
        </w:rPr>
      </w:pPr>
      <w:r>
        <w:rPr>
          <w:rFonts w:eastAsia="Times New Roman"/>
          <w:b/>
          <w:bCs/>
          <w:color w:val="000000"/>
          <w:sz w:val="20"/>
          <w:szCs w:val="20"/>
        </w:rPr>
        <w:t>Consolidated Statements of Equity</w:t>
      </w:r>
    </w:p>
    <w:p w:rsidR="00000000" w:rsidRDefault="000C147A">
      <w:pPr>
        <w:jc w:val="center"/>
        <w:divId w:val="261109970"/>
        <w:rPr>
          <w:rFonts w:eastAsia="Times New Roman"/>
        </w:rPr>
      </w:pPr>
      <w:r>
        <w:rPr>
          <w:rFonts w:eastAsia="Times New Roman"/>
          <w:b/>
          <w:bCs/>
          <w:color w:val="000000"/>
          <w:sz w:val="20"/>
          <w:szCs w:val="20"/>
        </w:rPr>
        <w:t>For the Three and Nine Months Ended September 30, 2020 and 2019 (Unaudited)</w:t>
      </w:r>
    </w:p>
    <w:p w:rsidR="00000000" w:rsidRDefault="000C147A">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00"/>
        <w:gridCol w:w="1036"/>
        <w:gridCol w:w="37"/>
        <w:gridCol w:w="91"/>
        <w:gridCol w:w="382"/>
        <w:gridCol w:w="144"/>
        <w:gridCol w:w="56"/>
        <w:gridCol w:w="36"/>
        <w:gridCol w:w="36"/>
        <w:gridCol w:w="16"/>
        <w:gridCol w:w="20"/>
        <w:gridCol w:w="36"/>
        <w:gridCol w:w="91"/>
        <w:gridCol w:w="404"/>
        <w:gridCol w:w="98"/>
        <w:gridCol w:w="36"/>
        <w:gridCol w:w="10"/>
        <w:gridCol w:w="26"/>
        <w:gridCol w:w="36"/>
        <w:gridCol w:w="36"/>
        <w:gridCol w:w="46"/>
        <w:gridCol w:w="45"/>
        <w:gridCol w:w="99"/>
        <w:gridCol w:w="144"/>
        <w:gridCol w:w="144"/>
        <w:gridCol w:w="201"/>
        <w:gridCol w:w="36"/>
        <w:gridCol w:w="36"/>
        <w:gridCol w:w="36"/>
        <w:gridCol w:w="36"/>
        <w:gridCol w:w="91"/>
        <w:gridCol w:w="67"/>
        <w:gridCol w:w="144"/>
        <w:gridCol w:w="144"/>
        <w:gridCol w:w="144"/>
        <w:gridCol w:w="3"/>
        <w:gridCol w:w="36"/>
        <w:gridCol w:w="36"/>
        <w:gridCol w:w="36"/>
        <w:gridCol w:w="33"/>
        <w:gridCol w:w="3"/>
        <w:gridCol w:w="91"/>
        <w:gridCol w:w="50"/>
        <w:gridCol w:w="452"/>
        <w:gridCol w:w="36"/>
        <w:gridCol w:w="36"/>
        <w:gridCol w:w="36"/>
        <w:gridCol w:w="36"/>
        <w:gridCol w:w="3"/>
        <w:gridCol w:w="88"/>
        <w:gridCol w:w="56"/>
        <w:gridCol w:w="144"/>
        <w:gridCol w:w="144"/>
        <w:gridCol w:w="144"/>
        <w:gridCol w:w="144"/>
        <w:gridCol w:w="251"/>
        <w:gridCol w:w="36"/>
        <w:gridCol w:w="36"/>
        <w:gridCol w:w="36"/>
        <w:gridCol w:w="36"/>
        <w:gridCol w:w="91"/>
        <w:gridCol w:w="17"/>
        <w:gridCol w:w="144"/>
        <w:gridCol w:w="144"/>
        <w:gridCol w:w="144"/>
        <w:gridCol w:w="43"/>
        <w:gridCol w:w="36"/>
        <w:gridCol w:w="36"/>
        <w:gridCol w:w="29"/>
        <w:gridCol w:w="7"/>
        <w:gridCol w:w="36"/>
        <w:gridCol w:w="91"/>
        <w:gridCol w:w="10"/>
        <w:gridCol w:w="551"/>
        <w:gridCol w:w="51"/>
        <w:gridCol w:w="36"/>
        <w:gridCol w:w="36"/>
        <w:gridCol w:w="21"/>
        <w:gridCol w:w="15"/>
        <w:gridCol w:w="36"/>
        <w:gridCol w:w="90"/>
        <w:gridCol w:w="3"/>
        <w:gridCol w:w="144"/>
        <w:gridCol w:w="144"/>
        <w:gridCol w:w="129"/>
        <w:gridCol w:w="15"/>
        <w:gridCol w:w="21"/>
        <w:gridCol w:w="871"/>
        <w:gridCol w:w="144"/>
        <w:gridCol w:w="144"/>
        <w:gridCol w:w="144"/>
        <w:gridCol w:w="144"/>
        <w:gridCol w:w="144"/>
        <w:gridCol w:w="526"/>
        <w:gridCol w:w="144"/>
        <w:gridCol w:w="144"/>
        <w:gridCol w:w="144"/>
        <w:gridCol w:w="144"/>
        <w:gridCol w:w="144"/>
        <w:gridCol w:w="684"/>
        <w:gridCol w:w="144"/>
        <w:gridCol w:w="144"/>
        <w:gridCol w:w="144"/>
        <w:gridCol w:w="144"/>
        <w:gridCol w:w="144"/>
        <w:gridCol w:w="553"/>
        <w:gridCol w:w="144"/>
      </w:tblGrid>
      <w:tr w:rsidR="00000000">
        <w:trPr>
          <w:gridAfter w:val="20"/>
          <w:divId w:val="972949142"/>
          <w:jc w:val="center"/>
        </w:trPr>
        <w:tc>
          <w:tcPr>
            <w:tcW w:w="50" w:type="pct"/>
            <w:vAlign w:val="center"/>
            <w:hideMark/>
          </w:tcPr>
          <w:p w:rsidR="00000000" w:rsidRDefault="000C147A">
            <w:pPr>
              <w:jc w:val="center"/>
              <w:rPr>
                <w:rFonts w:eastAsia="Times New Roman"/>
              </w:rPr>
            </w:pPr>
          </w:p>
        </w:tc>
        <w:tc>
          <w:tcPr>
            <w:tcW w:w="931"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32" w:type="pct"/>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03"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361"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03" w:type="pct"/>
            <w:gridSpan w:val="5"/>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32"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537" w:type="pct"/>
            <w:gridSpan w:val="6"/>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17" w:type="pct"/>
            <w:gridSpan w:val="5"/>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33" w:type="pct"/>
            <w:gridSpan w:val="4"/>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r>
      <w:tr w:rsidR="00000000">
        <w:trPr>
          <w:gridAfter w:val="20"/>
          <w:divId w:val="972949142"/>
          <w:jc w:val="center"/>
        </w:trPr>
        <w:tc>
          <w:tcPr>
            <w:tcW w:w="0" w:type="auto"/>
            <w:gridSpan w:val="4"/>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84"/>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Three Months Ended September 30,</w:t>
            </w:r>
          </w:p>
        </w:tc>
      </w:tr>
      <w:tr w:rsidR="00000000">
        <w:trPr>
          <w:gridAfter w:val="20"/>
          <w:divId w:val="972949142"/>
          <w:jc w:val="center"/>
        </w:trPr>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64"/>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Equity Attributable to Holdings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gridAfter w:val="20"/>
          <w:divId w:val="972949142"/>
          <w:jc w:val="center"/>
        </w:trPr>
        <w:tc>
          <w:tcPr>
            <w:tcW w:w="0" w:type="auto"/>
            <w:gridSpan w:val="4"/>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Preferred Stock and Additional Paid-In 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Common Stock</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Treasury Stock</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Total Holdings Equity</w:t>
            </w:r>
          </w:p>
        </w:tc>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Non-controlling Interest</w:t>
            </w:r>
          </w:p>
        </w:tc>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Total Equity</w:t>
            </w:r>
          </w:p>
        </w:tc>
      </w:tr>
      <w:tr w:rsidR="00000000">
        <w:trPr>
          <w:gridAfter w:val="20"/>
          <w:divId w:val="972949142"/>
          <w:jc w:val="center"/>
        </w:trPr>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(in millions)</w:t>
            </w:r>
          </w:p>
        </w:tc>
      </w:tr>
      <w:tr w:rsidR="00000000">
        <w:trPr>
          <w:gridAfter w:val="20"/>
          <w:divId w:val="972949142"/>
          <w:jc w:val="center"/>
        </w:trPr>
        <w:tc>
          <w:tcPr>
            <w:tcW w:w="0" w:type="auto"/>
            <w:gridSpan w:val="4"/>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4"/>
                <w:szCs w:val="14"/>
              </w:rPr>
              <w:t>July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3"/>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775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1,938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(2,047)</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12,899</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6"/>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3,928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17,498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3"/>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1,540</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19,038</w:t>
            </w:r>
            <w:r>
              <w:rPr>
                <w:rFonts w:eastAsia="Times New Roman"/>
                <w:color w:val="000000"/>
                <w:sz w:val="14"/>
                <w:szCs w:val="14"/>
              </w:rPr>
              <w:t> </w:t>
            </w:r>
          </w:p>
        </w:tc>
        <w:tc>
          <w:tcPr>
            <w:tcW w:w="0" w:type="auto"/>
            <w:gridSpan w:val="2"/>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4"/>
                <w:szCs w:val="14"/>
              </w:rPr>
              <w:t>Stock compensation</w:t>
            </w: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18</w:t>
            </w: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Purchase of treasury stock</w:t>
            </w: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(100)</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gridAfter w:val="20"/>
          <w:divId w:val="972949142"/>
          <w:jc w:val="center"/>
        </w:trPr>
        <w:tc>
          <w:tcPr>
            <w:tcW w:w="0" w:type="auto"/>
            <w:gridSpan w:val="4"/>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Reissuance of treasury stock</w:t>
            </w:r>
          </w:p>
        </w:tc>
        <w:tc>
          <w:tcPr>
            <w:tcW w:w="0" w:type="auto"/>
            <w:gridSpan w:val="5"/>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gridAfter w:val="20"/>
          <w:divId w:val="972949142"/>
          <w:jc w:val="center"/>
        </w:trPr>
        <w:tc>
          <w:tcPr>
            <w:tcW w:w="0" w:type="auto"/>
            <w:gridSpan w:val="4"/>
            <w:vAlign w:val="center"/>
            <w:hideMark/>
          </w:tcPr>
          <w:p w:rsidR="00000000" w:rsidRDefault="000C147A">
            <w:pPr>
              <w:jc w:val="right"/>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Repurchase of AB Holding units</w:t>
            </w: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Dividends paid to noncontrolling interest</w:t>
            </w: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(68)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(68)</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Stockholder dividends (cash dividends declared per common share of $0.17)</w:t>
            </w: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(76)</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gridAfter w:val="20"/>
          <w:divId w:val="972949142"/>
          <w:jc w:val="center"/>
        </w:trPr>
        <w:tc>
          <w:tcPr>
            <w:tcW w:w="0" w:type="auto"/>
            <w:gridSpan w:val="4"/>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Dividends on preferred stock</w:t>
            </w:r>
          </w:p>
        </w:tc>
        <w:tc>
          <w:tcPr>
            <w:tcW w:w="0" w:type="auto"/>
            <w:gridSpan w:val="5"/>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(11)</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Net income (loss)</w:t>
            </w: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(779)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(779)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(706)</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Issuance of preferred stock</w:t>
            </w: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Other comprehensive income (loss)</w:t>
            </w: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260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260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266</w:t>
            </w: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4"/>
                <w:szCs w:val="14"/>
              </w:rPr>
              <w:t>Other</w:t>
            </w: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0"/>
          <w:divId w:val="972949142"/>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4"/>
                <w:szCs w:val="14"/>
              </w:rPr>
              <w:t>September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1,953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b/>
                <w:bCs/>
                <w:color w:val="000000"/>
                <w:sz w:val="14"/>
                <w:szCs w:val="14"/>
              </w:rPr>
              <w:t>2,147)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12,032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4,188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17,300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1,552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18,852</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50" w:type="pct"/>
            <w:gridSpan w:val="2"/>
            <w:vAlign w:val="center"/>
            <w:hideMark/>
          </w:tcPr>
          <w:p w:rsidR="00000000" w:rsidRDefault="000C147A">
            <w:pPr>
              <w:jc w:val="center"/>
              <w:rPr>
                <w:rFonts w:eastAsia="Times New Roman"/>
              </w:rPr>
            </w:pPr>
          </w:p>
        </w:tc>
        <w:tc>
          <w:tcPr>
            <w:tcW w:w="931"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4"/>
            <w:vAlign w:val="center"/>
            <w:hideMark/>
          </w:tcPr>
          <w:p w:rsidR="00000000" w:rsidRDefault="000C147A">
            <w:pPr>
              <w:rPr>
                <w:rFonts w:eastAsia="Times New Roman"/>
                <w:sz w:val="20"/>
                <w:szCs w:val="20"/>
              </w:rPr>
            </w:pPr>
          </w:p>
        </w:tc>
        <w:tc>
          <w:tcPr>
            <w:tcW w:w="332" w:type="pct"/>
            <w:gridSpan w:val="4"/>
            <w:vAlign w:val="center"/>
            <w:hideMark/>
          </w:tcPr>
          <w:p w:rsidR="00000000" w:rsidRDefault="000C147A">
            <w:pPr>
              <w:rPr>
                <w:rFonts w:eastAsia="Times New Roman"/>
                <w:sz w:val="20"/>
                <w:szCs w:val="20"/>
              </w:rPr>
            </w:pPr>
          </w:p>
        </w:tc>
        <w:tc>
          <w:tcPr>
            <w:tcW w:w="5" w:type="pct"/>
            <w:gridSpan w:val="3"/>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19"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03" w:type="pct"/>
            <w:gridSpan w:val="7"/>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gridSpan w:val="5"/>
            <w:vAlign w:val="center"/>
            <w:hideMark/>
          </w:tcPr>
          <w:p w:rsidR="00000000" w:rsidRDefault="000C147A">
            <w:pPr>
              <w:rPr>
                <w:rFonts w:eastAsia="Times New Roman"/>
                <w:sz w:val="20"/>
                <w:szCs w:val="20"/>
              </w:rPr>
            </w:pPr>
          </w:p>
        </w:tc>
        <w:tc>
          <w:tcPr>
            <w:tcW w:w="50" w:type="pct"/>
            <w:gridSpan w:val="3"/>
            <w:vAlign w:val="center"/>
            <w:hideMark/>
          </w:tcPr>
          <w:p w:rsidR="00000000" w:rsidRDefault="000C147A">
            <w:pPr>
              <w:rPr>
                <w:rFonts w:eastAsia="Times New Roman"/>
                <w:sz w:val="20"/>
                <w:szCs w:val="20"/>
              </w:rPr>
            </w:pPr>
          </w:p>
        </w:tc>
        <w:tc>
          <w:tcPr>
            <w:tcW w:w="361" w:type="pct"/>
            <w:gridSpan w:val="6"/>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03" w:type="pct"/>
            <w:gridSpan w:val="7"/>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50" w:type="pct"/>
            <w:gridSpan w:val="4"/>
            <w:vAlign w:val="center"/>
            <w:hideMark/>
          </w:tcPr>
          <w:p w:rsidR="00000000" w:rsidRDefault="000C147A">
            <w:pPr>
              <w:rPr>
                <w:rFonts w:eastAsia="Times New Roman"/>
                <w:sz w:val="20"/>
                <w:szCs w:val="20"/>
              </w:rPr>
            </w:pPr>
          </w:p>
        </w:tc>
        <w:tc>
          <w:tcPr>
            <w:tcW w:w="332" w:type="pct"/>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537"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1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3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July 1, 2019</w:t>
            </w:r>
          </w:p>
        </w:tc>
        <w:tc>
          <w:tcPr>
            <w:tcW w:w="0" w:type="auto"/>
            <w:gridSpan w:val="4"/>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6"/>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1,901 </w:t>
            </w:r>
          </w:p>
        </w:tc>
        <w:tc>
          <w:tcPr>
            <w:tcW w:w="0" w:type="auto"/>
            <w:gridSpan w:val="2"/>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(1,232)</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13,209 </w:t>
            </w:r>
          </w:p>
        </w:tc>
        <w:tc>
          <w:tcPr>
            <w:tcW w:w="0" w:type="auto"/>
            <w:gridSpan w:val="4"/>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789 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14,672 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1,545 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16,217 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Stock compensation</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(20)</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Purchase of treasury stock</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(43)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(43)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(43)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Reissuance of treasury stock</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Retirement of common stock</w:t>
            </w:r>
          </w:p>
        </w:tc>
        <w:tc>
          <w:tcPr>
            <w:tcW w:w="0" w:type="auto"/>
            <w:gridSpan w:val="11"/>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Repurchase of AB Holding units</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paid to noncontrolling interest</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Stockholder dividends (cash dividends declared per common share of $0.15)</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(74)</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vAlign w:val="center"/>
            <w:hideMark/>
          </w:tcPr>
          <w:p w:rsidR="00000000" w:rsidRDefault="000C147A">
            <w:pPr>
              <w:jc w:val="right"/>
              <w:rPr>
                <w:rFonts w:eastAsia="Times New Roman"/>
                <w:sz w:val="20"/>
                <w:szCs w:val="20"/>
              </w:rPr>
            </w:pPr>
          </w:p>
        </w:tc>
        <w:tc>
          <w:tcPr>
            <w:tcW w:w="0" w:type="auto"/>
            <w:gridSpan w:val="11"/>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11"/>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center"/>
        </w:trPr>
        <w:tc>
          <w:tcPr>
            <w:tcW w:w="0" w:type="auto"/>
            <w:gridSpan w:val="7"/>
            <w:vAlign w:val="center"/>
            <w:hideMark/>
          </w:tcPr>
          <w:p w:rsidR="00000000" w:rsidRDefault="000C147A">
            <w:pPr>
              <w:rPr>
                <w:rFonts w:eastAsia="Times New Roman"/>
                <w:sz w:val="20"/>
                <w:szCs w:val="20"/>
              </w:rPr>
            </w:pPr>
          </w:p>
        </w:tc>
        <w:tc>
          <w:tcPr>
            <w:tcW w:w="0" w:type="auto"/>
            <w:gridSpan w:val="11"/>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11"/>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Net income (loss)</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(374)</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(374)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 comprehensive income (loss)</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16 </w:t>
            </w:r>
          </w:p>
        </w:tc>
        <w:tc>
          <w:tcPr>
            <w:tcW w:w="0" w:type="auto"/>
            <w:gridSpan w:val="2"/>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jc w:val="center"/>
        </w:trPr>
        <w:tc>
          <w:tcPr>
            <w:tcW w:w="0" w:type="auto"/>
            <w:gridSpan w:val="7"/>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September 30, 2019</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1,897 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(1,269)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12,761 </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16,482 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rPr>
          <w:rFonts w:eastAsia="Times New Roman"/>
        </w:rPr>
      </w:pPr>
    </w:p>
    <w:p w:rsidR="00000000" w:rsidRDefault="000C147A">
      <w:pPr>
        <w:jc w:val="center"/>
        <w:rPr>
          <w:rFonts w:eastAsia="Times New Roman"/>
        </w:rPr>
      </w:pPr>
      <w:r>
        <w:rPr>
          <w:rFonts w:eastAsia="Times New Roman"/>
          <w:color w:val="000000"/>
          <w:sz w:val="20"/>
          <w:szCs w:val="20"/>
        </w:rPr>
        <w:t>See Notes to Consolidated Financial Statements (Unaudited).</w:t>
      </w:r>
    </w:p>
    <w:p w:rsidR="00000000" w:rsidRDefault="000C147A">
      <w:pPr>
        <w:jc w:val="center"/>
        <w:divId w:val="742878019"/>
        <w:rPr>
          <w:rFonts w:eastAsia="Times New Roman"/>
        </w:rPr>
      </w:pPr>
      <w:r>
        <w:rPr>
          <w:rFonts w:eastAsia="Times New Roman"/>
          <w:color w:val="000000"/>
          <w:sz w:val="20"/>
          <w:szCs w:val="20"/>
        </w:rPr>
        <w:t>7</w:t>
      </w:r>
    </w:p>
    <w:p w:rsidR="00000000" w:rsidRDefault="000C147A">
      <w:pPr>
        <w:rPr>
          <w:rFonts w:eastAsia="Times New Roman"/>
        </w:rPr>
      </w:pPr>
      <w:r>
        <w:rPr>
          <w:rFonts w:eastAsia="Times New Roman"/>
        </w:rPr>
        <w:pict>
          <v:rect id="_x0000_i1033" style="width:0;height:1.5pt" o:hralign="center" o:hrstd="t" o:hr="t" fillcolor="#a0a0a0" stroked="f"/>
        </w:pict>
      </w:r>
    </w:p>
    <w:p w:rsidR="00000000" w:rsidRDefault="000C147A">
      <w:pPr>
        <w:divId w:val="1593470607"/>
        <w:rPr>
          <w:rFonts w:eastAsia="Times New Roman"/>
        </w:rPr>
      </w:pPr>
    </w:p>
    <w:p w:rsidR="00000000" w:rsidRDefault="000C147A">
      <w:pPr>
        <w:jc w:val="center"/>
        <w:divId w:val="162161006"/>
        <w:rPr>
          <w:rFonts w:eastAsia="Times New Roman"/>
        </w:rPr>
      </w:pPr>
      <w:r>
        <w:rPr>
          <w:rFonts w:eastAsia="Times New Roman"/>
          <w:b/>
          <w:bCs/>
          <w:color w:val="000000"/>
          <w:sz w:val="20"/>
          <w:szCs w:val="20"/>
        </w:rPr>
        <w:t>EQUITABLE HOLDINGS, INC.</w:t>
      </w:r>
    </w:p>
    <w:p w:rsidR="00000000" w:rsidRDefault="000C147A">
      <w:pPr>
        <w:jc w:val="center"/>
        <w:divId w:val="162161006"/>
        <w:rPr>
          <w:rFonts w:eastAsia="Times New Roman"/>
        </w:rPr>
      </w:pPr>
      <w:r>
        <w:rPr>
          <w:rFonts w:eastAsia="Times New Roman"/>
          <w:b/>
          <w:bCs/>
          <w:color w:val="000000"/>
          <w:sz w:val="20"/>
          <w:szCs w:val="20"/>
        </w:rPr>
        <w:t>Consolidated Statements of Equity</w:t>
      </w:r>
    </w:p>
    <w:p w:rsidR="00000000" w:rsidRDefault="000C147A">
      <w:pPr>
        <w:jc w:val="center"/>
        <w:divId w:val="162161006"/>
        <w:rPr>
          <w:rFonts w:eastAsia="Times New Roman"/>
        </w:rPr>
      </w:pPr>
      <w:r>
        <w:rPr>
          <w:rFonts w:eastAsia="Times New Roman"/>
          <w:b/>
          <w:bCs/>
          <w:color w:val="000000"/>
          <w:sz w:val="20"/>
          <w:szCs w:val="20"/>
        </w:rPr>
        <w:t>For the Three and Nine Months Ended September 30, 2020 and 2019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104"/>
        <w:gridCol w:w="1026"/>
        <w:gridCol w:w="39"/>
        <w:gridCol w:w="91"/>
        <w:gridCol w:w="581"/>
        <w:gridCol w:w="36"/>
        <w:gridCol w:w="36"/>
        <w:gridCol w:w="36"/>
        <w:gridCol w:w="36"/>
        <w:gridCol w:w="91"/>
        <w:gridCol w:w="110"/>
        <w:gridCol w:w="144"/>
        <w:gridCol w:w="144"/>
        <w:gridCol w:w="97"/>
        <w:gridCol w:w="36"/>
        <w:gridCol w:w="36"/>
        <w:gridCol w:w="36"/>
        <w:gridCol w:w="36"/>
        <w:gridCol w:w="91"/>
        <w:gridCol w:w="208"/>
        <w:gridCol w:w="144"/>
        <w:gridCol w:w="144"/>
        <w:gridCol w:w="82"/>
        <w:gridCol w:w="36"/>
        <w:gridCol w:w="26"/>
        <w:gridCol w:w="10"/>
        <w:gridCol w:w="36"/>
        <w:gridCol w:w="36"/>
        <w:gridCol w:w="62"/>
        <w:gridCol w:w="29"/>
        <w:gridCol w:w="115"/>
        <w:gridCol w:w="380"/>
        <w:gridCol w:w="36"/>
        <w:gridCol w:w="36"/>
        <w:gridCol w:w="2"/>
        <w:gridCol w:w="34"/>
        <w:gridCol w:w="36"/>
        <w:gridCol w:w="74"/>
        <w:gridCol w:w="17"/>
        <w:gridCol w:w="127"/>
        <w:gridCol w:w="144"/>
        <w:gridCol w:w="144"/>
        <w:gridCol w:w="73"/>
        <w:gridCol w:w="36"/>
        <w:gridCol w:w="35"/>
        <w:gridCol w:w="1"/>
        <w:gridCol w:w="36"/>
        <w:gridCol w:w="36"/>
        <w:gridCol w:w="94"/>
        <w:gridCol w:w="361"/>
        <w:gridCol w:w="144"/>
        <w:gridCol w:w="144"/>
        <w:gridCol w:w="144"/>
        <w:gridCol w:w="78"/>
        <w:gridCol w:w="36"/>
        <w:gridCol w:w="30"/>
        <w:gridCol w:w="6"/>
        <w:gridCol w:w="36"/>
        <w:gridCol w:w="36"/>
        <w:gridCol w:w="66"/>
        <w:gridCol w:w="25"/>
        <w:gridCol w:w="429"/>
        <w:gridCol w:w="64"/>
        <w:gridCol w:w="36"/>
        <w:gridCol w:w="36"/>
        <w:gridCol w:w="8"/>
        <w:gridCol w:w="28"/>
        <w:gridCol w:w="36"/>
        <w:gridCol w:w="80"/>
        <w:gridCol w:w="11"/>
        <w:gridCol w:w="133"/>
        <w:gridCol w:w="144"/>
        <w:gridCol w:w="144"/>
        <w:gridCol w:w="173"/>
        <w:gridCol w:w="36"/>
        <w:gridCol w:w="36"/>
        <w:gridCol w:w="36"/>
        <w:gridCol w:w="36"/>
        <w:gridCol w:w="90"/>
        <w:gridCol w:w="47"/>
        <w:gridCol w:w="144"/>
        <w:gridCol w:w="144"/>
        <w:gridCol w:w="85"/>
        <w:gridCol w:w="36"/>
        <w:gridCol w:w="23"/>
        <w:gridCol w:w="144"/>
        <w:gridCol w:w="144"/>
        <w:gridCol w:w="770"/>
        <w:gridCol w:w="144"/>
        <w:gridCol w:w="144"/>
        <w:gridCol w:w="144"/>
        <w:gridCol w:w="144"/>
        <w:gridCol w:w="144"/>
        <w:gridCol w:w="528"/>
        <w:gridCol w:w="144"/>
        <w:gridCol w:w="144"/>
        <w:gridCol w:w="144"/>
        <w:gridCol w:w="144"/>
        <w:gridCol w:w="144"/>
        <w:gridCol w:w="540"/>
        <w:gridCol w:w="144"/>
        <w:gridCol w:w="144"/>
        <w:gridCol w:w="144"/>
        <w:gridCol w:w="144"/>
        <w:gridCol w:w="144"/>
        <w:gridCol w:w="479"/>
        <w:gridCol w:w="144"/>
      </w:tblGrid>
      <w:tr w:rsidR="00000000">
        <w:trPr>
          <w:gridAfter w:val="23"/>
          <w:divId w:val="1455444876"/>
          <w:jc w:val="center"/>
        </w:trPr>
        <w:tc>
          <w:tcPr>
            <w:tcW w:w="50" w:type="pct"/>
            <w:vAlign w:val="center"/>
            <w:hideMark/>
          </w:tcPr>
          <w:p w:rsidR="00000000" w:rsidRDefault="000C147A">
            <w:pPr>
              <w:jc w:val="center"/>
              <w:rPr>
                <w:rFonts w:eastAsia="Times New Roman"/>
              </w:rPr>
            </w:pPr>
          </w:p>
        </w:tc>
        <w:tc>
          <w:tcPr>
            <w:tcW w:w="1265"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76"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1"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27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276"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8" w:type="pct"/>
            <w:gridSpan w:val="5"/>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321"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328"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91" w:type="pct"/>
            <w:gridSpan w:val="4"/>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gridAfter w:val="23"/>
          <w:divId w:val="1455444876"/>
          <w:jc w:val="center"/>
        </w:trPr>
        <w:tc>
          <w:tcPr>
            <w:tcW w:w="0" w:type="auto"/>
            <w:gridSpan w:val="4"/>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Nine Months Ended September 30,</w:t>
            </w:r>
          </w:p>
        </w:tc>
      </w:tr>
      <w:tr w:rsidR="00000000">
        <w:trPr>
          <w:gridAfter w:val="23"/>
          <w:divId w:val="1455444876"/>
          <w:jc w:val="center"/>
        </w:trPr>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6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Equity Attributable to Holdings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gridAfter w:val="23"/>
          <w:divId w:val="1455444876"/>
          <w:jc w:val="center"/>
        </w:trPr>
        <w:tc>
          <w:tcPr>
            <w:tcW w:w="0" w:type="auto"/>
            <w:gridSpan w:val="4"/>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Additional Paid-in 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Treasury Stock</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Retained Earnings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Accumulated Other Comprehensive Income (Loss)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Total Holdings Equity</w:t>
            </w:r>
          </w:p>
        </w:tc>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Total Equity</w:t>
            </w:r>
          </w:p>
        </w:tc>
      </w:tr>
      <w:tr w:rsidR="00000000">
        <w:trPr>
          <w:gridAfter w:val="23"/>
          <w:divId w:val="1455444876"/>
          <w:jc w:val="center"/>
        </w:trPr>
        <w:tc>
          <w:tcPr>
            <w:tcW w:w="0" w:type="auto"/>
            <w:gridSpan w:val="4"/>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8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(in millions)</w:t>
            </w:r>
          </w:p>
        </w:tc>
      </w:tr>
      <w:tr w:rsidR="00000000">
        <w:trPr>
          <w:gridAfter w:val="23"/>
          <w:divId w:val="1455444876"/>
          <w:jc w:val="center"/>
        </w:trPr>
        <w:tc>
          <w:tcPr>
            <w:tcW w:w="0" w:type="auto"/>
            <w:gridSpan w:val="4"/>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4"/>
                <w:szCs w:val="14"/>
              </w:rPr>
              <w:t>January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775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1,920</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(1,832)</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11,744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844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13,456</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1,591</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15,047</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Cumulative effect of adoption of ASU 2016-03, CEC</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67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Reissuance of treasury stock</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gridAfter w:val="23"/>
          <w:divId w:val="1455444876"/>
          <w:jc w:val="center"/>
        </w:trPr>
        <w:tc>
          <w:tcPr>
            <w:tcW w:w="0" w:type="auto"/>
            <w:gridSpan w:val="4"/>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7"/>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on common stock (cash dividends declared per common share of $0.49)</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590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590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201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791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3,345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gridAfter w:val="23"/>
          <w:divId w:val="1455444876"/>
          <w:jc w:val="center"/>
        </w:trPr>
        <w:tc>
          <w:tcPr>
            <w:tcW w:w="0" w:type="auto"/>
            <w:gridSpan w:val="4"/>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4"/>
                <w:szCs w:val="14"/>
              </w:rPr>
              <w:t>September 30,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1,953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(2,147)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12,032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4,188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17,300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1,552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4"/>
                <w:szCs w:val="14"/>
              </w:rPr>
              <w:t>18,852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50" w:type="pct"/>
            <w:gridSpan w:val="2"/>
            <w:vAlign w:val="center"/>
            <w:hideMark/>
          </w:tcPr>
          <w:p w:rsidR="00000000" w:rsidRDefault="000C147A">
            <w:pPr>
              <w:jc w:val="center"/>
              <w:rPr>
                <w:rFonts w:eastAsia="Times New Roman"/>
              </w:rPr>
            </w:pPr>
          </w:p>
        </w:tc>
        <w:tc>
          <w:tcPr>
            <w:tcW w:w="1265" w:type="pct"/>
            <w:gridSpan w:val="10"/>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8" w:type="pct"/>
            <w:gridSpan w:val="7"/>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3"/>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50" w:type="pct"/>
            <w:gridSpan w:val="2"/>
            <w:vAlign w:val="center"/>
            <w:hideMark/>
          </w:tcPr>
          <w:p w:rsidR="00000000" w:rsidRDefault="000C147A">
            <w:pPr>
              <w:rPr>
                <w:rFonts w:eastAsia="Times New Roman"/>
                <w:sz w:val="20"/>
                <w:szCs w:val="20"/>
              </w:rPr>
            </w:pPr>
          </w:p>
        </w:tc>
        <w:tc>
          <w:tcPr>
            <w:tcW w:w="276" w:type="pct"/>
            <w:gridSpan w:val="4"/>
            <w:vAlign w:val="center"/>
            <w:hideMark/>
          </w:tcPr>
          <w:p w:rsidR="00000000" w:rsidRDefault="000C147A">
            <w:pPr>
              <w:rPr>
                <w:rFonts w:eastAsia="Times New Roman"/>
                <w:sz w:val="20"/>
                <w:szCs w:val="20"/>
              </w:rPr>
            </w:pPr>
          </w:p>
        </w:tc>
        <w:tc>
          <w:tcPr>
            <w:tcW w:w="5" w:type="pct"/>
            <w:gridSpan w:val="3"/>
            <w:vAlign w:val="center"/>
            <w:hideMark/>
          </w:tcPr>
          <w:p w:rsidR="00000000" w:rsidRDefault="000C147A">
            <w:pPr>
              <w:rPr>
                <w:rFonts w:eastAsia="Times New Roman"/>
                <w:sz w:val="20"/>
                <w:szCs w:val="20"/>
              </w:rPr>
            </w:pPr>
          </w:p>
        </w:tc>
        <w:tc>
          <w:tcPr>
            <w:tcW w:w="5" w:type="pct"/>
            <w:gridSpan w:val="2"/>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gridSpan w:val="3"/>
            <w:vAlign w:val="center"/>
            <w:hideMark/>
          </w:tcPr>
          <w:p w:rsidR="00000000" w:rsidRDefault="000C147A">
            <w:pPr>
              <w:rPr>
                <w:rFonts w:eastAsia="Times New Roman"/>
                <w:sz w:val="20"/>
                <w:szCs w:val="20"/>
              </w:rPr>
            </w:pPr>
          </w:p>
        </w:tc>
        <w:tc>
          <w:tcPr>
            <w:tcW w:w="321" w:type="pct"/>
            <w:gridSpan w:val="5"/>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gridSpan w:val="3"/>
            <w:vAlign w:val="center"/>
            <w:hideMark/>
          </w:tcPr>
          <w:p w:rsidR="00000000" w:rsidRDefault="000C147A">
            <w:pPr>
              <w:rPr>
                <w:rFonts w:eastAsia="Times New Roman"/>
                <w:sz w:val="20"/>
                <w:szCs w:val="20"/>
              </w:rPr>
            </w:pPr>
          </w:p>
        </w:tc>
        <w:tc>
          <w:tcPr>
            <w:tcW w:w="50" w:type="pct"/>
            <w:gridSpan w:val="4"/>
            <w:vAlign w:val="center"/>
            <w:hideMark/>
          </w:tcPr>
          <w:p w:rsidR="00000000" w:rsidRDefault="000C147A">
            <w:pPr>
              <w:rPr>
                <w:rFonts w:eastAsia="Times New Roman"/>
                <w:sz w:val="20"/>
                <w:szCs w:val="20"/>
              </w:rPr>
            </w:pPr>
          </w:p>
        </w:tc>
        <w:tc>
          <w:tcPr>
            <w:tcW w:w="276" w:type="pct"/>
            <w:gridSpan w:val="2"/>
            <w:vAlign w:val="center"/>
            <w:hideMark/>
          </w:tcPr>
          <w:p w:rsidR="00000000" w:rsidRDefault="000C147A">
            <w:pPr>
              <w:rPr>
                <w:rFonts w:eastAsia="Times New Roman"/>
                <w:sz w:val="20"/>
                <w:szCs w:val="20"/>
              </w:rPr>
            </w:pPr>
          </w:p>
        </w:tc>
        <w:tc>
          <w:tcPr>
            <w:tcW w:w="5" w:type="pct"/>
            <w:gridSpan w:val="4"/>
            <w:vAlign w:val="center"/>
            <w:hideMark/>
          </w:tcPr>
          <w:p w:rsidR="00000000" w:rsidRDefault="000C147A">
            <w:pPr>
              <w:rPr>
                <w:rFonts w:eastAsia="Times New Roman"/>
                <w:sz w:val="20"/>
                <w:szCs w:val="20"/>
              </w:rPr>
            </w:pPr>
          </w:p>
        </w:tc>
        <w:tc>
          <w:tcPr>
            <w:tcW w:w="5" w:type="pct"/>
            <w:gridSpan w:val="3"/>
            <w:vAlign w:val="center"/>
            <w:hideMark/>
          </w:tcPr>
          <w:p w:rsidR="00000000" w:rsidRDefault="000C147A">
            <w:pPr>
              <w:rPr>
                <w:rFonts w:eastAsia="Times New Roman"/>
                <w:sz w:val="20"/>
                <w:szCs w:val="20"/>
              </w:rPr>
            </w:pPr>
          </w:p>
        </w:tc>
        <w:tc>
          <w:tcPr>
            <w:tcW w:w="26" w:type="pct"/>
            <w:gridSpan w:val="2"/>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76" w:type="pct"/>
            <w:gridSpan w:val="7"/>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9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jc w:val="center"/>
        </w:trPr>
        <w:tc>
          <w:tcPr>
            <w:tcW w:w="0" w:type="auto"/>
            <w:gridSpan w:val="1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January 1, 2019</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4"/>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5 </w:t>
            </w:r>
          </w:p>
        </w:tc>
        <w:tc>
          <w:tcPr>
            <w:tcW w:w="0" w:type="auto"/>
            <w:gridSpan w:val="3"/>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5"/>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1,908 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2"/>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(640)</w:t>
            </w:r>
          </w:p>
        </w:tc>
        <w:tc>
          <w:tcPr>
            <w:tcW w:w="0" w:type="auto"/>
            <w:gridSpan w:val="4"/>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13,937 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(1,408)</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13,802 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1,566 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15,368 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Stock compensation</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Purchase of treasury stock</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(637)</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(637)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(637)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Reissuance of treasury stock</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Retirement of common stock</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Repurchase of AB Holding units</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paid to noncontrolling interest</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(186)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(186)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Dividends on common stock (cash dividends declared per common share of $0.43)</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(215)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(215)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(215)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vAlign w:val="center"/>
            <w:hideMark/>
          </w:tcPr>
          <w:p w:rsidR="00000000" w:rsidRDefault="000C147A">
            <w:pPr>
              <w:jc w:val="right"/>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8"/>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4"/>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10"/>
            <w:vAlign w:val="center"/>
            <w:hideMark/>
          </w:tcPr>
          <w:p w:rsidR="00000000" w:rsidRDefault="000C147A">
            <w:pPr>
              <w:rPr>
                <w:rFonts w:eastAsia="Times New Roman"/>
                <w:sz w:val="20"/>
                <w:szCs w:val="20"/>
              </w:rPr>
            </w:pPr>
          </w:p>
        </w:tc>
        <w:tc>
          <w:tcPr>
            <w:tcW w:w="0" w:type="auto"/>
            <w:gridSpan w:val="6"/>
            <w:vAlign w:val="center"/>
            <w:hideMark/>
          </w:tcPr>
          <w:p w:rsidR="00000000" w:rsidRDefault="000C147A">
            <w:pPr>
              <w:rPr>
                <w:rFonts w:eastAsia="Times New Roman"/>
                <w:sz w:val="20"/>
                <w:szCs w:val="20"/>
              </w:rPr>
            </w:pPr>
          </w:p>
        </w:tc>
        <w:tc>
          <w:tcPr>
            <w:tcW w:w="0" w:type="auto"/>
            <w:gridSpan w:val="9"/>
            <w:vAlign w:val="center"/>
            <w:hideMark/>
          </w:tcPr>
          <w:p w:rsidR="00000000" w:rsidRDefault="000C147A">
            <w:pPr>
              <w:rPr>
                <w:rFonts w:eastAsia="Times New Roman"/>
                <w:sz w:val="20"/>
                <w:szCs w:val="20"/>
              </w:rPr>
            </w:pPr>
          </w:p>
        </w:tc>
        <w:tc>
          <w:tcPr>
            <w:tcW w:w="0" w:type="auto"/>
            <w:gridSpan w:val="5"/>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Net income (loss)</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(818)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(818)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(643)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 comprehensive income (loss)</w:t>
            </w: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2,954 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2,954 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2,947 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center"/>
        </w:trPr>
        <w:tc>
          <w:tcPr>
            <w:tcW w:w="0" w:type="auto"/>
            <w:gridSpan w:val="1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Other</w:t>
            </w: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jc w:val="center"/>
        </w:trPr>
        <w:tc>
          <w:tcPr>
            <w:tcW w:w="0" w:type="auto"/>
            <w:gridSpan w:val="1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4"/>
                <w:szCs w:val="14"/>
              </w:rPr>
              <w:t>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8"/>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5 </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1,897 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(1,269)</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12,761 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14,940 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4"/>
                <w:szCs w:val="14"/>
              </w:rPr>
              <w:t>16,482 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rPr>
          <w:rFonts w:eastAsia="Times New Roman"/>
        </w:rPr>
      </w:pPr>
    </w:p>
    <w:p w:rsidR="00000000" w:rsidRDefault="000C147A">
      <w:pPr>
        <w:jc w:val="center"/>
        <w:rPr>
          <w:rFonts w:eastAsia="Times New Roman"/>
        </w:rPr>
      </w:pPr>
      <w:r>
        <w:rPr>
          <w:rFonts w:eastAsia="Times New Roman"/>
          <w:color w:val="000000"/>
          <w:sz w:val="20"/>
          <w:szCs w:val="20"/>
        </w:rPr>
        <w:t>See Notes to Consolidated Financial Statements (Unaudited).</w:t>
      </w:r>
    </w:p>
    <w:p w:rsidR="00000000" w:rsidRDefault="000C147A">
      <w:pPr>
        <w:jc w:val="center"/>
        <w:divId w:val="1589339867"/>
        <w:rPr>
          <w:rFonts w:eastAsia="Times New Roman"/>
        </w:rPr>
      </w:pPr>
      <w:r>
        <w:rPr>
          <w:rFonts w:eastAsia="Times New Roman"/>
          <w:color w:val="000000"/>
          <w:sz w:val="20"/>
          <w:szCs w:val="20"/>
        </w:rPr>
        <w:t>8</w:t>
      </w:r>
    </w:p>
    <w:p w:rsidR="00000000" w:rsidRDefault="000C147A">
      <w:pPr>
        <w:rPr>
          <w:rFonts w:eastAsia="Times New Roman"/>
        </w:rPr>
      </w:pPr>
      <w:r>
        <w:rPr>
          <w:rFonts w:eastAsia="Times New Roman"/>
        </w:rPr>
        <w:pict>
          <v:rect id="_x0000_i1034" style="width:0;height:1.5pt" o:hralign="center" o:hrstd="t" o:hr="t" fillcolor="#a0a0a0" stroked="f"/>
        </w:pict>
      </w:r>
    </w:p>
    <w:p w:rsidR="00000000" w:rsidRDefault="000C147A">
      <w:pPr>
        <w:divId w:val="331951925"/>
        <w:rPr>
          <w:rFonts w:eastAsia="Times New Roman"/>
        </w:rPr>
      </w:pPr>
    </w:p>
    <w:p w:rsidR="00000000" w:rsidRDefault="000C147A">
      <w:pPr>
        <w:jc w:val="center"/>
        <w:divId w:val="367142163"/>
        <w:rPr>
          <w:rFonts w:eastAsia="Times New Roman"/>
        </w:rPr>
      </w:pPr>
      <w:r>
        <w:rPr>
          <w:rFonts w:eastAsia="Times New Roman"/>
          <w:b/>
          <w:bCs/>
          <w:color w:val="000000"/>
          <w:sz w:val="20"/>
          <w:szCs w:val="20"/>
        </w:rPr>
        <w:t>EQUITABLE HOLDINGS, INC.</w:t>
      </w:r>
    </w:p>
    <w:p w:rsidR="00000000" w:rsidRDefault="000C147A">
      <w:pPr>
        <w:jc w:val="center"/>
        <w:divId w:val="367142163"/>
        <w:rPr>
          <w:rFonts w:eastAsia="Times New Roman"/>
        </w:rPr>
      </w:pPr>
      <w:r>
        <w:rPr>
          <w:rFonts w:eastAsia="Times New Roman"/>
          <w:b/>
          <w:bCs/>
          <w:color w:val="000000"/>
          <w:sz w:val="20"/>
          <w:szCs w:val="20"/>
        </w:rPr>
        <w:t>Consolidated Statements of Cash Flows</w:t>
      </w:r>
    </w:p>
    <w:p w:rsidR="00000000" w:rsidRDefault="000C147A">
      <w:pPr>
        <w:jc w:val="center"/>
        <w:divId w:val="367142163"/>
        <w:rPr>
          <w:rFonts w:eastAsia="Times New Roman"/>
        </w:rPr>
      </w:pPr>
      <w:r>
        <w:rPr>
          <w:rFonts w:eastAsia="Times New Roman"/>
          <w:b/>
          <w:bCs/>
          <w:color w:val="000000"/>
          <w:sz w:val="20"/>
          <w:szCs w:val="20"/>
        </w:rPr>
        <w:t>For the Nine Months Ended September 30, 2020 and 2019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836"/>
        <w:gridCol w:w="40"/>
        <w:gridCol w:w="120"/>
        <w:gridCol w:w="895"/>
        <w:gridCol w:w="36"/>
        <w:gridCol w:w="36"/>
        <w:gridCol w:w="36"/>
        <w:gridCol w:w="36"/>
        <w:gridCol w:w="120"/>
        <w:gridCol w:w="858"/>
        <w:gridCol w:w="36"/>
        <w:gridCol w:w="36"/>
        <w:gridCol w:w="36"/>
        <w:gridCol w:w="36"/>
        <w:gridCol w:w="36"/>
        <w:gridCol w:w="36"/>
        <w:gridCol w:w="36"/>
      </w:tblGrid>
      <w:tr w:rsidR="00000000">
        <w:trPr>
          <w:divId w:val="81027492"/>
        </w:trPr>
        <w:tc>
          <w:tcPr>
            <w:tcW w:w="50" w:type="pct"/>
            <w:vAlign w:val="center"/>
            <w:hideMark/>
          </w:tcPr>
          <w:p w:rsidR="00000000" w:rsidRDefault="000C147A">
            <w:pPr>
              <w:jc w:val="center"/>
              <w:rPr>
                <w:rFonts w:eastAsia="Times New Roman"/>
              </w:rPr>
            </w:pPr>
          </w:p>
        </w:tc>
        <w:tc>
          <w:tcPr>
            <w:tcW w:w="36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1027492"/>
        </w:trPr>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(2,787)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Loss on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Non-cash pension plan restructuring</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Equity (income) loss from limited partnerships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135" w:type="dxa"/>
            </w:tcMar>
            <w:hideMark/>
          </w:tcPr>
          <w:p w:rsidR="00000000" w:rsidRDefault="000C147A">
            <w:pPr>
              <w:jc w:val="both"/>
              <w:rPr>
                <w:rFonts w:eastAsia="Times New Roman"/>
              </w:rPr>
            </w:pPr>
            <w:r>
              <w:rPr>
                <w:rFonts w:eastAsia="Times New Roman"/>
                <w:color w:val="000000"/>
                <w:sz w:val="20"/>
                <w:szCs w:val="20"/>
              </w:rPr>
              <w:t>Changes in:</w:t>
            </w:r>
          </w:p>
        </w:tc>
        <w:tc>
          <w:tcPr>
            <w:tcW w:w="0" w:type="auto"/>
            <w:gridSpan w:val="3"/>
            <w:shd w:val="clear" w:color="auto" w:fill="FFFFFF"/>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Reinsurance recoverable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Segregated cash and securities,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360" w:type="dxa"/>
            </w:tcMar>
            <w:hideMark/>
          </w:tcPr>
          <w:p w:rsidR="00000000" w:rsidRDefault="000C147A">
            <w:pPr>
              <w:jc w:val="both"/>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135" w:type="dxa"/>
            </w:tcMar>
            <w:hideMark/>
          </w:tcPr>
          <w:p w:rsidR="00000000" w:rsidRDefault="000C147A">
            <w:pPr>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Height w:val="24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20" w:type="dxa"/>
              <w:bottom w:w="30" w:type="dxa"/>
              <w:right w:w="20" w:type="dxa"/>
            </w:tcMar>
            <w:hideMark/>
          </w:tcPr>
          <w:p w:rsidR="00000000" w:rsidRDefault="000C147A">
            <w:pPr>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Proceeds from the sale/maturity/prepayment of:</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Fixed maturities, available-for-sale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9,850 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8,762 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Real estate joint ventures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(17,393)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(24,448)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(1,072)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(2,148)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Proceeds from the sale of business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Cash settlements related to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Repayments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(3,551)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02749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divId w:val="2137063789"/>
        <w:rPr>
          <w:rFonts w:eastAsia="Times New Roman"/>
        </w:rPr>
      </w:pPr>
    </w:p>
    <w:p w:rsidR="00000000" w:rsidRDefault="000C147A">
      <w:pPr>
        <w:jc w:val="center"/>
        <w:divId w:val="2137063789"/>
        <w:rPr>
          <w:rFonts w:eastAsia="Times New Roman"/>
        </w:rPr>
      </w:pPr>
    </w:p>
    <w:p w:rsidR="00000000" w:rsidRDefault="000C147A">
      <w:pPr>
        <w:jc w:val="center"/>
        <w:divId w:val="2137063789"/>
        <w:rPr>
          <w:rFonts w:eastAsia="Times New Roman"/>
        </w:rPr>
      </w:pPr>
    </w:p>
    <w:p w:rsidR="00000000" w:rsidRDefault="000C147A">
      <w:pPr>
        <w:jc w:val="center"/>
        <w:divId w:val="2137063789"/>
        <w:rPr>
          <w:rFonts w:eastAsia="Times New Roman"/>
        </w:rPr>
      </w:pPr>
      <w:r>
        <w:rPr>
          <w:rFonts w:eastAsia="Times New Roman"/>
          <w:color w:val="000000"/>
          <w:sz w:val="20"/>
          <w:szCs w:val="20"/>
        </w:rPr>
        <w:t xml:space="preserve">See Notes to Consolidated Financial Statements (Unaudited). </w:t>
      </w:r>
    </w:p>
    <w:p w:rsidR="00000000" w:rsidRDefault="000C147A">
      <w:pPr>
        <w:jc w:val="center"/>
        <w:divId w:val="2137063789"/>
        <w:rPr>
          <w:rFonts w:eastAsia="Times New Roman"/>
        </w:rPr>
      </w:pPr>
      <w:r>
        <w:rPr>
          <w:rFonts w:eastAsia="Times New Roman"/>
          <w:color w:val="000000"/>
          <w:sz w:val="20"/>
          <w:szCs w:val="20"/>
        </w:rPr>
        <w:t>9</w:t>
      </w:r>
    </w:p>
    <w:p w:rsidR="00000000" w:rsidRDefault="000C147A">
      <w:pPr>
        <w:rPr>
          <w:rFonts w:eastAsia="Times New Roman"/>
        </w:rPr>
      </w:pPr>
      <w:r>
        <w:rPr>
          <w:rFonts w:eastAsia="Times New Roman"/>
        </w:rPr>
        <w:pict>
          <v:rect id="_x0000_i1035" style="width:0;height:1.5pt" o:hralign="center" o:hrstd="t" o:hr="t" fillcolor="#a0a0a0" stroked="f"/>
        </w:pict>
      </w:r>
    </w:p>
    <w:p w:rsidR="00000000" w:rsidRDefault="000C147A">
      <w:pPr>
        <w:divId w:val="1320768164"/>
        <w:rPr>
          <w:rFonts w:eastAsia="Times New Roman"/>
        </w:rPr>
      </w:pPr>
    </w:p>
    <w:p w:rsidR="00000000" w:rsidRDefault="000C147A">
      <w:pPr>
        <w:jc w:val="center"/>
        <w:divId w:val="10574891"/>
        <w:rPr>
          <w:rFonts w:eastAsia="Times New Roman"/>
        </w:rPr>
      </w:pPr>
      <w:r>
        <w:rPr>
          <w:rFonts w:eastAsia="Times New Roman"/>
          <w:b/>
          <w:bCs/>
          <w:color w:val="000000"/>
          <w:sz w:val="20"/>
          <w:szCs w:val="20"/>
        </w:rPr>
        <w:t>EQUITABLE HOLDINGS, INC.</w:t>
      </w:r>
    </w:p>
    <w:p w:rsidR="00000000" w:rsidRDefault="000C147A">
      <w:pPr>
        <w:jc w:val="center"/>
        <w:divId w:val="10574891"/>
        <w:rPr>
          <w:rFonts w:eastAsia="Times New Roman"/>
        </w:rPr>
      </w:pPr>
      <w:r>
        <w:rPr>
          <w:rFonts w:eastAsia="Times New Roman"/>
          <w:b/>
          <w:bCs/>
          <w:color w:val="000000"/>
          <w:sz w:val="20"/>
          <w:szCs w:val="20"/>
        </w:rPr>
        <w:t>Consolidated Statements of Cash Flows</w:t>
      </w:r>
    </w:p>
    <w:p w:rsidR="00000000" w:rsidRDefault="000C147A">
      <w:pPr>
        <w:jc w:val="center"/>
        <w:divId w:val="10574891"/>
        <w:rPr>
          <w:rFonts w:eastAsia="Times New Roman"/>
        </w:rPr>
      </w:pPr>
      <w:r>
        <w:rPr>
          <w:rFonts w:eastAsia="Times New Roman"/>
          <w:b/>
          <w:bCs/>
          <w:color w:val="000000"/>
          <w:sz w:val="20"/>
          <w:szCs w:val="20"/>
        </w:rPr>
        <w:t>For the Nine Months Ended September 30, 2020 and 2019 (Unaudited)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840"/>
        <w:gridCol w:w="38"/>
        <w:gridCol w:w="120"/>
        <w:gridCol w:w="895"/>
        <w:gridCol w:w="36"/>
        <w:gridCol w:w="36"/>
        <w:gridCol w:w="36"/>
        <w:gridCol w:w="36"/>
        <w:gridCol w:w="120"/>
        <w:gridCol w:w="858"/>
        <w:gridCol w:w="36"/>
        <w:gridCol w:w="36"/>
        <w:gridCol w:w="36"/>
        <w:gridCol w:w="36"/>
        <w:gridCol w:w="36"/>
        <w:gridCol w:w="36"/>
        <w:gridCol w:w="36"/>
      </w:tblGrid>
      <w:tr w:rsidR="00000000">
        <w:trPr>
          <w:divId w:val="74284830"/>
        </w:trPr>
        <w:tc>
          <w:tcPr>
            <w:tcW w:w="50" w:type="pct"/>
            <w:vAlign w:val="center"/>
            <w:hideMark/>
          </w:tcPr>
          <w:p w:rsidR="00000000" w:rsidRDefault="000C147A">
            <w:pPr>
              <w:jc w:val="center"/>
              <w:rPr>
                <w:rFonts w:eastAsia="Times New Roman"/>
              </w:rPr>
            </w:pPr>
          </w:p>
        </w:tc>
        <w:tc>
          <w:tcPr>
            <w:tcW w:w="36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(787)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Increase (decrease) in securities sold under agreement to repurchase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8,176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Effect of exchange rate changes on cash and cash equivalents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4,469 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Change in cash of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8,684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Height w:val="1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Non-cash transactions: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28483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Right-of-use assets obtained in exchange for lease obligations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1347755392"/>
        <w:rPr>
          <w:rFonts w:eastAsia="Times New Roman"/>
        </w:rPr>
      </w:pPr>
    </w:p>
    <w:p w:rsidR="00000000" w:rsidRDefault="000C147A">
      <w:pPr>
        <w:jc w:val="center"/>
        <w:rPr>
          <w:rFonts w:eastAsia="Times New Roman"/>
        </w:rPr>
      </w:pPr>
    </w:p>
    <w:p w:rsidR="00000000" w:rsidRDefault="000C147A">
      <w:pPr>
        <w:jc w:val="center"/>
        <w:rPr>
          <w:rFonts w:eastAsia="Times New Roman"/>
        </w:rPr>
      </w:pPr>
    </w:p>
    <w:p w:rsidR="00000000" w:rsidRDefault="000C147A">
      <w:pPr>
        <w:jc w:val="center"/>
        <w:rPr>
          <w:rFonts w:eastAsia="Times New Roman"/>
        </w:rPr>
      </w:pPr>
    </w:p>
    <w:p w:rsidR="00000000" w:rsidRDefault="000C147A">
      <w:pPr>
        <w:jc w:val="center"/>
        <w:divId w:val="1024283829"/>
        <w:rPr>
          <w:rFonts w:eastAsia="Times New Roman"/>
        </w:rPr>
      </w:pPr>
    </w:p>
    <w:p w:rsidR="00000000" w:rsidRDefault="000C147A">
      <w:pPr>
        <w:jc w:val="center"/>
        <w:divId w:val="1024283829"/>
        <w:rPr>
          <w:rFonts w:eastAsia="Times New Roman"/>
        </w:rPr>
      </w:pPr>
    </w:p>
    <w:p w:rsidR="00000000" w:rsidRDefault="000C147A">
      <w:pPr>
        <w:jc w:val="center"/>
        <w:divId w:val="1024283829"/>
        <w:rPr>
          <w:rFonts w:eastAsia="Times New Roman"/>
        </w:rPr>
      </w:pPr>
    </w:p>
    <w:p w:rsidR="00000000" w:rsidRDefault="000C147A">
      <w:pPr>
        <w:jc w:val="center"/>
        <w:divId w:val="1024283829"/>
        <w:rPr>
          <w:rFonts w:eastAsia="Times New Roman"/>
        </w:rPr>
      </w:pPr>
      <w:r>
        <w:rPr>
          <w:rFonts w:eastAsia="Times New Roman"/>
          <w:color w:val="000000"/>
          <w:sz w:val="20"/>
          <w:szCs w:val="20"/>
        </w:rPr>
        <w:t xml:space="preserve">See Notes to Consolidated Financial Statements (Unaudited). </w:t>
      </w:r>
    </w:p>
    <w:p w:rsidR="00000000" w:rsidRDefault="000C147A">
      <w:pPr>
        <w:jc w:val="center"/>
        <w:divId w:val="1024283829"/>
        <w:rPr>
          <w:rFonts w:eastAsia="Times New Roman"/>
        </w:rPr>
      </w:pPr>
      <w:r>
        <w:rPr>
          <w:rFonts w:eastAsia="Times New Roman"/>
          <w:color w:val="000000"/>
          <w:sz w:val="20"/>
          <w:szCs w:val="20"/>
        </w:rPr>
        <w:t>10</w:t>
      </w:r>
    </w:p>
    <w:p w:rsidR="00000000" w:rsidRDefault="000C147A">
      <w:pPr>
        <w:rPr>
          <w:rFonts w:eastAsia="Times New Roman"/>
        </w:rPr>
      </w:pPr>
      <w:r>
        <w:rPr>
          <w:rFonts w:eastAsia="Times New Roman"/>
        </w:rPr>
        <w:pict>
          <v:rect id="_x0000_i1036" style="width:0;height:1.5pt" o:hralign="center" o:hrstd="t" o:hr="t" fillcolor="#a0a0a0" stroked="f"/>
        </w:pict>
      </w:r>
    </w:p>
    <w:p w:rsidR="00000000" w:rsidRDefault="000C147A">
      <w:pPr>
        <w:jc w:val="center"/>
        <w:divId w:val="1290932866"/>
        <w:rPr>
          <w:rFonts w:eastAsia="Times New Roman"/>
        </w:rPr>
      </w:pPr>
      <w:r>
        <w:rPr>
          <w:rFonts w:eastAsia="Times New Roman"/>
          <w:b/>
          <w:bCs/>
          <w:color w:val="000000"/>
          <w:sz w:val="20"/>
          <w:szCs w:val="20"/>
        </w:rPr>
        <w:t>EQUITABLE HOLDINGS, INC.</w:t>
      </w:r>
    </w:p>
    <w:p w:rsidR="00000000" w:rsidRDefault="000C147A">
      <w:pPr>
        <w:jc w:val="center"/>
        <w:divId w:val="1290932866"/>
        <w:rPr>
          <w:rFonts w:eastAsia="Times New Roman"/>
        </w:rPr>
      </w:pPr>
      <w:r>
        <w:rPr>
          <w:rFonts w:eastAsia="Times New Roman"/>
          <w:b/>
          <w:bCs/>
          <w:color w:val="000000"/>
          <w:sz w:val="20"/>
          <w:szCs w:val="20"/>
        </w:rPr>
        <w:t>Notes to Consolidated Financial Statements (Unaudited)</w:t>
      </w:r>
    </w:p>
    <w:p w:rsidR="00000000" w:rsidRDefault="000C147A">
      <w:pPr>
        <w:divId w:val="8484940"/>
        <w:rPr>
          <w:rFonts w:eastAsia="Times New Roman"/>
        </w:rPr>
      </w:pPr>
    </w:p>
    <w:p w:rsidR="00000000" w:rsidRDefault="000C147A">
      <w:pPr>
        <w:divId w:val="931428067"/>
        <w:rPr>
          <w:rFonts w:eastAsia="Times New Roman"/>
        </w:rPr>
      </w:pPr>
      <w:r>
        <w:rPr>
          <w:rFonts w:eastAsia="Times New Roman"/>
          <w:b/>
          <w:bCs/>
          <w:color w:val="000000"/>
          <w:sz w:val="20"/>
          <w:szCs w:val="20"/>
        </w:rPr>
        <w:t xml:space="preserve">1)    ORGANIZATION </w:t>
      </w:r>
    </w:p>
    <w:p w:rsidR="00000000" w:rsidRDefault="000C147A">
      <w:pPr>
        <w:divId w:val="162206318"/>
        <w:rPr>
          <w:rFonts w:eastAsia="Times New Roman"/>
        </w:rPr>
      </w:pPr>
      <w:r>
        <w:rPr>
          <w:rFonts w:eastAsia="Times New Roman"/>
          <w:color w:val="000000"/>
          <w:sz w:val="20"/>
          <w:szCs w:val="20"/>
        </w:rPr>
        <w:t>Equitable Holdings, Inc. (which removed “AXA” from its name on January 13, 2020, “Holdings” and, with its consolidated</w:t>
      </w:r>
      <w:r>
        <w:rPr>
          <w:rFonts w:eastAsia="Times New Roman"/>
          <w:color w:val="000000"/>
          <w:sz w:val="20"/>
          <w:szCs w:val="20"/>
        </w:rPr>
        <w:t xml:space="preserve"> subsidiaries, the “Company”) is the holding company for a diversified financial services organization. The Company conducts operations in four segments: Individual Retirement, Group Retirement, Investment Management and Research, and Protection Solutions.</w:t>
      </w:r>
      <w:r>
        <w:rPr>
          <w:rFonts w:eastAsia="Times New Roman"/>
          <w:color w:val="000000"/>
          <w:sz w:val="20"/>
          <w:szCs w:val="20"/>
        </w:rPr>
        <w:t xml:space="preserve"> The Company’s management evaluates the performance of each of these segments independently. </w:t>
      </w:r>
    </w:p>
    <w:p w:rsidR="00000000" w:rsidRDefault="000C147A">
      <w:pPr>
        <w:ind w:hanging="360"/>
        <w:jc w:val="both"/>
        <w:divId w:val="454451038"/>
        <w:rPr>
          <w:rFonts w:eastAsia="Times New Roman"/>
        </w:rPr>
      </w:pPr>
      <w:r>
        <w:rPr>
          <w:rFonts w:eastAsia="Times New Roman"/>
          <w:color w:val="000000"/>
          <w:sz w:val="20"/>
          <w:szCs w:val="20"/>
        </w:rPr>
        <w:t xml:space="preserve">•The Individual Retirement segment offers a diverse suite of variable annuity products which are primarily sold to affluent and high net worth individuals saving </w:t>
      </w:r>
      <w:r>
        <w:rPr>
          <w:rFonts w:eastAsia="Times New Roman"/>
          <w:color w:val="000000"/>
          <w:sz w:val="20"/>
          <w:szCs w:val="20"/>
        </w:rPr>
        <w:t>for retirement or seeking retirement income.</w:t>
      </w:r>
    </w:p>
    <w:p w:rsidR="00000000" w:rsidRDefault="000C147A">
      <w:pPr>
        <w:ind w:hanging="360"/>
        <w:jc w:val="both"/>
        <w:divId w:val="1013148329"/>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w:t>
      </w:r>
      <w:r>
        <w:rPr>
          <w:rFonts w:eastAsia="Times New Roman"/>
          <w:color w:val="000000"/>
          <w:sz w:val="20"/>
          <w:szCs w:val="20"/>
        </w:rPr>
        <w:t>m-sized businesses.</w:t>
      </w:r>
    </w:p>
    <w:p w:rsidR="00000000" w:rsidRDefault="000C147A">
      <w:pPr>
        <w:ind w:hanging="360"/>
        <w:jc w:val="both"/>
        <w:divId w:val="220412847"/>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w:t>
      </w:r>
      <w:r>
        <w:rPr>
          <w:rFonts w:eastAsia="Times New Roman"/>
          <w:color w:val="000000"/>
          <w:sz w:val="20"/>
          <w:szCs w:val="20"/>
        </w:rPr>
        <w:t>h Management - and distributes its institutional research products and solutions through Bernstein Research Services. The Investment Management and Research segment reflects the business of AllianceBernstein Holding L.P. (“AB Holding”), AllianceBernstein L</w:t>
      </w:r>
      <w:r>
        <w:rPr>
          <w:rFonts w:eastAsia="Times New Roman"/>
          <w:color w:val="000000"/>
          <w:sz w:val="20"/>
          <w:szCs w:val="20"/>
        </w:rPr>
        <w:t>.P. (“ABLP”) and their subsidiaries (collectively, “AB”).</w:t>
      </w:r>
    </w:p>
    <w:p w:rsidR="00000000" w:rsidRDefault="000C147A">
      <w:pPr>
        <w:ind w:hanging="360"/>
        <w:divId w:val="1109660223"/>
        <w:rPr>
          <w:rFonts w:eastAsia="Times New Roman"/>
        </w:rPr>
      </w:pPr>
      <w:r>
        <w:rPr>
          <w:rFonts w:eastAsia="Times New Roman"/>
          <w:color w:val="000000"/>
          <w:sz w:val="20"/>
          <w:szCs w:val="20"/>
        </w:rPr>
        <w:t>•The Protection Solutions segment includes the Company’s life insurance and group employee benefits businesses. The life insurance business offers a variety of variable universal life, indexed unive</w:t>
      </w:r>
      <w:r>
        <w:rPr>
          <w:rFonts w:eastAsia="Times New Roman"/>
          <w:color w:val="000000"/>
          <w:sz w:val="20"/>
          <w:szCs w:val="20"/>
        </w:rPr>
        <w:t>rsal life and term life products to help affluent and high net worth individuals, as well as small and medium-sized business owners, with their wealth protection, wealth transfer and corporate needs. Our group employee benefits business offers a suite of l</w:t>
      </w:r>
      <w:r>
        <w:rPr>
          <w:rFonts w:eastAsia="Times New Roman"/>
          <w:color w:val="000000"/>
          <w:sz w:val="20"/>
          <w:szCs w:val="20"/>
        </w:rPr>
        <w:t>ife, short- and long-term disability, dental and vision insurance products to small and medium-size businesses across the United States.</w:t>
      </w:r>
    </w:p>
    <w:p w:rsidR="00000000" w:rsidRDefault="000C147A">
      <w:pPr>
        <w:divId w:val="227150257"/>
        <w:rPr>
          <w:rFonts w:eastAsia="Times New Roman"/>
        </w:rPr>
      </w:pPr>
      <w:r>
        <w:rPr>
          <w:rFonts w:eastAsia="Times New Roman"/>
          <w:color w:val="000000"/>
          <w:sz w:val="20"/>
          <w:szCs w:val="20"/>
        </w:rPr>
        <w:t>The Company reports certain activities and items that are not included in our segments in Corporate and Other. Corporat</w:t>
      </w:r>
      <w:r>
        <w:rPr>
          <w:rFonts w:eastAsia="Times New Roman"/>
          <w:color w:val="000000"/>
          <w:sz w:val="20"/>
          <w:szCs w:val="20"/>
        </w:rPr>
        <w:t>e and Other includes certain of our financing and investment expenses. It also includes: Equitable Advisors, LLC (“Equitable Advisors”) broker-dealer business, closed block of life insurance (the “Closed Block”), run-off variable annuity reinsurance busine</w:t>
      </w:r>
      <w:r>
        <w:rPr>
          <w:rFonts w:eastAsia="Times New Roman"/>
          <w:color w:val="000000"/>
          <w:sz w:val="20"/>
          <w:szCs w:val="20"/>
        </w:rPr>
        <w:t>ss, run-off group pension business, run-off health business, benefit plans for our employees, certain strategic investments and certain unallocated items, including capital and related investments, interest expense and corporate expense. AB’s results of op</w:t>
      </w:r>
      <w:r>
        <w:rPr>
          <w:rFonts w:eastAsia="Times New Roman"/>
          <w:color w:val="000000"/>
          <w:sz w:val="20"/>
          <w:szCs w:val="20"/>
        </w:rPr>
        <w:t>erations are reflected in the Investment Management and Research segment. Accordingly, Corporate and Other does not include any items applicable to AB.</w:t>
      </w:r>
    </w:p>
    <w:p w:rsidR="00000000" w:rsidRDefault="000C147A">
      <w:pPr>
        <w:divId w:val="1260287171"/>
        <w:rPr>
          <w:rFonts w:eastAsia="Times New Roman"/>
        </w:rPr>
      </w:pPr>
      <w:r>
        <w:rPr>
          <w:rFonts w:eastAsia="Times New Roman"/>
          <w:color w:val="000000"/>
          <w:sz w:val="20"/>
          <w:szCs w:val="20"/>
        </w:rPr>
        <w:t>At both September 30, 2020 and December 31, 2019, the Company’s economic interest in AB was approximatel</w:t>
      </w:r>
      <w:r>
        <w:rPr>
          <w:rFonts w:eastAsia="Times New Roman"/>
          <w:color w:val="000000"/>
          <w:sz w:val="20"/>
          <w:szCs w:val="20"/>
        </w:rPr>
        <w:t>y 65%. The general partner of AB, AllianceBernstein Corporation (the “General Partner”), is a wholly-owned subsidiary of the Company. Because the General Partner has the authority to manage and control the business of AB, AB is consolidated in the Company’</w:t>
      </w:r>
      <w:r>
        <w:rPr>
          <w:rFonts w:eastAsia="Times New Roman"/>
          <w:color w:val="000000"/>
          <w:sz w:val="20"/>
          <w:szCs w:val="20"/>
        </w:rPr>
        <w:t>s financial statements for all periods.</w:t>
      </w:r>
    </w:p>
    <w:p w:rsidR="00000000" w:rsidRDefault="000C147A">
      <w:pPr>
        <w:divId w:val="427584518"/>
        <w:rPr>
          <w:rFonts w:eastAsia="Times New Roman"/>
        </w:rPr>
      </w:pPr>
      <w:r>
        <w:rPr>
          <w:rFonts w:eastAsia="Times New Roman"/>
          <w:color w:val="000000"/>
          <w:sz w:val="20"/>
          <w:szCs w:val="20"/>
          <w:u w:val="single"/>
        </w:rPr>
        <w:t>Sale of U.S. Financial Life Insurance Company and MONY Life Insurance Company of the Americas, Ltd</w:t>
      </w:r>
    </w:p>
    <w:p w:rsidR="00000000" w:rsidRDefault="000C147A">
      <w:pPr>
        <w:divId w:val="980573470"/>
        <w:rPr>
          <w:rFonts w:eastAsia="Times New Roman"/>
        </w:rPr>
      </w:pPr>
      <w:r>
        <w:rPr>
          <w:rFonts w:eastAsia="Times New Roman"/>
          <w:color w:val="000000"/>
          <w:sz w:val="20"/>
          <w:szCs w:val="20"/>
        </w:rPr>
        <w:t>On December 10, 2019, Holdings entered into a definitive agreement to sell U.S. Financial Life Insurance Company (“US</w:t>
      </w:r>
      <w:r>
        <w:rPr>
          <w:rFonts w:eastAsia="Times New Roman"/>
          <w:color w:val="000000"/>
          <w:sz w:val="20"/>
          <w:szCs w:val="20"/>
        </w:rPr>
        <w:t>FL”) and MONY Life Insurance Company of the Americas, Ltd (“MLICA”), indirect wholly-owned subsidiaries of Holdings. The transaction closed on April 1, 2020. Accordingly, the Company recognized an impairment loss in Investment gains (losses), net, in the c</w:t>
      </w:r>
      <w:r>
        <w:rPr>
          <w:rFonts w:eastAsia="Times New Roman"/>
          <w:color w:val="000000"/>
          <w:sz w:val="20"/>
          <w:szCs w:val="20"/>
        </w:rPr>
        <w:t>onsolidated statements of income (loss) of $39 million and $105 million, net of income tax, during the nine months ended September 30, 2020 and year ended December 31, 2019, respectively. In addition, the assets and liabilities of USFL and MLICA were repor</w:t>
      </w:r>
      <w:r>
        <w:rPr>
          <w:rFonts w:eastAsia="Times New Roman"/>
          <w:color w:val="000000"/>
          <w:sz w:val="20"/>
          <w:szCs w:val="20"/>
        </w:rPr>
        <w:t xml:space="preserve">ted as “held-for-sale” in the Company’s consolidated balance sheets from December 31, 2019 through the date the transaction closed. The assets held-for-sale were reported in the Protection Solutions segment as of December 31, 2019. </w:t>
      </w:r>
    </w:p>
    <w:p w:rsidR="00000000" w:rsidRDefault="000C147A">
      <w:pPr>
        <w:divId w:val="1772041290"/>
        <w:rPr>
          <w:rFonts w:eastAsia="Times New Roman"/>
        </w:rPr>
      </w:pPr>
      <w:r>
        <w:rPr>
          <w:rFonts w:eastAsia="Times New Roman"/>
          <w:b/>
          <w:bCs/>
          <w:color w:val="000000"/>
          <w:sz w:val="20"/>
          <w:szCs w:val="20"/>
        </w:rPr>
        <w:t>2)     SIGNIFICANT ACCO</w:t>
      </w:r>
      <w:r>
        <w:rPr>
          <w:rFonts w:eastAsia="Times New Roman"/>
          <w:b/>
          <w:bCs/>
          <w:color w:val="000000"/>
          <w:sz w:val="20"/>
          <w:szCs w:val="20"/>
        </w:rPr>
        <w:t xml:space="preserve">UNTING POLICIES </w:t>
      </w:r>
    </w:p>
    <w:p w:rsidR="00000000" w:rsidRDefault="000C147A">
      <w:pPr>
        <w:divId w:val="224266695"/>
        <w:rPr>
          <w:rFonts w:eastAsia="Times New Roman"/>
        </w:rPr>
      </w:pPr>
      <w:r>
        <w:rPr>
          <w:rFonts w:eastAsia="Times New Roman"/>
          <w:color w:val="000000"/>
          <w:sz w:val="20"/>
          <w:szCs w:val="20"/>
          <w:u w:val="single"/>
        </w:rPr>
        <w:t>Basis of Presentation and Principles of Consolidation</w:t>
      </w:r>
    </w:p>
    <w:p w:rsidR="00000000" w:rsidRDefault="000C147A">
      <w:pPr>
        <w:divId w:val="635376380"/>
        <w:rPr>
          <w:rFonts w:eastAsia="Times New Roman"/>
        </w:rPr>
      </w:pPr>
      <w:r>
        <w:rPr>
          <w:rFonts w:eastAsia="Times New Roman"/>
          <w:color w:val="000000"/>
          <w:sz w:val="20"/>
          <w:szCs w:val="20"/>
        </w:rPr>
        <w:t>The unaudited interim consolidated financial statements (the “consolidated financial statements”) have been prepared in conformity with accounting principles generally accepted in the U</w:t>
      </w:r>
      <w:r>
        <w:rPr>
          <w:rFonts w:eastAsia="Times New Roman"/>
          <w:color w:val="000000"/>
          <w:sz w:val="20"/>
          <w:szCs w:val="20"/>
        </w:rPr>
        <w:t xml:space="preserve">nited States of America (“U.S. GAAP” or “GAAP”) on a basis consistent with reporting interim financial information in accordance with instructions to the Form 10-Q and Article 10 of Regulation S-X of the Securities and Exchange Commission (“SEC”). </w:t>
      </w:r>
    </w:p>
    <w:p w:rsidR="00000000" w:rsidRDefault="000C147A">
      <w:pPr>
        <w:jc w:val="center"/>
        <w:divId w:val="1487550849"/>
        <w:rPr>
          <w:rFonts w:eastAsia="Times New Roman"/>
        </w:rPr>
      </w:pPr>
      <w:r>
        <w:rPr>
          <w:rFonts w:eastAsia="Times New Roman"/>
          <w:color w:val="000000"/>
          <w:sz w:val="20"/>
          <w:szCs w:val="20"/>
        </w:rPr>
        <w:t>11</w:t>
      </w:r>
    </w:p>
    <w:p w:rsidR="00000000" w:rsidRDefault="000C147A">
      <w:pPr>
        <w:rPr>
          <w:rFonts w:eastAsia="Times New Roman"/>
        </w:rPr>
      </w:pPr>
      <w:r>
        <w:rPr>
          <w:rFonts w:eastAsia="Times New Roman"/>
        </w:rPr>
        <w:pict>
          <v:rect id="_x0000_i1037" style="width:0;height:1.5pt" o:hralign="center" o:hrstd="t" o:hr="t" fillcolor="#a0a0a0" stroked="f"/>
        </w:pict>
      </w:r>
    </w:p>
    <w:p w:rsidR="00000000" w:rsidRDefault="000C147A">
      <w:pPr>
        <w:jc w:val="center"/>
        <w:divId w:val="604463640"/>
        <w:rPr>
          <w:rFonts w:eastAsia="Times New Roman"/>
        </w:rPr>
      </w:pPr>
      <w:r>
        <w:rPr>
          <w:rFonts w:eastAsia="Times New Roman"/>
          <w:b/>
          <w:bCs/>
          <w:color w:val="000000"/>
          <w:sz w:val="20"/>
          <w:szCs w:val="20"/>
        </w:rPr>
        <w:t>EQUITABLE HOLDINGS, INC.</w:t>
      </w:r>
    </w:p>
    <w:p w:rsidR="00000000" w:rsidRDefault="000C147A">
      <w:pPr>
        <w:jc w:val="center"/>
        <w:divId w:val="604463640"/>
        <w:rPr>
          <w:rFonts w:eastAsia="Times New Roman"/>
        </w:rPr>
      </w:pPr>
      <w:r>
        <w:rPr>
          <w:rFonts w:eastAsia="Times New Roman"/>
          <w:b/>
          <w:bCs/>
          <w:color w:val="000000"/>
          <w:sz w:val="20"/>
          <w:szCs w:val="20"/>
        </w:rPr>
        <w:t>Notes to Consolidated Financial Statements (Unaudited), Continued</w:t>
      </w:r>
    </w:p>
    <w:p w:rsidR="00000000" w:rsidRDefault="000C147A">
      <w:pPr>
        <w:divId w:val="1191991546"/>
        <w:rPr>
          <w:rFonts w:eastAsia="Times New Roman"/>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 with the exception of the Company’s update of its inter</w:t>
      </w:r>
      <w:r>
        <w:rPr>
          <w:rFonts w:eastAsia="Times New Roman"/>
          <w:color w:val="000000"/>
          <w:sz w:val="20"/>
          <w:szCs w:val="20"/>
        </w:rPr>
        <w:t>est rate assumption and adoption of new economic scenario generator as further described below in Assumption Updates and Model Changes. Interim results are not necessarily indicative of the results that may be expected for the full year. These financial st</w:t>
      </w:r>
      <w:r>
        <w:rPr>
          <w:rFonts w:eastAsia="Times New Roman"/>
          <w:color w:val="000000"/>
          <w:sz w:val="20"/>
          <w:szCs w:val="20"/>
        </w:rPr>
        <w:t xml:space="preserve">atements should be read in conjunction with the Company’s consolidated financial statements included in the Company’s Annual Report on Form 10-K for the year ended December 31, 2019. </w:t>
      </w:r>
    </w:p>
    <w:p w:rsidR="00000000" w:rsidRDefault="000C147A">
      <w:pPr>
        <w:divId w:val="449201774"/>
        <w:rPr>
          <w:rFonts w:eastAsia="Times New Roman"/>
        </w:rPr>
      </w:pPr>
      <w:r>
        <w:rPr>
          <w:rFonts w:eastAsia="Times New Roman"/>
          <w:color w:val="000000"/>
          <w:sz w:val="20"/>
          <w:szCs w:val="20"/>
        </w:rPr>
        <w:t>The accompanying unaudited consolidated financial statements present the</w:t>
      </w:r>
      <w:r>
        <w:rPr>
          <w:rFonts w:eastAsia="Times New Roman"/>
          <w:color w:val="000000"/>
          <w:sz w:val="20"/>
          <w:szCs w:val="20"/>
        </w:rPr>
        <w:t xml:space="preserve"> consolidated results of operations, financial condition, and cash flows of the Company and its subsidiaries and those investment companies, partnerships and joint ventures in which the Company has control and a majority economic interest as well as those </w:t>
      </w:r>
      <w:r>
        <w:rPr>
          <w:rFonts w:eastAsia="Times New Roman"/>
          <w:color w:val="000000"/>
          <w:sz w:val="20"/>
          <w:szCs w:val="20"/>
        </w:rPr>
        <w:t xml:space="preserve">variable interest entities (“VIEs”) that meet the requirements for consolidation. </w:t>
      </w:r>
    </w:p>
    <w:p w:rsidR="00000000" w:rsidRDefault="000C147A">
      <w:pPr>
        <w:divId w:val="406466585"/>
        <w:rPr>
          <w:rFonts w:eastAsia="Times New Roman"/>
        </w:rPr>
      </w:pPr>
      <w:r>
        <w:rPr>
          <w:rFonts w:eastAsia="Times New Roman"/>
          <w:color w:val="000000"/>
          <w:sz w:val="20"/>
          <w:szCs w:val="20"/>
        </w:rPr>
        <w:t>All significant intercompany transactions and balances have been eliminated in consolidation. The terms “third quarter 2020” and “third quarter 2019” refer to the three mont</w:t>
      </w:r>
      <w:r>
        <w:rPr>
          <w:rFonts w:eastAsia="Times New Roman"/>
          <w:color w:val="000000"/>
          <w:sz w:val="20"/>
          <w:szCs w:val="20"/>
        </w:rPr>
        <w:t>hs ended September 30, 2020 and 2019, respectively. The terms “first nine months of 2020” and “first nine months of 2019” refer to the nine months ended September 30, 2020 and 2019, respectively.</w:t>
      </w:r>
    </w:p>
    <w:p w:rsidR="00000000" w:rsidRDefault="000C147A">
      <w:pPr>
        <w:divId w:val="1300571906"/>
        <w:rPr>
          <w:rFonts w:eastAsia="Times New Roman"/>
        </w:rPr>
      </w:pPr>
      <w:r>
        <w:rPr>
          <w:rFonts w:eastAsia="Times New Roman"/>
          <w:color w:val="000000"/>
          <w:sz w:val="20"/>
          <w:szCs w:val="20"/>
        </w:rPr>
        <w:t>Certain prior year amounts have been reclassified to conform</w:t>
      </w:r>
      <w:r>
        <w:rPr>
          <w:rFonts w:eastAsia="Times New Roman"/>
          <w:color w:val="000000"/>
          <w:sz w:val="20"/>
          <w:szCs w:val="20"/>
        </w:rPr>
        <w:t xml:space="preserve"> to the current year’s presentation. </w:t>
      </w:r>
    </w:p>
    <w:p w:rsidR="00000000" w:rsidRDefault="000C147A">
      <w:pPr>
        <w:divId w:val="251623636"/>
        <w:rPr>
          <w:rFonts w:eastAsia="Times New Roman"/>
        </w:rPr>
      </w:pPr>
    </w:p>
    <w:p w:rsidR="00000000" w:rsidRDefault="000C147A">
      <w:pPr>
        <w:divId w:val="336737657"/>
        <w:rPr>
          <w:rFonts w:eastAsia="Times New Roman"/>
        </w:rPr>
      </w:pPr>
      <w:r>
        <w:rPr>
          <w:rFonts w:eastAsia="Times New Roman"/>
          <w:color w:val="000000"/>
          <w:sz w:val="20"/>
          <w:szCs w:val="20"/>
          <w:u w:val="single"/>
        </w:rPr>
        <w:t>Adoption of New Accounting Pronouncements</w:t>
      </w:r>
    </w:p>
    <w:tbl>
      <w:tblPr>
        <w:tblW w:w="4649" w:type="pct"/>
        <w:tblCellMar>
          <w:top w:w="15" w:type="dxa"/>
          <w:left w:w="15" w:type="dxa"/>
          <w:bottom w:w="15" w:type="dxa"/>
          <w:right w:w="15" w:type="dxa"/>
        </w:tblCellMar>
        <w:tblLook w:val="04A0" w:firstRow="1" w:lastRow="0" w:firstColumn="1" w:lastColumn="0" w:noHBand="0" w:noVBand="1"/>
      </w:tblPr>
      <w:tblGrid>
        <w:gridCol w:w="62"/>
        <w:gridCol w:w="3750"/>
        <w:gridCol w:w="38"/>
        <w:gridCol w:w="63"/>
        <w:gridCol w:w="3773"/>
        <w:gridCol w:w="37"/>
      </w:tblGrid>
      <w:tr w:rsidR="00000000">
        <w:trPr>
          <w:divId w:val="1763457031"/>
        </w:trPr>
        <w:tc>
          <w:tcPr>
            <w:tcW w:w="50" w:type="pct"/>
            <w:vAlign w:val="center"/>
            <w:hideMark/>
          </w:tcPr>
          <w:p w:rsidR="00000000" w:rsidRDefault="000C147A">
            <w:pPr>
              <w:rPr>
                <w:rFonts w:eastAsia="Times New Roman"/>
              </w:rPr>
            </w:pPr>
          </w:p>
        </w:tc>
        <w:tc>
          <w:tcPr>
            <w:tcW w:w="243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45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63457031"/>
        </w:trPr>
        <w:tc>
          <w:tcPr>
            <w:tcW w:w="0" w:type="auto"/>
            <w:gridSpan w:val="3"/>
            <w:tcBorders>
              <w:top w:val="single" w:sz="8" w:space="0" w:color="000000"/>
              <w:left w:val="single" w:sz="8" w:space="0" w:color="000000"/>
              <w:bottom w:val="single" w:sz="8" w:space="0" w:color="B3B3B3"/>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left w:val="single" w:sz="8" w:space="0" w:color="000000"/>
              <w:bottom w:val="single" w:sz="8" w:space="0" w:color="B3B3B3"/>
              <w:right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Effect on the Financial Statement or Other Significant Matters</w:t>
            </w:r>
          </w:p>
        </w:tc>
      </w:tr>
      <w:tr w:rsidR="00000000">
        <w:trPr>
          <w:divId w:val="1763457031"/>
        </w:trPr>
        <w:tc>
          <w:tcPr>
            <w:tcW w:w="0" w:type="auto"/>
            <w:gridSpan w:val="6"/>
            <w:tcBorders>
              <w:top w:val="single" w:sz="8" w:space="0" w:color="B3B3B3"/>
              <w:left w:val="single" w:sz="8" w:space="0" w:color="B3B3B3"/>
              <w:right w:val="single" w:sz="8" w:space="0" w:color="B3B3B3"/>
            </w:tcBorders>
            <w:tcMar>
              <w:top w:w="30" w:type="dxa"/>
              <w:left w:w="20" w:type="dxa"/>
              <w:bottom w:w="30" w:type="dxa"/>
              <w:right w:w="20" w:type="dxa"/>
            </w:tcMar>
            <w:hideMark/>
          </w:tcPr>
          <w:p w:rsidR="00000000" w:rsidRDefault="000C147A">
            <w:pPr>
              <w:divId w:val="103692144"/>
              <w:rPr>
                <w:rFonts w:eastAsia="Times New Roman"/>
              </w:rPr>
            </w:pPr>
            <w:r>
              <w:rPr>
                <w:rFonts w:eastAsia="Times New Roman"/>
                <w:b/>
                <w:bCs/>
                <w:i/>
                <w:iCs/>
                <w:color w:val="000000"/>
                <w:sz w:val="18"/>
                <w:szCs w:val="18"/>
              </w:rPr>
              <w:t>ASU 2016-13</w:t>
            </w:r>
            <w:r>
              <w:rPr>
                <w:rFonts w:eastAsia="Times New Roman"/>
                <w:i/>
                <w:iCs/>
                <w:color w:val="000000"/>
                <w:sz w:val="18"/>
                <w:szCs w:val="18"/>
              </w:rPr>
              <w:t>: Financial Instruments—Credit Losses (Topic 326), </w:t>
            </w:r>
            <w:r>
              <w:rPr>
                <w:rFonts w:eastAsia="Times New Roman"/>
                <w:i/>
                <w:iCs/>
                <w:color w:val="000000"/>
                <w:sz w:val="18"/>
                <w:szCs w:val="18"/>
              </w:rPr>
              <w:t>as clarified and amended by ASU 2018-19: Codification Improvements to Topic 326, Financial Instruments—Credit Losses, ASU 2019-04: Codification Improvements to Topic 326, Financial Instruments—Credit Losses, Topic 815, Derivatives and Hedging, and Topic 82</w:t>
            </w:r>
            <w:r>
              <w:rPr>
                <w:rFonts w:eastAsia="Times New Roman"/>
                <w:i/>
                <w:iCs/>
                <w:color w:val="000000"/>
                <w:sz w:val="18"/>
                <w:szCs w:val="18"/>
              </w:rPr>
              <w:t>5, Financial Instruments and ASU 2019-05: Financial Instruments—Credit Losses (Topic 326) Targeted Transition Relief, ASU 2019-11: Codification Improvements to Topic 326, Financial Instruments—Credit Losses</w:t>
            </w:r>
          </w:p>
        </w:tc>
      </w:tr>
      <w:tr w:rsidR="00000000">
        <w:trPr>
          <w:divId w:val="1763457031"/>
        </w:trPr>
        <w:tc>
          <w:tcPr>
            <w:tcW w:w="0" w:type="auto"/>
            <w:gridSpan w:val="3"/>
            <w:tcBorders>
              <w:top w:val="single" w:sz="8" w:space="0" w:color="B3B3B3"/>
              <w:left w:val="single" w:sz="8" w:space="0" w:color="000000"/>
            </w:tcBorders>
            <w:tcMar>
              <w:top w:w="30" w:type="dxa"/>
              <w:left w:w="20" w:type="dxa"/>
              <w:bottom w:w="30" w:type="dxa"/>
              <w:right w:w="20" w:type="dxa"/>
            </w:tcMar>
            <w:hideMark/>
          </w:tcPr>
          <w:p w:rsidR="00000000" w:rsidRDefault="000C147A">
            <w:pPr>
              <w:divId w:val="1602489805"/>
              <w:rPr>
                <w:rFonts w:eastAsia="Times New Roman"/>
              </w:rPr>
            </w:pPr>
            <w:r>
              <w:rPr>
                <w:rFonts w:eastAsia="Times New Roman"/>
                <w:color w:val="000000"/>
                <w:sz w:val="18"/>
                <w:szCs w:val="18"/>
              </w:rPr>
              <w:t>ASU 2016-13 contains new guidance which int</w:t>
            </w:r>
            <w:r>
              <w:rPr>
                <w:rFonts w:eastAsia="Times New Roman"/>
                <w:color w:val="000000"/>
                <w:sz w:val="18"/>
                <w:szCs w:val="18"/>
              </w:rPr>
              <w:t>roduces an approach based on expected losses to estimate credit losses on certain types of financial instruments. It also modifies the impairment model for available-for-sale debt securities and provides for a simplified accounting model for purchased fina</w:t>
            </w:r>
            <w:r>
              <w:rPr>
                <w:rFonts w:eastAsia="Times New Roman"/>
                <w:color w:val="000000"/>
                <w:sz w:val="18"/>
                <w:szCs w:val="18"/>
              </w:rPr>
              <w:t>ncial assets with credit deterioration since their origination.</w:t>
            </w:r>
          </w:p>
          <w:p w:rsidR="00000000" w:rsidRDefault="000C147A">
            <w:pPr>
              <w:divId w:val="32729092"/>
              <w:rPr>
                <w:rFonts w:eastAsia="Times New Roman"/>
              </w:rPr>
            </w:pPr>
          </w:p>
          <w:p w:rsidR="00000000" w:rsidRDefault="000C147A">
            <w:pPr>
              <w:divId w:val="424807854"/>
              <w:rPr>
                <w:rFonts w:eastAsia="Times New Roman"/>
              </w:rPr>
            </w:pPr>
            <w:r>
              <w:rPr>
                <w:rFonts w:eastAsia="Times New Roman"/>
                <w:color w:val="000000"/>
                <w:sz w:val="18"/>
                <w:szCs w:val="18"/>
              </w:rPr>
              <w:t>ASU 2019-05 provides entities that have instruments within the scope of Subtopic 326-20 an option to irrevocably elect the fair value option on an instrument-by-instrument basis upon adoptio</w:t>
            </w:r>
            <w:r>
              <w:rPr>
                <w:rFonts w:eastAsia="Times New Roman"/>
                <w:color w:val="000000"/>
                <w:sz w:val="18"/>
                <w:szCs w:val="18"/>
              </w:rPr>
              <w:t xml:space="preserve">n of Topic 326. </w:t>
            </w:r>
          </w:p>
          <w:p w:rsidR="00000000" w:rsidRDefault="000C147A">
            <w:pPr>
              <w:divId w:val="1743789796"/>
              <w:rPr>
                <w:rFonts w:eastAsia="Times New Roman"/>
              </w:rPr>
            </w:pPr>
          </w:p>
          <w:p w:rsidR="00000000" w:rsidRDefault="000C147A">
            <w:pPr>
              <w:divId w:val="254559709"/>
              <w:rPr>
                <w:rFonts w:eastAsia="Times New Roman"/>
              </w:rPr>
            </w:pPr>
            <w:r>
              <w:rPr>
                <w:rFonts w:eastAsia="Times New Roman"/>
                <w:color w:val="000000"/>
                <w:sz w:val="18"/>
                <w:szCs w:val="18"/>
              </w:rPr>
              <w:t>ASU 2018-19, ASU 2019-04 and ASU 2019-11 clarified the codification guidance and did not materially change the standard.</w:t>
            </w:r>
          </w:p>
          <w:p w:rsidR="00000000" w:rsidRDefault="000C147A">
            <w:pPr>
              <w:divId w:val="1260259979"/>
              <w:rPr>
                <w:rFonts w:eastAsia="Times New Roman"/>
              </w:rPr>
            </w:pPr>
          </w:p>
        </w:tc>
        <w:tc>
          <w:tcPr>
            <w:tcW w:w="0" w:type="auto"/>
            <w:gridSpan w:val="3"/>
            <w:tcBorders>
              <w:top w:val="single" w:sz="8" w:space="0" w:color="B3B3B3"/>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0C147A">
            <w:pPr>
              <w:rPr>
                <w:rFonts w:eastAsia="Times New Roman"/>
              </w:rPr>
            </w:pPr>
            <w:r>
              <w:rPr>
                <w:rFonts w:eastAsia="Times New Roman"/>
                <w:color w:val="000000"/>
                <w:sz w:val="18"/>
                <w:szCs w:val="18"/>
              </w:rPr>
              <w:t>On January 1, 2020, the Company adopted the new standard and completed implementation of its updated current exp</w:t>
            </w:r>
            <w:r>
              <w:rPr>
                <w:rFonts w:eastAsia="Times New Roman"/>
                <w:color w:val="000000"/>
                <w:sz w:val="18"/>
                <w:szCs w:val="18"/>
              </w:rPr>
              <w:t>ected credit losses (“CECL”) models, processes and controls related to the identified financial assets that fall within the scope of the new standard. Upon adoption, the Company recorded a cumulative effect adjustment to reduce the opening retained earning</w:t>
            </w:r>
            <w:r>
              <w:rPr>
                <w:rFonts w:eastAsia="Times New Roman"/>
                <w:color w:val="000000"/>
                <w:sz w:val="18"/>
                <w:szCs w:val="18"/>
              </w:rPr>
              <w:t>s balance by approximately $40 million, on a pre-tax and pre-DAC basis. The adjustment is primarily attributable to an increase in the allowance for credit losses associated with the Company’s commercial and agricultural mortgage loan portfolios and reinsu</w:t>
            </w:r>
            <w:r>
              <w:rPr>
                <w:rFonts w:eastAsia="Times New Roman"/>
                <w:color w:val="000000"/>
                <w:sz w:val="18"/>
                <w:szCs w:val="18"/>
              </w:rPr>
              <w:t>rance.</w:t>
            </w:r>
            <w:r>
              <w:rPr>
                <w:rFonts w:eastAsia="Times New Roman"/>
                <w:color w:val="000000"/>
                <w:sz w:val="18"/>
                <w:szCs w:val="18"/>
              </w:rPr>
              <w:br/>
            </w:r>
            <w:r>
              <w:rPr>
                <w:rFonts w:eastAsia="Times New Roman"/>
                <w:color w:val="000000"/>
                <w:sz w:val="18"/>
                <w:szCs w:val="18"/>
              </w:rPr>
              <w:br/>
              <w:t>Results for reporting periods beginning after January 1, 2020 are presented under ASU 2016-13 while prior period amounts continue to be reported in accordance with previously applicable GAAP.</w:t>
            </w:r>
          </w:p>
        </w:tc>
      </w:tr>
      <w:tr w:rsidR="00000000">
        <w:trPr>
          <w:divId w:val="1763457031"/>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2076658573"/>
              <w:rPr>
                <w:rFonts w:eastAsia="Times New Roman"/>
              </w:rPr>
            </w:pPr>
            <w:r>
              <w:rPr>
                <w:rFonts w:eastAsia="Times New Roman"/>
                <w:b/>
                <w:bCs/>
                <w:i/>
                <w:iCs/>
                <w:color w:val="000000"/>
                <w:sz w:val="18"/>
                <w:szCs w:val="18"/>
              </w:rPr>
              <w:t xml:space="preserve">ASU 2018-13: </w:t>
            </w:r>
            <w:r>
              <w:rPr>
                <w:rFonts w:eastAsia="Times New Roman"/>
                <w:i/>
                <w:iCs/>
                <w:color w:val="000000"/>
                <w:sz w:val="18"/>
                <w:szCs w:val="18"/>
              </w:rPr>
              <w:t>Fair Value Measurement (Topic 820)</w:t>
            </w:r>
          </w:p>
        </w:tc>
      </w:tr>
      <w:tr w:rsidR="00000000">
        <w:trPr>
          <w:divId w:val="1763457031"/>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0C147A">
            <w:pPr>
              <w:divId w:val="217284511"/>
              <w:rPr>
                <w:rFonts w:eastAsia="Times New Roman"/>
              </w:rPr>
            </w:pPr>
            <w:r>
              <w:rPr>
                <w:rFonts w:eastAsia="Times New Roman"/>
                <w:color w:val="000000"/>
                <w:sz w:val="18"/>
                <w:szCs w:val="18"/>
              </w:rPr>
              <w:t>This ASU improves the effectiveness of fair value disclosures in the notes to financial statements. Amendments in this ASU impact the disclosure requirements in Topic 820, including the removal, modification and addition to existing disclosure requirements</w:t>
            </w:r>
            <w:r>
              <w:rPr>
                <w:rFonts w:eastAsia="Times New Roman"/>
                <w:color w:val="000000"/>
                <w:sz w:val="18"/>
                <w:szCs w:val="18"/>
              </w:rPr>
              <w:t>.</w:t>
            </w:r>
          </w:p>
          <w:p w:rsidR="00000000" w:rsidRDefault="000C147A">
            <w:pPr>
              <w:divId w:val="698549049"/>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0C147A">
            <w:pPr>
              <w:divId w:val="395082047"/>
              <w:rPr>
                <w:rFonts w:eastAsia="Times New Roman"/>
              </w:rPr>
            </w:pPr>
            <w:r>
              <w:rPr>
                <w:rFonts w:eastAsia="Times New Roman"/>
                <w:color w:val="000000"/>
                <w:sz w:val="18"/>
                <w:szCs w:val="18"/>
              </w:rPr>
              <w:t xml:space="preserve">The Company elected to early adopt during 2019 the removal of disclosures relating to transfers between Level 1 and Level 2 of the fair value hierarchy, the policy for timing of transfers between levels and valuation processes for Level 3 fair value </w:t>
            </w:r>
            <w:r>
              <w:rPr>
                <w:rFonts w:eastAsia="Times New Roman"/>
                <w:color w:val="000000"/>
                <w:sz w:val="18"/>
                <w:szCs w:val="18"/>
              </w:rPr>
              <w:t>measurements. The Company adopted the additional disclosures related to Level 3 fair value information on January 1, 2020.</w:t>
            </w:r>
          </w:p>
        </w:tc>
      </w:tr>
      <w:tr w:rsidR="00000000">
        <w:trPr>
          <w:divId w:val="1763457031"/>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301614359"/>
              <w:rPr>
                <w:rFonts w:eastAsia="Times New Roman"/>
              </w:rPr>
            </w:pPr>
            <w:r>
              <w:rPr>
                <w:rFonts w:eastAsia="Times New Roman"/>
                <w:b/>
                <w:bCs/>
                <w:i/>
                <w:iCs/>
                <w:color w:val="000000"/>
                <w:sz w:val="18"/>
                <w:szCs w:val="18"/>
              </w:rPr>
              <w:t>ASU 2018-17</w:t>
            </w:r>
            <w:r>
              <w:rPr>
                <w:rFonts w:eastAsia="Times New Roman"/>
                <w:i/>
                <w:iCs/>
                <w:color w:val="000000"/>
                <w:sz w:val="18"/>
                <w:szCs w:val="18"/>
              </w:rPr>
              <w:t>: Consolidation (Topic 810): Targeted Improvements to Related Party Guidance for Variable Interest Entities</w:t>
            </w:r>
          </w:p>
        </w:tc>
      </w:tr>
      <w:tr w:rsidR="00000000">
        <w:trPr>
          <w:divId w:val="1763457031"/>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divId w:val="697893807"/>
              <w:rPr>
                <w:rFonts w:eastAsia="Times New Roman"/>
              </w:rPr>
            </w:pPr>
            <w:r>
              <w:rPr>
                <w:rFonts w:eastAsia="Times New Roman"/>
                <w:color w:val="000000"/>
                <w:sz w:val="18"/>
                <w:szCs w:val="18"/>
              </w:rPr>
              <w:t xml:space="preserve">This </w:t>
            </w:r>
            <w:r>
              <w:rPr>
                <w:rFonts w:eastAsia="Times New Roman"/>
                <w:color w:val="000000"/>
                <w:sz w:val="18"/>
                <w:szCs w:val="18"/>
              </w:rPr>
              <w:t>ASU provides guidance requiring that indirect interests held through related parties in common control arrangements be considered on a proportional basis for determining whether fees paid to decision makers and service providers are variable interests.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0C147A">
            <w:pPr>
              <w:divId w:val="1496187587"/>
              <w:rPr>
                <w:rFonts w:eastAsia="Times New Roman"/>
              </w:rPr>
            </w:pPr>
            <w:r>
              <w:rPr>
                <w:rFonts w:eastAsia="Times New Roman"/>
                <w:color w:val="000000"/>
                <w:sz w:val="18"/>
                <w:szCs w:val="18"/>
              </w:rPr>
              <w:t>T</w:t>
            </w:r>
            <w:r>
              <w:rPr>
                <w:rFonts w:eastAsia="Times New Roman"/>
                <w:color w:val="000000"/>
                <w:sz w:val="18"/>
                <w:szCs w:val="18"/>
              </w:rPr>
              <w:t>he Company adopted this new standard effective for January 1, 2020. Adoption of this standard did not materially impact the Company’s financial position or results of operations.</w:t>
            </w:r>
          </w:p>
        </w:tc>
      </w:tr>
    </w:tbl>
    <w:p w:rsidR="00000000" w:rsidRDefault="000C147A">
      <w:pPr>
        <w:divId w:val="1936091506"/>
        <w:rPr>
          <w:rFonts w:eastAsia="Times New Roman"/>
        </w:rPr>
      </w:pPr>
    </w:p>
    <w:p w:rsidR="00000000" w:rsidRDefault="000C147A">
      <w:pPr>
        <w:divId w:val="1427728882"/>
        <w:rPr>
          <w:rFonts w:eastAsia="Times New Roman"/>
        </w:rPr>
      </w:pPr>
      <w:r>
        <w:rPr>
          <w:rFonts w:eastAsia="Times New Roman"/>
          <w:color w:val="000000"/>
          <w:sz w:val="20"/>
          <w:szCs w:val="20"/>
          <w:u w:val="single"/>
        </w:rPr>
        <w:t>Future Adoption of New Accounting Pronouncements</w:t>
      </w:r>
    </w:p>
    <w:p w:rsidR="00000000" w:rsidRDefault="000C147A">
      <w:pPr>
        <w:jc w:val="center"/>
        <w:divId w:val="66727677"/>
        <w:rPr>
          <w:rFonts w:eastAsia="Times New Roman"/>
        </w:rPr>
      </w:pPr>
      <w:r>
        <w:rPr>
          <w:rFonts w:eastAsia="Times New Roman"/>
          <w:color w:val="000000"/>
          <w:sz w:val="20"/>
          <w:szCs w:val="20"/>
        </w:rPr>
        <w:t>12</w:t>
      </w:r>
    </w:p>
    <w:p w:rsidR="00000000" w:rsidRDefault="000C147A">
      <w:pPr>
        <w:rPr>
          <w:rFonts w:eastAsia="Times New Roman"/>
        </w:rPr>
      </w:pPr>
      <w:r>
        <w:rPr>
          <w:rFonts w:eastAsia="Times New Roman"/>
        </w:rPr>
        <w:pict>
          <v:rect id="_x0000_i1038" style="width:0;height:1.5pt" o:hralign="center" o:hrstd="t" o:hr="t" fillcolor="#a0a0a0" stroked="f"/>
        </w:pict>
      </w:r>
    </w:p>
    <w:p w:rsidR="00000000" w:rsidRDefault="000C147A">
      <w:pPr>
        <w:jc w:val="center"/>
        <w:divId w:val="721902458"/>
        <w:rPr>
          <w:rFonts w:eastAsia="Times New Roman"/>
        </w:rPr>
      </w:pPr>
      <w:r>
        <w:rPr>
          <w:rFonts w:eastAsia="Times New Roman"/>
          <w:b/>
          <w:bCs/>
          <w:color w:val="000000"/>
          <w:sz w:val="20"/>
          <w:szCs w:val="20"/>
        </w:rPr>
        <w:t>EQUITABLE HOLDINGS, INC.</w:t>
      </w:r>
    </w:p>
    <w:p w:rsidR="00000000" w:rsidRDefault="000C147A">
      <w:pPr>
        <w:jc w:val="center"/>
        <w:divId w:val="721902458"/>
        <w:rPr>
          <w:rFonts w:eastAsia="Times New Roman"/>
        </w:rPr>
      </w:pPr>
      <w:r>
        <w:rPr>
          <w:rFonts w:eastAsia="Times New Roman"/>
          <w:b/>
          <w:bCs/>
          <w:color w:val="000000"/>
          <w:sz w:val="20"/>
          <w:szCs w:val="20"/>
        </w:rPr>
        <w:t>Notes to Consolidated Financial Statements (Unaudited), Continued</w:t>
      </w:r>
    </w:p>
    <w:tbl>
      <w:tblPr>
        <w:tblW w:w="4649" w:type="pct"/>
        <w:tblCellMar>
          <w:top w:w="15" w:type="dxa"/>
          <w:left w:w="15" w:type="dxa"/>
          <w:bottom w:w="15" w:type="dxa"/>
          <w:right w:w="15" w:type="dxa"/>
        </w:tblCellMar>
        <w:tblLook w:val="04A0" w:firstRow="1" w:lastRow="0" w:firstColumn="1" w:lastColumn="0" w:noHBand="0" w:noVBand="1"/>
      </w:tblPr>
      <w:tblGrid>
        <w:gridCol w:w="62"/>
        <w:gridCol w:w="2475"/>
        <w:gridCol w:w="37"/>
        <w:gridCol w:w="62"/>
        <w:gridCol w:w="2475"/>
        <w:gridCol w:w="38"/>
        <w:gridCol w:w="62"/>
        <w:gridCol w:w="2475"/>
        <w:gridCol w:w="37"/>
      </w:tblGrid>
      <w:tr w:rsidR="00000000">
        <w:trPr>
          <w:divId w:val="2036037183"/>
        </w:trPr>
        <w:tc>
          <w:tcPr>
            <w:tcW w:w="50" w:type="pct"/>
            <w:vAlign w:val="center"/>
            <w:hideMark/>
          </w:tcPr>
          <w:p w:rsidR="00000000" w:rsidRDefault="000C147A">
            <w:pPr>
              <w:jc w:val="center"/>
              <w:rPr>
                <w:rFonts w:eastAsia="Times New Roman"/>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0360371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Description</w:t>
            </w:r>
          </w:p>
          <w:p w:rsidR="00000000" w:rsidRDefault="000C147A">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Effective Date and Method of Adoption</w:t>
            </w:r>
          </w:p>
          <w:p w:rsidR="00000000" w:rsidRDefault="000C147A">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Effect on the Financial Statement or Other Significant Matters</w:t>
            </w:r>
          </w:p>
          <w:p w:rsidR="00000000" w:rsidRDefault="000C147A">
            <w:pPr>
              <w:jc w:val="center"/>
              <w:rPr>
                <w:rFonts w:eastAsia="Times New Roman"/>
              </w:rPr>
            </w:pPr>
          </w:p>
        </w:tc>
      </w:tr>
      <w:tr w:rsidR="00000000">
        <w:trPr>
          <w:divId w:val="2036037183"/>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1826824469"/>
              <w:rPr>
                <w:rFonts w:eastAsia="Times New Roman"/>
              </w:rPr>
            </w:pPr>
            <w:r>
              <w:rPr>
                <w:rFonts w:eastAsia="Times New Roman"/>
                <w:b/>
                <w:bCs/>
                <w:color w:val="000000"/>
                <w:sz w:val="18"/>
                <w:szCs w:val="18"/>
              </w:rPr>
              <w:t>ASU 2018-12:</w:t>
            </w:r>
            <w:r>
              <w:rPr>
                <w:rFonts w:eastAsia="Times New Roman"/>
                <w:b/>
                <w:bCs/>
                <w:i/>
                <w:iCs/>
                <w:color w:val="000000"/>
                <w:sz w:val="18"/>
                <w:szCs w:val="18"/>
              </w:rPr>
              <w:t xml:space="preserve"> </w:t>
            </w:r>
            <w:r>
              <w:rPr>
                <w:rFonts w:eastAsia="Times New Roman"/>
                <w:i/>
                <w:iCs/>
                <w:color w:val="000000"/>
                <w:sz w:val="18"/>
                <w:szCs w:val="18"/>
              </w:rPr>
              <w:t xml:space="preserve">Financial Services - Insurance (Topic 944); </w:t>
            </w:r>
            <w:r>
              <w:rPr>
                <w:rFonts w:eastAsia="Times New Roman"/>
                <w:b/>
                <w:bCs/>
                <w:color w:val="000000"/>
                <w:sz w:val="18"/>
                <w:szCs w:val="18"/>
              </w:rPr>
              <w:t>ASU 2019-09:</w:t>
            </w:r>
            <w:r>
              <w:rPr>
                <w:rFonts w:eastAsia="Times New Roman"/>
                <w:color w:val="000000"/>
                <w:sz w:val="18"/>
                <w:szCs w:val="18"/>
              </w:rPr>
              <w:t xml:space="preserve"> </w:t>
            </w:r>
            <w:r>
              <w:rPr>
                <w:rFonts w:eastAsia="Times New Roman"/>
                <w:i/>
                <w:iCs/>
                <w:color w:val="000000"/>
                <w:sz w:val="18"/>
                <w:szCs w:val="18"/>
              </w:rPr>
              <w:t>Financial Services - Insurance (Topic 944): Effective Date</w:t>
            </w:r>
          </w:p>
        </w:tc>
      </w:tr>
      <w:tr w:rsidR="00000000">
        <w:trPr>
          <w:divId w:val="2036037183"/>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0C147A">
            <w:pPr>
              <w:divId w:val="1054354680"/>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0C147A">
            <w:pPr>
              <w:divId w:val="1235431373"/>
              <w:rPr>
                <w:rFonts w:eastAsia="Times New Roman"/>
              </w:rPr>
            </w:pPr>
          </w:p>
          <w:p w:rsidR="00000000" w:rsidRDefault="000C147A">
            <w:pPr>
              <w:divId w:val="1395202594"/>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0C147A">
            <w:pPr>
              <w:divId w:val="349919357"/>
              <w:rPr>
                <w:rFonts w:eastAsia="Times New Roman"/>
              </w:rPr>
            </w:pPr>
            <w:r>
              <w:rPr>
                <w:rFonts w:eastAsia="Times New Roman"/>
                <w:color w:val="000000"/>
                <w:sz w:val="18"/>
                <w:szCs w:val="18"/>
              </w:rPr>
              <w:t xml:space="preserve">In November 2019, </w:t>
            </w:r>
            <w:r>
              <w:rPr>
                <w:rFonts w:eastAsia="Times New Roman"/>
                <w:color w:val="000000"/>
                <w:sz w:val="18"/>
                <w:szCs w:val="18"/>
              </w:rPr>
              <w:t>ASU 2019-09 was issued which modified ASU 2018-12 to be effective for fiscal years, and interim periods within those fiscal years, beginning after December 15, 2021. Early adoption is permitted. On September 30, 2020, the FASB tentatively affirmed its deci</w:t>
            </w:r>
            <w:r>
              <w:rPr>
                <w:rFonts w:eastAsia="Times New Roman"/>
                <w:color w:val="000000"/>
                <w:sz w:val="18"/>
                <w:szCs w:val="18"/>
              </w:rPr>
              <w:t>sion to defer the effective date of the amendments in ASU 2018-12, for all insurance entities by one year. Early adoption would still be allowed.</w:t>
            </w:r>
          </w:p>
          <w:p w:rsidR="00000000" w:rsidRDefault="000C147A">
            <w:pPr>
              <w:divId w:val="1563980808"/>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304509324"/>
              <w:rPr>
                <w:rFonts w:eastAsia="Times New Roman"/>
              </w:rPr>
            </w:pPr>
            <w:r>
              <w:rPr>
                <w:rFonts w:eastAsia="Times New Roman"/>
                <w:color w:val="000000"/>
                <w:sz w:val="18"/>
                <w:szCs w:val="18"/>
              </w:rPr>
              <w:t>The Company is currently evaluating the impact that adoption of this guidance will have on the Company’s c</w:t>
            </w:r>
            <w:r>
              <w:rPr>
                <w:rFonts w:eastAsia="Times New Roman"/>
                <w:color w:val="000000"/>
                <w:sz w:val="18"/>
                <w:szCs w:val="18"/>
              </w:rPr>
              <w:t>onsolidated financial statements, however the adoption of the ASU is expected to have a significant impact on the Company’s consolidated financial condition, results of operations, cash flows and required disclosures, as well as processes and controls.</w:t>
            </w:r>
          </w:p>
          <w:p w:rsidR="00000000" w:rsidRDefault="000C147A">
            <w:pPr>
              <w:divId w:val="736824700"/>
              <w:rPr>
                <w:rFonts w:eastAsia="Times New Roman"/>
              </w:rPr>
            </w:pPr>
          </w:p>
        </w:tc>
      </w:tr>
      <w:tr w:rsidR="00000000">
        <w:trPr>
          <w:divId w:val="20360371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divId w:val="1814785057"/>
              <w:rPr>
                <w:rFonts w:eastAsia="Times New Roman"/>
              </w:rPr>
            </w:pPr>
            <w:r>
              <w:rPr>
                <w:rFonts w:eastAsia="Times New Roman"/>
                <w:color w:val="000000"/>
                <w:sz w:val="18"/>
                <w:szCs w:val="18"/>
              </w:rPr>
              <w:t>1. Measurement of the liability for future policy benefits for traditional and limited payment contracts. The ASU requires companies to review, and if necessary, update cash flow assumptions at least annually for non-participating traditional and limite</w:t>
            </w:r>
            <w:r>
              <w:rPr>
                <w:rFonts w:eastAsia="Times New Roman"/>
                <w:color w:val="000000"/>
                <w:sz w:val="18"/>
                <w:szCs w:val="18"/>
              </w:rPr>
              <w:t>d-payment insurance contracts. Interest rates used to discount the liability will need to be updated quarterly using an upper medium grade (low credit risk) fixed-income instrument yield.</w:t>
            </w:r>
          </w:p>
          <w:p w:rsidR="00000000" w:rsidRDefault="000C147A">
            <w:pPr>
              <w:divId w:val="1231967492"/>
              <w:rPr>
                <w:rFonts w:eastAsia="Times New Roman"/>
              </w:rPr>
            </w:pPr>
            <w:r>
              <w:rPr>
                <w:rFonts w:eastAsia="Times New Roman"/>
                <w:color w:val="000000"/>
                <w:sz w:val="18"/>
                <w:szCs w:val="18"/>
              </w:rPr>
              <w:t>2. Measurement of market risk benefits (“MRBs”). MRBs, as defined un</w:t>
            </w:r>
            <w:r>
              <w:rPr>
                <w:rFonts w:eastAsia="Times New Roman"/>
                <w:color w:val="000000"/>
                <w:sz w:val="18"/>
                <w:szCs w:val="18"/>
              </w:rPr>
              <w:t>der the ASU, will encompass certain GMxB features associated with variable annuity products and other general account annuities with other than nominal market risk. The ASU requires MRBs to be measured at fair value with changes in value attributable to ch</w:t>
            </w:r>
            <w:r>
              <w:rPr>
                <w:rFonts w:eastAsia="Times New Roman"/>
                <w:color w:val="000000"/>
                <w:sz w:val="18"/>
                <w:szCs w:val="18"/>
              </w:rPr>
              <w:t>anges in instrument-specific credit risk recognized in OCI.</w:t>
            </w:r>
          </w:p>
          <w:p w:rsidR="00000000" w:rsidRDefault="000C147A">
            <w:pPr>
              <w:divId w:val="167061415"/>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w:t>
            </w:r>
            <w:r>
              <w:rPr>
                <w:rFonts w:eastAsia="Times New Roman"/>
                <w:color w:val="000000"/>
                <w:sz w:val="18"/>
                <w:szCs w:val="18"/>
              </w:rPr>
              <w:t>gins, requiring such balances to be amortized on a constant level basis over the expected term of the contracts. Deferred costs will be required to be written off for unexpected contract terminations but will not be subject to impairment testing.</w:t>
            </w:r>
          </w:p>
          <w:p w:rsidR="00000000" w:rsidRDefault="000C147A">
            <w:pPr>
              <w:divId w:val="1469393805"/>
              <w:rPr>
                <w:rFonts w:eastAsia="Times New Roman"/>
              </w:rPr>
            </w:pPr>
            <w:r>
              <w:rPr>
                <w:rFonts w:eastAsia="Times New Roman"/>
                <w:color w:val="000000"/>
                <w:sz w:val="18"/>
                <w:szCs w:val="18"/>
              </w:rPr>
              <w:t>4. Expand</w:t>
            </w:r>
            <w:r>
              <w:rPr>
                <w:rFonts w:eastAsia="Times New Roman"/>
                <w:color w:val="000000"/>
                <w:sz w:val="18"/>
                <w:szCs w:val="18"/>
              </w:rPr>
              <w:t>ed footnote disclosures. The ASU requires additional disclosures including disaggregated roll-forwards of beginning to ending balances of the liability for future policy benefits, policyholder account balances, MRBs, separate account liabilities and deferr</w:t>
            </w:r>
            <w:r>
              <w:rPr>
                <w:rFonts w:eastAsia="Times New Roman"/>
                <w:color w:val="000000"/>
                <w:sz w:val="18"/>
                <w:szCs w:val="18"/>
              </w:rPr>
              <w:t>ed acquisition costs. Companies will also be required to disclose information about significant inputs, judgements, assumptions and methods used in measurement.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spacing w:after="240"/>
              <w:rPr>
                <w:rFonts w:eastAsia="Times New Roman"/>
              </w:rPr>
            </w:pPr>
            <w:r>
              <w:rPr>
                <w:rFonts w:eastAsia="Times New Roman"/>
                <w:color w:val="000000"/>
                <w:sz w:val="18"/>
                <w:szCs w:val="18"/>
              </w:rPr>
              <w:t>For the liability for future policyholder benefits for traditional and limited payment contra</w:t>
            </w:r>
            <w:r>
              <w:rPr>
                <w:rFonts w:eastAsia="Times New Roman"/>
                <w:color w:val="000000"/>
                <w:sz w:val="18"/>
                <w:szCs w:val="18"/>
              </w:rPr>
              <w:t xml:space="preserve">cts, companies can elect one of two adoption methods. Companies can either elect a modified retrospective transition method applied to contracts in force as of the beginning of the earliest period presented on the basis of their existing carrying amounts, </w:t>
            </w:r>
            <w:r>
              <w:rPr>
                <w:rFonts w:eastAsia="Times New Roman"/>
                <w:color w:val="000000"/>
                <w:sz w:val="18"/>
                <w:szCs w:val="18"/>
              </w:rPr>
              <w:t xml:space="preserve">adjusted for the removal of any related amounts in Accumulated other comprehensive income (“AOCI”) or a full retrospective transition method using actual historical experience information as of contract inception. The same adoption method must be used for </w:t>
            </w:r>
            <w:r>
              <w:rPr>
                <w:rFonts w:eastAsia="Times New Roman"/>
                <w:color w:val="000000"/>
                <w:sz w:val="18"/>
                <w:szCs w:val="18"/>
              </w:rPr>
              <w:t>deferred policy acquisition costs.</w:t>
            </w:r>
            <w:r>
              <w:rPr>
                <w:rFonts w:eastAsia="Times New Roman"/>
                <w:color w:val="000000"/>
                <w:sz w:val="18"/>
                <w:szCs w:val="18"/>
              </w:rPr>
              <w:br/>
              <w:t>For MRBs, the ASU should be applied retrospectively as of the beginning of the earliest period presented.</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0C147A">
            <w:pPr>
              <w:spacing w:after="240"/>
              <w:rPr>
                <w:rFonts w:eastAsia="Times New Roman"/>
              </w:rPr>
            </w:pPr>
          </w:p>
        </w:tc>
      </w:tr>
    </w:tbl>
    <w:p w:rsidR="00000000" w:rsidRDefault="000C147A">
      <w:pPr>
        <w:jc w:val="center"/>
        <w:divId w:val="23481018"/>
        <w:rPr>
          <w:rFonts w:eastAsia="Times New Roman"/>
        </w:rPr>
      </w:pPr>
      <w:r>
        <w:rPr>
          <w:rFonts w:eastAsia="Times New Roman"/>
          <w:color w:val="000000"/>
          <w:sz w:val="20"/>
          <w:szCs w:val="20"/>
        </w:rPr>
        <w:t>13</w:t>
      </w:r>
    </w:p>
    <w:p w:rsidR="00000000" w:rsidRDefault="000C147A">
      <w:pPr>
        <w:rPr>
          <w:rFonts w:eastAsia="Times New Roman"/>
        </w:rPr>
      </w:pPr>
      <w:r>
        <w:rPr>
          <w:rFonts w:eastAsia="Times New Roman"/>
        </w:rPr>
        <w:pict>
          <v:rect id="_x0000_i1039" style="width:0;height:1.5pt" o:hralign="center" o:hrstd="t" o:hr="t" fillcolor="#a0a0a0" stroked="f"/>
        </w:pict>
      </w:r>
    </w:p>
    <w:p w:rsidR="00000000" w:rsidRDefault="000C147A">
      <w:pPr>
        <w:jc w:val="center"/>
        <w:divId w:val="96758587"/>
        <w:rPr>
          <w:rFonts w:eastAsia="Times New Roman"/>
        </w:rPr>
      </w:pPr>
      <w:r>
        <w:rPr>
          <w:rFonts w:eastAsia="Times New Roman"/>
          <w:b/>
          <w:bCs/>
          <w:color w:val="000000"/>
          <w:sz w:val="20"/>
          <w:szCs w:val="20"/>
        </w:rPr>
        <w:t>EQUITABLE HOLDINGS, INC.</w:t>
      </w:r>
    </w:p>
    <w:p w:rsidR="00000000" w:rsidRDefault="000C147A">
      <w:pPr>
        <w:jc w:val="center"/>
        <w:divId w:val="96758587"/>
        <w:rPr>
          <w:rFonts w:eastAsia="Times New Roman"/>
        </w:rPr>
      </w:pPr>
      <w:r>
        <w:rPr>
          <w:rFonts w:eastAsia="Times New Roman"/>
          <w:b/>
          <w:bCs/>
          <w:color w:val="000000"/>
          <w:sz w:val="20"/>
          <w:szCs w:val="20"/>
        </w:rPr>
        <w:t>Notes to Consolidated Financial Statements (Unaudited), Continued</w:t>
      </w:r>
    </w:p>
    <w:tbl>
      <w:tblPr>
        <w:tblW w:w="4649" w:type="pct"/>
        <w:tblCellMar>
          <w:top w:w="15" w:type="dxa"/>
          <w:left w:w="15" w:type="dxa"/>
          <w:bottom w:w="15" w:type="dxa"/>
          <w:right w:w="15" w:type="dxa"/>
        </w:tblCellMar>
        <w:tblLook w:val="04A0" w:firstRow="1" w:lastRow="0" w:firstColumn="1" w:lastColumn="0" w:noHBand="0" w:noVBand="1"/>
      </w:tblPr>
      <w:tblGrid>
        <w:gridCol w:w="62"/>
        <w:gridCol w:w="2475"/>
        <w:gridCol w:w="37"/>
        <w:gridCol w:w="62"/>
        <w:gridCol w:w="2475"/>
        <w:gridCol w:w="37"/>
        <w:gridCol w:w="62"/>
        <w:gridCol w:w="2476"/>
        <w:gridCol w:w="37"/>
      </w:tblGrid>
      <w:tr w:rsidR="00000000">
        <w:trPr>
          <w:divId w:val="130095212"/>
        </w:trPr>
        <w:tc>
          <w:tcPr>
            <w:tcW w:w="50" w:type="pct"/>
            <w:vAlign w:val="center"/>
            <w:hideMark/>
          </w:tcPr>
          <w:p w:rsidR="00000000" w:rsidRDefault="000C147A">
            <w:pPr>
              <w:jc w:val="center"/>
              <w:rPr>
                <w:rFonts w:eastAsia="Times New Roman"/>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61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0095212"/>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Description</w:t>
            </w:r>
          </w:p>
          <w:p w:rsidR="00000000" w:rsidRDefault="000C147A">
            <w:pPr>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Effective Date and Method of Adoption</w:t>
            </w:r>
          </w:p>
          <w:p w:rsidR="00000000" w:rsidRDefault="000C147A">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Effect on the Financial Statement or Other Significant Matters</w:t>
            </w:r>
          </w:p>
          <w:p w:rsidR="00000000" w:rsidRDefault="000C147A">
            <w:pPr>
              <w:jc w:val="center"/>
              <w:rPr>
                <w:rFonts w:eastAsia="Times New Roman"/>
              </w:rPr>
            </w:pPr>
          </w:p>
        </w:tc>
      </w:tr>
      <w:tr w:rsidR="00000000">
        <w:trPr>
          <w:divId w:val="130095212"/>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1820270202"/>
              <w:rPr>
                <w:rFonts w:eastAsia="Times New Roman"/>
              </w:rPr>
            </w:pPr>
            <w:r>
              <w:rPr>
                <w:rFonts w:eastAsia="Times New Roman"/>
                <w:b/>
                <w:bCs/>
                <w:color w:val="000000"/>
                <w:sz w:val="18"/>
                <w:szCs w:val="18"/>
              </w:rPr>
              <w:t xml:space="preserve">ASU 2019-12: </w:t>
            </w:r>
            <w:r>
              <w:rPr>
                <w:rFonts w:eastAsia="Times New Roman"/>
                <w:i/>
                <w:iCs/>
                <w:color w:val="000000"/>
                <w:sz w:val="18"/>
                <w:szCs w:val="18"/>
              </w:rPr>
              <w:t>Income Taxes (Topic 740): Simplifying the Accounting for Income Taxes</w:t>
            </w:r>
          </w:p>
        </w:tc>
      </w:tr>
      <w:tr w:rsidR="00000000">
        <w:trPr>
          <w:divId w:val="130095212"/>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0C147A">
            <w:pPr>
              <w:divId w:val="833765118"/>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divId w:val="1128864623"/>
              <w:rPr>
                <w:rFonts w:eastAsia="Times New Roman"/>
              </w:rPr>
            </w:pPr>
            <w:r>
              <w:rPr>
                <w:rFonts w:eastAsia="Times New Roman"/>
                <w:color w:val="000000"/>
                <w:sz w:val="18"/>
                <w:szCs w:val="18"/>
              </w:rPr>
              <w:t>Effective for fiscal years, and interim periods within those fiscal years, beginning after December 15, 2020. Early adoption is permitted.</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0C147A">
            <w:pPr>
              <w:divId w:val="322203185"/>
              <w:rPr>
                <w:rFonts w:eastAsia="Times New Roman"/>
              </w:rPr>
            </w:pPr>
            <w:r>
              <w:rPr>
                <w:rFonts w:eastAsia="Times New Roman"/>
                <w:color w:val="000000"/>
                <w:sz w:val="18"/>
                <w:szCs w:val="18"/>
              </w:rPr>
              <w:t>The Company is currently evaluating the impact adopting the guidance will have on the Company’s consolidated financ</w:t>
            </w:r>
            <w:r>
              <w:rPr>
                <w:rFonts w:eastAsia="Times New Roman"/>
                <w:color w:val="000000"/>
                <w:sz w:val="18"/>
                <w:szCs w:val="18"/>
              </w:rPr>
              <w:t>ial statements, however the adoption is not expected to materially impact the Company’s financial position, results of operation, or cash flows.</w:t>
            </w:r>
          </w:p>
        </w:tc>
      </w:tr>
      <w:tr w:rsidR="00000000">
        <w:trPr>
          <w:divId w:val="130095212"/>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0C147A">
            <w:pPr>
              <w:divId w:val="1808666585"/>
              <w:rPr>
                <w:rFonts w:eastAsia="Times New Roman"/>
              </w:rPr>
            </w:pPr>
            <w:r>
              <w:rPr>
                <w:rFonts w:eastAsia="Times New Roman"/>
                <w:b/>
                <w:bCs/>
                <w:color w:val="000000"/>
                <w:sz w:val="18"/>
                <w:szCs w:val="18"/>
              </w:rPr>
              <w:t>ASU2020-04</w:t>
            </w:r>
            <w:r>
              <w:rPr>
                <w:rFonts w:eastAsia="Times New Roman"/>
                <w:i/>
                <w:iCs/>
                <w:color w:val="000000"/>
                <w:sz w:val="18"/>
                <w:szCs w:val="18"/>
              </w:rPr>
              <w:t>: Reference Rate Reform (Topic 848): Facilitation of the Effects of Reference Rate Reform on Finan</w:t>
            </w:r>
            <w:r>
              <w:rPr>
                <w:rFonts w:eastAsia="Times New Roman"/>
                <w:i/>
                <w:iCs/>
                <w:color w:val="000000"/>
                <w:sz w:val="18"/>
                <w:szCs w:val="18"/>
              </w:rPr>
              <w:t>cial Reporting</w:t>
            </w:r>
          </w:p>
        </w:tc>
      </w:tr>
      <w:tr w:rsidR="00000000">
        <w:trPr>
          <w:divId w:val="130095212"/>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divId w:val="341207635"/>
              <w:rPr>
                <w:rFonts w:eastAsia="Times New Roman"/>
              </w:rPr>
            </w:pPr>
            <w:r>
              <w:rPr>
                <w:rFonts w:eastAsia="Times New Roman"/>
                <w:color w:val="000000"/>
                <w:sz w:val="18"/>
                <w:szCs w:val="18"/>
              </w:rPr>
              <w:t xml:space="preserve">The amendments in this ASU provide optional expedients and exceptions to contracts, hedging relationships, and other transactions affected by reference rate reform if certain criteria are met.  The amendments in this ASU apply only </w:t>
            </w:r>
            <w:r>
              <w:rPr>
                <w:rFonts w:eastAsia="Times New Roman"/>
                <w:color w:val="000000"/>
                <w:sz w:val="18"/>
                <w:szCs w:val="18"/>
              </w:rPr>
              <w:t>to contracts, hedging relationships, and other transactions that reference LIBOR or another reference rate expected to be discontinued because of reference rate reform.</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0C147A">
            <w:pPr>
              <w:divId w:val="537821146"/>
              <w:rPr>
                <w:rFonts w:eastAsia="Times New Roman"/>
              </w:rPr>
            </w:pPr>
            <w:r>
              <w:rPr>
                <w:rFonts w:eastAsia="Times New Roman"/>
                <w:color w:val="000000"/>
                <w:sz w:val="18"/>
                <w:szCs w:val="18"/>
              </w:rPr>
              <w:t>This ASU is effective as of March 12, 2020 through December 31, 2022.</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0C147A">
            <w:pPr>
              <w:divId w:val="2082749697"/>
              <w:rPr>
                <w:rFonts w:eastAsia="Times New Roman"/>
              </w:rPr>
            </w:pPr>
            <w:r>
              <w:rPr>
                <w:rFonts w:eastAsia="Times New Roman"/>
                <w:color w:val="000000"/>
                <w:sz w:val="18"/>
                <w:szCs w:val="18"/>
              </w:rPr>
              <w:t xml:space="preserve">The Company will determine the applicability of the optional expedients and exceptions provided under the ASU as reference rate reform continues to develop. </w:t>
            </w:r>
          </w:p>
        </w:tc>
      </w:tr>
    </w:tbl>
    <w:p w:rsidR="00000000" w:rsidRDefault="000C147A">
      <w:pPr>
        <w:divId w:val="1803883079"/>
        <w:rPr>
          <w:rFonts w:eastAsia="Times New Roman"/>
        </w:rPr>
      </w:pPr>
    </w:p>
    <w:p w:rsidR="00000000" w:rsidRDefault="000C147A">
      <w:pPr>
        <w:divId w:val="1191838232"/>
        <w:rPr>
          <w:rFonts w:eastAsia="Times New Roman"/>
        </w:rPr>
      </w:pPr>
      <w:r>
        <w:rPr>
          <w:rFonts w:eastAsia="Times New Roman"/>
          <w:color w:val="000000"/>
          <w:sz w:val="20"/>
          <w:szCs w:val="20"/>
          <w:u w:val="single"/>
        </w:rPr>
        <w:t>Goodwill</w:t>
      </w:r>
    </w:p>
    <w:p w:rsidR="00000000" w:rsidRDefault="000C147A">
      <w:pPr>
        <w:divId w:val="1516269823"/>
        <w:rPr>
          <w:rFonts w:eastAsia="Times New Roman"/>
        </w:rPr>
      </w:pPr>
      <w:r>
        <w:rPr>
          <w:rFonts w:eastAsia="Times New Roman"/>
          <w:color w:val="000000"/>
          <w:sz w:val="20"/>
          <w:szCs w:val="20"/>
        </w:rPr>
        <w:t>Starting as of June 30, 2020, the Company changed its measurement of the fair value of the Company’s Investment Management and Research reporting unit from a discounted cash flow valuation technique to a market valuation approach. Under the market valuatio</w:t>
      </w:r>
      <w:r>
        <w:rPr>
          <w:rFonts w:eastAsia="Times New Roman"/>
          <w:color w:val="000000"/>
          <w:sz w:val="20"/>
          <w:szCs w:val="20"/>
        </w:rPr>
        <w:t>n approach, the fair value of the reporting unit is based on its adjusted market valuation assuming a control premium. The Company has determined that this valuation technique provides a more exact determination of fair value for the reporting unit. This a</w:t>
      </w:r>
      <w:r>
        <w:rPr>
          <w:rFonts w:eastAsia="Times New Roman"/>
          <w:color w:val="000000"/>
          <w:sz w:val="20"/>
          <w:szCs w:val="20"/>
        </w:rPr>
        <w:t xml:space="preserve">pproach will be applied when the Company performs its annual testing for goodwill recoverability at December 31, 2020. The Company also determined that if the market valuation approach had been applied in the first quarter 2020, it would not have resulted </w:t>
      </w:r>
      <w:r>
        <w:rPr>
          <w:rFonts w:eastAsia="Times New Roman"/>
          <w:color w:val="000000"/>
          <w:sz w:val="20"/>
          <w:szCs w:val="20"/>
        </w:rPr>
        <w:t>in an impairment of the reporting unit.</w:t>
      </w:r>
    </w:p>
    <w:p w:rsidR="00000000" w:rsidRDefault="000C147A">
      <w:pPr>
        <w:divId w:val="512230652"/>
        <w:rPr>
          <w:rFonts w:eastAsia="Times New Roman"/>
        </w:rPr>
      </w:pPr>
      <w:r>
        <w:rPr>
          <w:rFonts w:eastAsia="Times New Roman"/>
          <w:color w:val="000000"/>
          <w:sz w:val="20"/>
          <w:szCs w:val="20"/>
          <w:u w:val="single"/>
        </w:rPr>
        <w:t>Investments</w:t>
      </w:r>
    </w:p>
    <w:p w:rsidR="00000000" w:rsidRDefault="000C147A">
      <w:pPr>
        <w:divId w:val="861284764"/>
        <w:rPr>
          <w:rFonts w:eastAsia="Times New Roman"/>
        </w:rPr>
      </w:pPr>
      <w:r>
        <w:rPr>
          <w:rFonts w:eastAsia="Times New Roman"/>
          <w:color w:val="000000"/>
          <w:sz w:val="20"/>
          <w:szCs w:val="20"/>
        </w:rPr>
        <w:t>The carrying values of fixed maturities classified as available-for-sale (“AFS”) are reported at fair value. Changes in fair value are reported in OCI, net of allowance for credit losses, policy related a</w:t>
      </w:r>
      <w:r>
        <w:rPr>
          <w:rFonts w:eastAsia="Times New Roman"/>
          <w:color w:val="000000"/>
          <w:sz w:val="20"/>
          <w:szCs w:val="20"/>
        </w:rPr>
        <w:t>mounts and deferred income taxes. With the adoption of the new Financial Instruments-Credit Losses standard, changes in credit losses are recognized in Investment gains (losses), net. The redeemable preferred stock investments that are reported in fixed ma</w:t>
      </w:r>
      <w:r>
        <w:rPr>
          <w:rFonts w:eastAsia="Times New Roman"/>
          <w:color w:val="000000"/>
          <w:sz w:val="20"/>
          <w:szCs w:val="20"/>
        </w:rPr>
        <w:t>turities include real estate investment trusts (“REIT”), perpetual preferred stock and redeemable preferred stock. These securities may not have a stated maturity, may not be cumulative, and do not provide for mandatory redemption by the issuer.</w:t>
      </w:r>
    </w:p>
    <w:p w:rsidR="00000000" w:rsidRDefault="000C147A">
      <w:pPr>
        <w:divId w:val="1458257774"/>
        <w:rPr>
          <w:rFonts w:eastAsia="Times New Roman"/>
        </w:rPr>
      </w:pPr>
      <w:r>
        <w:rPr>
          <w:rFonts w:eastAsia="Times New Roman"/>
          <w:color w:val="000000"/>
          <w:sz w:val="20"/>
          <w:szCs w:val="20"/>
        </w:rPr>
        <w:t>The Compan</w:t>
      </w:r>
      <w:r>
        <w:rPr>
          <w:rFonts w:eastAsia="Times New Roman"/>
          <w:color w:val="000000"/>
          <w:sz w:val="20"/>
          <w:szCs w:val="20"/>
        </w:rPr>
        <w:t>y determines the fair values of fixed maturities and equity securities based upon quoted prices in active markets, when available, or through the use of alternative approaches when market quotes are not readily accessible or available. These alternative ap</w:t>
      </w:r>
      <w:r>
        <w:rPr>
          <w:rFonts w:eastAsia="Times New Roman"/>
          <w:color w:val="000000"/>
          <w:sz w:val="20"/>
          <w:szCs w:val="20"/>
        </w:rPr>
        <w:t>proaches include matrix or model pricing and use of independent pricing services, each supported by reference to principal market trades or other observable market assumptions for similar securities. More specifically, the matrix pricing approach to fair v</w:t>
      </w:r>
      <w:r>
        <w:rPr>
          <w:rFonts w:eastAsia="Times New Roman"/>
          <w:color w:val="000000"/>
          <w:sz w:val="20"/>
          <w:szCs w:val="20"/>
        </w:rPr>
        <w:t xml:space="preserve">alue is a discounted cash flow methodology that incorporates market interest rates commensurate with the credit quality and duration of the investment. The Company’s management, with the assistance of its investment advisors, evaluates AFS debt securities </w:t>
      </w:r>
      <w:r>
        <w:rPr>
          <w:rFonts w:eastAsia="Times New Roman"/>
          <w:color w:val="000000"/>
          <w:sz w:val="20"/>
          <w:szCs w:val="20"/>
        </w:rPr>
        <w:t>that experienced a decline in fair value below amortized cost for credit losses which are evaluated in accordance with the new financial instruments credit losses guidance effective January 1, 2020. Integral to this review is an assessment made each quarte</w:t>
      </w:r>
      <w:r>
        <w:rPr>
          <w:rFonts w:eastAsia="Times New Roman"/>
          <w:color w:val="000000"/>
          <w:sz w:val="20"/>
          <w:szCs w:val="20"/>
        </w:rPr>
        <w:t>r, on a security-by-security basis, by the Company’s Investments Under Surveillance (“IUS”) Committee, of various indicators of credit deterioration to determine whether the investment security has experienced a credit loss. This assessment includes, but i</w:t>
      </w:r>
      <w:r>
        <w:rPr>
          <w:rFonts w:eastAsia="Times New Roman"/>
          <w:color w:val="000000"/>
          <w:sz w:val="20"/>
          <w:szCs w:val="20"/>
        </w:rPr>
        <w:t xml:space="preserve">s not limited to, consideration of the severity of the unrealized loss, failure, if any, of the issuer of the security to make scheduled payments, actions taken by rating agencies, adverse conditions specifically related to the security or sector, and the </w:t>
      </w:r>
      <w:r>
        <w:rPr>
          <w:rFonts w:eastAsia="Times New Roman"/>
          <w:color w:val="000000"/>
          <w:sz w:val="20"/>
          <w:szCs w:val="20"/>
        </w:rPr>
        <w:t>financial strength, liquidity and continued viability of the issuer.</w:t>
      </w:r>
    </w:p>
    <w:p w:rsidR="00000000" w:rsidRDefault="000C147A">
      <w:pPr>
        <w:divId w:val="2124955401"/>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w:t>
      </w:r>
      <w:r>
        <w:rPr>
          <w:rFonts w:eastAsia="Times New Roman"/>
          <w:color w:val="000000"/>
          <w:sz w:val="20"/>
          <w:szCs w:val="20"/>
        </w:rPr>
        <w:t xml:space="preserve"> investment, and credit losses are limited to the amount by which the security’s amortized cost basis exceeds its fair value. Any improvements in estimated credit </w:t>
      </w:r>
    </w:p>
    <w:p w:rsidR="00000000" w:rsidRDefault="000C147A">
      <w:pPr>
        <w:jc w:val="center"/>
        <w:divId w:val="1675375911"/>
        <w:rPr>
          <w:rFonts w:eastAsia="Times New Roman"/>
        </w:rPr>
      </w:pPr>
      <w:r>
        <w:rPr>
          <w:rFonts w:eastAsia="Times New Roman"/>
          <w:color w:val="000000"/>
          <w:sz w:val="20"/>
          <w:szCs w:val="20"/>
        </w:rPr>
        <w:t>14</w:t>
      </w:r>
    </w:p>
    <w:p w:rsidR="00000000" w:rsidRDefault="000C147A">
      <w:pPr>
        <w:rPr>
          <w:rFonts w:eastAsia="Times New Roman"/>
        </w:rPr>
      </w:pPr>
      <w:r>
        <w:rPr>
          <w:rFonts w:eastAsia="Times New Roman"/>
        </w:rPr>
        <w:pict>
          <v:rect id="_x0000_i1040" style="width:0;height:1.5pt" o:hralign="center" o:hrstd="t" o:hr="t" fillcolor="#a0a0a0" stroked="f"/>
        </w:pict>
      </w:r>
    </w:p>
    <w:p w:rsidR="00000000" w:rsidRDefault="000C147A">
      <w:pPr>
        <w:jc w:val="center"/>
        <w:divId w:val="389235181"/>
        <w:rPr>
          <w:rFonts w:eastAsia="Times New Roman"/>
        </w:rPr>
      </w:pPr>
      <w:r>
        <w:rPr>
          <w:rFonts w:eastAsia="Times New Roman"/>
          <w:b/>
          <w:bCs/>
          <w:color w:val="000000"/>
          <w:sz w:val="20"/>
          <w:szCs w:val="20"/>
        </w:rPr>
        <w:t>EQUITABLE HOLDINGS, INC.</w:t>
      </w:r>
    </w:p>
    <w:p w:rsidR="00000000" w:rsidRDefault="000C147A">
      <w:pPr>
        <w:jc w:val="center"/>
        <w:divId w:val="389235181"/>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 (Unaudited), Continued</w:t>
      </w:r>
    </w:p>
    <w:p w:rsidR="00000000" w:rsidRDefault="000C147A">
      <w:pPr>
        <w:divId w:val="1130633227"/>
        <w:rPr>
          <w:rFonts w:eastAsia="Times New Roman"/>
        </w:rPr>
      </w:pPr>
      <w:r>
        <w:rPr>
          <w:rFonts w:eastAsia="Times New Roman"/>
          <w:color w:val="000000"/>
          <w:sz w:val="20"/>
          <w:szCs w:val="20"/>
        </w:rPr>
        <w:t xml:space="preserve">losses on AFS debt securities are recognized immediately in earnings. Management does not use the length of time a security has been in an unrealized loss position as a factor, either by itself or in combination with </w:t>
      </w:r>
      <w:r>
        <w:rPr>
          <w:rFonts w:eastAsia="Times New Roman"/>
          <w:color w:val="000000"/>
          <w:sz w:val="20"/>
          <w:szCs w:val="20"/>
        </w:rPr>
        <w:t xml:space="preserve">other factors, to conclude that a credit loss does not exist, as they were permitted to do prior to January 1, 2020. </w:t>
      </w:r>
    </w:p>
    <w:p w:rsidR="00000000" w:rsidRDefault="000C147A">
      <w:pPr>
        <w:divId w:val="2106727540"/>
        <w:rPr>
          <w:rFonts w:eastAsia="Times New Roman"/>
        </w:rPr>
      </w:pPr>
      <w:r>
        <w:rPr>
          <w:rFonts w:eastAsia="Times New Roman"/>
          <w:color w:val="000000"/>
          <w:sz w:val="20"/>
          <w:szCs w:val="20"/>
        </w:rPr>
        <w:t>When the Company determines that there is more than 50% likelihood that it is not going to recover the principal and interest cash flows r</w:t>
      </w:r>
      <w:r>
        <w:rPr>
          <w:rFonts w:eastAsia="Times New Roman"/>
          <w:color w:val="000000"/>
          <w:sz w:val="20"/>
          <w:szCs w:val="20"/>
        </w:rPr>
        <w:t>elated to an AFS debt security, the security is placed on nonaccrual status and the Company reverses accrued interest receivable against interest income. Since the nonaccrual policy results in a timely reversal of accrued interest receivable, the Company d</w:t>
      </w:r>
      <w:r>
        <w:rPr>
          <w:rFonts w:eastAsia="Times New Roman"/>
          <w:color w:val="000000"/>
          <w:sz w:val="20"/>
          <w:szCs w:val="20"/>
        </w:rPr>
        <w:t>oes not record an allowance for credit losses on accrued interest receivable.</w:t>
      </w:r>
    </w:p>
    <w:p w:rsidR="00000000" w:rsidRDefault="000C147A">
      <w:pPr>
        <w:divId w:val="397872489"/>
        <w:rPr>
          <w:rFonts w:eastAsia="Times New Roman"/>
        </w:rPr>
      </w:pPr>
    </w:p>
    <w:p w:rsidR="00000000" w:rsidRDefault="000C147A">
      <w:pPr>
        <w:divId w:val="2121026365"/>
        <w:rPr>
          <w:rFonts w:eastAsia="Times New Roman"/>
        </w:rPr>
      </w:pPr>
      <w:r>
        <w:rPr>
          <w:rFonts w:eastAsia="Times New Roman"/>
          <w:color w:val="000000"/>
          <w:sz w:val="20"/>
          <w:szCs w:val="20"/>
        </w:rPr>
        <w:t xml:space="preserve">If there is no intent to sell or likely requirement to dispose of the fixed maturity security before its recovery, only the credit loss component of any resulting allowance is </w:t>
      </w:r>
      <w:r>
        <w:rPr>
          <w:rFonts w:eastAsia="Times New Roman"/>
          <w:color w:val="000000"/>
          <w:sz w:val="20"/>
          <w:szCs w:val="20"/>
        </w:rPr>
        <w:t>recognized in income (loss) and the remainder of the fair value loss is recognized in OCI. The amount of credit loss is the shortfall of the present value of the cash flows expected to be collected as compared to the amortized cost basis of the security. T</w:t>
      </w:r>
      <w:r>
        <w:rPr>
          <w:rFonts w:eastAsia="Times New Roman"/>
          <w:color w:val="000000"/>
          <w:sz w:val="20"/>
          <w:szCs w:val="20"/>
        </w:rPr>
        <w:t>he present value is calculated by discounting management’s best estimate of projected future cash flows at the effective interest rate implicit in the debt security at the date of acquisition. Projections of future cash flows are based on assumptions regar</w:t>
      </w:r>
      <w:r>
        <w:rPr>
          <w:rFonts w:eastAsia="Times New Roman"/>
          <w:color w:val="000000"/>
          <w:sz w:val="20"/>
          <w:szCs w:val="20"/>
        </w:rPr>
        <w:t>ding probability of default and estimates regarding the amount and timing of recoveries. These assumptions and estimates require use of management judgment and consider internal credit analyses as well as market observable data relevant to the collectabili</w:t>
      </w:r>
      <w:r>
        <w:rPr>
          <w:rFonts w:eastAsia="Times New Roman"/>
          <w:color w:val="000000"/>
          <w:sz w:val="20"/>
          <w:szCs w:val="20"/>
        </w:rPr>
        <w:t xml:space="preserve">ty of the security. </w:t>
      </w:r>
    </w:p>
    <w:p w:rsidR="00000000" w:rsidRDefault="000C147A">
      <w:pPr>
        <w:divId w:val="1949581882"/>
        <w:rPr>
          <w:rFonts w:eastAsia="Times New Roman"/>
        </w:rPr>
      </w:pPr>
      <w:r>
        <w:rPr>
          <w:rFonts w:eastAsia="Times New Roman"/>
          <w:color w:val="000000"/>
          <w:sz w:val="20"/>
          <w:szCs w:val="20"/>
        </w:rPr>
        <w:t xml:space="preserve">Write-offs of AFS debt securities are recorded when all or a portion of a financial asset is deemed uncollectible. Full or partial write-offs are recorded as reductions to the amortized cost basis of the AFS debt security and deducted </w:t>
      </w:r>
      <w:r>
        <w:rPr>
          <w:rFonts w:eastAsia="Times New Roman"/>
          <w:color w:val="000000"/>
          <w:sz w:val="20"/>
          <w:szCs w:val="20"/>
        </w:rPr>
        <w:t>from the allowance in the period in which the financial assets are deemed uncollectible. The Company elected to reverse accrued interest deemed uncollectible as a reversal of interest income. In instances where the Company collects cash that it has previou</w:t>
      </w:r>
      <w:r>
        <w:rPr>
          <w:rFonts w:eastAsia="Times New Roman"/>
          <w:color w:val="000000"/>
          <w:sz w:val="20"/>
          <w:szCs w:val="20"/>
        </w:rPr>
        <w:t xml:space="preserve">sly written off, the recovery will be recognized through earnings or as a reduction of the amortized cost basis for interest and principal, respectively. </w:t>
      </w:r>
    </w:p>
    <w:p w:rsidR="00000000" w:rsidRDefault="000C147A">
      <w:pPr>
        <w:divId w:val="1228226714"/>
        <w:rPr>
          <w:rFonts w:eastAsia="Times New Roman"/>
        </w:rPr>
      </w:pPr>
      <w:r>
        <w:rPr>
          <w:rFonts w:eastAsia="Times New Roman"/>
          <w:color w:val="000000"/>
          <w:sz w:val="20"/>
          <w:szCs w:val="20"/>
        </w:rPr>
        <w:t>Real estate held for the production of income is stated at depreciated cost less allowance for credit</w:t>
      </w:r>
      <w:r>
        <w:rPr>
          <w:rFonts w:eastAsia="Times New Roman"/>
          <w:color w:val="000000"/>
          <w:sz w:val="20"/>
          <w:szCs w:val="20"/>
        </w:rPr>
        <w:t xml:space="preserve"> losses. Depreciation of real estate held for production of income is computed using the straight-line method over the estimated useful lives of the properties, which generally range from 40 to 50 years.</w:t>
      </w:r>
    </w:p>
    <w:p w:rsidR="00000000" w:rsidRDefault="000C147A">
      <w:pPr>
        <w:divId w:val="3439982"/>
        <w:rPr>
          <w:rFonts w:eastAsia="Times New Roman"/>
        </w:rPr>
      </w:pPr>
      <w:r>
        <w:rPr>
          <w:rFonts w:eastAsia="Times New Roman"/>
          <w:color w:val="000000"/>
          <w:sz w:val="20"/>
          <w:szCs w:val="20"/>
        </w:rPr>
        <w:t>Policy loans represent funds loaned to policyholders</w:t>
      </w:r>
      <w:r>
        <w:rPr>
          <w:rFonts w:eastAsia="Times New Roman"/>
          <w:color w:val="000000"/>
          <w:sz w:val="20"/>
          <w:szCs w:val="20"/>
        </w:rPr>
        <w:t xml:space="preserve"> up to the cash surrender value of the associated insurance policies and are carried at the unpaid principal balances due to the Company from the policyholders. Interest income on policy loans is recognized in net investment income at the contract interest</w:t>
      </w:r>
      <w:r>
        <w:rPr>
          <w:rFonts w:eastAsia="Times New Roman"/>
          <w:color w:val="000000"/>
          <w:sz w:val="20"/>
          <w:szCs w:val="20"/>
        </w:rPr>
        <w:t xml:space="preserve"> rate when earned. Policy loans are fully collateralized by the cash surrender value of the associated insurance policies.</w:t>
      </w:r>
    </w:p>
    <w:p w:rsidR="00000000" w:rsidRDefault="000C147A">
      <w:pPr>
        <w:divId w:val="512916752"/>
        <w:rPr>
          <w:rFonts w:eastAsia="Times New Roman"/>
        </w:rPr>
      </w:pPr>
      <w:r>
        <w:rPr>
          <w:rFonts w:eastAsia="Times New Roman"/>
          <w:color w:val="000000"/>
          <w:sz w:val="20"/>
          <w:szCs w:val="20"/>
        </w:rPr>
        <w:t>Partnerships, investment companies, and joint venture interests that the Company has control of and has an economic interest in or th</w:t>
      </w:r>
      <w:r>
        <w:rPr>
          <w:rFonts w:eastAsia="Times New Roman"/>
          <w:color w:val="000000"/>
          <w:sz w:val="20"/>
          <w:szCs w:val="20"/>
        </w:rPr>
        <w:t>ose that meet the requirements for consolidation under accounting guidance for consolidation of VIEs are consolidated. Those that the Company does not have control of and does not have a majority economic interest in and those that do not meet the VIE requ</w:t>
      </w:r>
      <w:r>
        <w:rPr>
          <w:rFonts w:eastAsia="Times New Roman"/>
          <w:color w:val="000000"/>
          <w:sz w:val="20"/>
          <w:szCs w:val="20"/>
        </w:rPr>
        <w:t>irements for consolidation are reported on the equity method of accounting and are reported in other equity investments. The Company records its interests in certain of these partnerships on a month or one quarter lag.</w:t>
      </w:r>
    </w:p>
    <w:p w:rsidR="00000000" w:rsidRDefault="000C147A">
      <w:pPr>
        <w:divId w:val="1772505985"/>
        <w:rPr>
          <w:rFonts w:eastAsia="Times New Roman"/>
        </w:rPr>
      </w:pPr>
      <w:r>
        <w:rPr>
          <w:rFonts w:eastAsia="Times New Roman"/>
          <w:color w:val="000000"/>
          <w:sz w:val="20"/>
          <w:szCs w:val="20"/>
        </w:rPr>
        <w:t>Trading securities, which include equ</w:t>
      </w:r>
      <w:r>
        <w:rPr>
          <w:rFonts w:eastAsia="Times New Roman"/>
          <w:color w:val="000000"/>
          <w:sz w:val="20"/>
          <w:szCs w:val="20"/>
        </w:rPr>
        <w:t>ity securities and fixed maturities, are carried at fair value based on quoted market prices, with realized and unrealized gains (losses) reported in net investment income (loss) in the consolidated statements of income (loss).</w:t>
      </w:r>
    </w:p>
    <w:p w:rsidR="00000000" w:rsidRDefault="000C147A">
      <w:pPr>
        <w:divId w:val="611324959"/>
        <w:rPr>
          <w:rFonts w:eastAsia="Times New Roman"/>
        </w:rPr>
      </w:pPr>
      <w:r>
        <w:rPr>
          <w:rFonts w:eastAsia="Times New Roman"/>
          <w:color w:val="000000"/>
          <w:sz w:val="20"/>
          <w:szCs w:val="20"/>
        </w:rPr>
        <w:t>Corporate owned life insuran</w:t>
      </w:r>
      <w:r>
        <w:rPr>
          <w:rFonts w:eastAsia="Times New Roman"/>
          <w:color w:val="000000"/>
          <w:sz w:val="20"/>
          <w:szCs w:val="20"/>
        </w:rPr>
        <w:t>ce (“COLI”) has been purchased by the Company and certain subsidiaries on the lives of certain key employees and the Company and these subsidiaries are named as beneficiaries under these policies. COLI is carried at the cash surrender value of the policies</w:t>
      </w:r>
      <w:r>
        <w:rPr>
          <w:rFonts w:eastAsia="Times New Roman"/>
          <w:color w:val="000000"/>
          <w:sz w:val="20"/>
          <w:szCs w:val="20"/>
        </w:rPr>
        <w:t>. At September 30, 2020 and December 31, 2019, the carrying value of COLI was $958 million and $944 million, respectively, and is reported in Other invested assets in the consolidated balance sheets.</w:t>
      </w:r>
    </w:p>
    <w:p w:rsidR="00000000" w:rsidRDefault="000C147A">
      <w:pPr>
        <w:divId w:val="124079667"/>
        <w:rPr>
          <w:rFonts w:eastAsia="Times New Roman"/>
        </w:rPr>
      </w:pPr>
      <w:r>
        <w:rPr>
          <w:rFonts w:eastAsia="Times New Roman"/>
          <w:color w:val="000000"/>
          <w:sz w:val="20"/>
          <w:szCs w:val="20"/>
        </w:rPr>
        <w:t xml:space="preserve">Cash and cash equivalents includes cash on hand, demand </w:t>
      </w:r>
      <w:r>
        <w:rPr>
          <w:rFonts w:eastAsia="Times New Roman"/>
          <w:color w:val="000000"/>
          <w:sz w:val="20"/>
          <w:szCs w:val="20"/>
        </w:rPr>
        <w:t xml:space="preserve">deposits, money market accounts, overnight commercial paper and highly liquid debt instruments purchased with an original maturity of three months or less. Due to the short-term nature of these investments, the recorded value is deemed to approximate fair </w:t>
      </w:r>
      <w:r>
        <w:rPr>
          <w:rFonts w:eastAsia="Times New Roman"/>
          <w:color w:val="000000"/>
          <w:sz w:val="20"/>
          <w:szCs w:val="20"/>
        </w:rPr>
        <w:t>value. Cash and securities segregated primarily includes U.S. Treasury Bills segregated by AB in a special reserve bank custody account for the exclusive benefit of its brokerage customers under Rule 15c3-3 of the Exchange Act.</w:t>
      </w:r>
    </w:p>
    <w:p w:rsidR="00000000" w:rsidRDefault="000C147A">
      <w:pPr>
        <w:divId w:val="318273042"/>
        <w:rPr>
          <w:rFonts w:eastAsia="Times New Roman"/>
        </w:rPr>
      </w:pPr>
      <w:r>
        <w:rPr>
          <w:rFonts w:eastAsia="Times New Roman"/>
          <w:color w:val="000000"/>
          <w:sz w:val="20"/>
          <w:szCs w:val="20"/>
        </w:rPr>
        <w:t>All securities owned, includ</w:t>
      </w:r>
      <w:r>
        <w:rPr>
          <w:rFonts w:eastAsia="Times New Roman"/>
          <w:color w:val="000000"/>
          <w:sz w:val="20"/>
          <w:szCs w:val="20"/>
        </w:rPr>
        <w:t>ing U.S. government and agency securities, mortgage-backed securities, futures and forwards transactions, are reported in the consolidated financial statements on a trade date basis.</w:t>
      </w:r>
    </w:p>
    <w:p w:rsidR="00000000" w:rsidRDefault="000C147A">
      <w:pPr>
        <w:jc w:val="center"/>
        <w:divId w:val="700083992"/>
        <w:rPr>
          <w:rFonts w:eastAsia="Times New Roman"/>
        </w:rPr>
      </w:pPr>
      <w:r>
        <w:rPr>
          <w:rFonts w:eastAsia="Times New Roman"/>
          <w:color w:val="000000"/>
          <w:sz w:val="20"/>
          <w:szCs w:val="20"/>
        </w:rPr>
        <w:t>15</w:t>
      </w:r>
    </w:p>
    <w:p w:rsidR="00000000" w:rsidRDefault="000C147A">
      <w:pPr>
        <w:rPr>
          <w:rFonts w:eastAsia="Times New Roman"/>
        </w:rPr>
      </w:pPr>
      <w:r>
        <w:rPr>
          <w:rFonts w:eastAsia="Times New Roman"/>
        </w:rPr>
        <w:pict>
          <v:rect id="_x0000_i1041" style="width:0;height:1.5pt" o:hralign="center" o:hrstd="t" o:hr="t" fillcolor="#a0a0a0" stroked="f"/>
        </w:pict>
      </w:r>
    </w:p>
    <w:p w:rsidR="00000000" w:rsidRDefault="000C147A">
      <w:pPr>
        <w:jc w:val="center"/>
        <w:divId w:val="1420296420"/>
        <w:rPr>
          <w:rFonts w:eastAsia="Times New Roman"/>
        </w:rPr>
      </w:pPr>
      <w:r>
        <w:rPr>
          <w:rFonts w:eastAsia="Times New Roman"/>
          <w:b/>
          <w:bCs/>
          <w:color w:val="000000"/>
          <w:sz w:val="20"/>
          <w:szCs w:val="20"/>
        </w:rPr>
        <w:t>EQUITABLE HOLDINGS, INC.</w:t>
      </w:r>
    </w:p>
    <w:p w:rsidR="00000000" w:rsidRDefault="000C147A">
      <w:pPr>
        <w:jc w:val="center"/>
        <w:divId w:val="1420296420"/>
        <w:rPr>
          <w:rFonts w:eastAsia="Times New Roman"/>
        </w:rPr>
      </w:pPr>
      <w:r>
        <w:rPr>
          <w:rFonts w:eastAsia="Times New Roman"/>
          <w:b/>
          <w:bCs/>
          <w:color w:val="000000"/>
          <w:sz w:val="20"/>
          <w:szCs w:val="20"/>
        </w:rPr>
        <w:t>Notes to Consolidated Financial Statements (Unaudited), Continued</w:t>
      </w:r>
    </w:p>
    <w:p w:rsidR="00000000" w:rsidRDefault="000C147A">
      <w:pPr>
        <w:divId w:val="766658030"/>
        <w:rPr>
          <w:rFonts w:eastAsia="Times New Roman"/>
        </w:rPr>
      </w:pPr>
      <w:r>
        <w:rPr>
          <w:rFonts w:eastAsia="Times New Roman"/>
          <w:color w:val="000000"/>
          <w:sz w:val="20"/>
          <w:szCs w:val="20"/>
          <w:u w:val="single"/>
        </w:rPr>
        <w:t>Mortgage Loans on Real Estate</w:t>
      </w:r>
    </w:p>
    <w:p w:rsidR="00000000" w:rsidRDefault="000C147A">
      <w:pPr>
        <w:divId w:val="1580408650"/>
        <w:rPr>
          <w:rFonts w:eastAsia="Times New Roman"/>
        </w:rPr>
      </w:pPr>
      <w:r>
        <w:rPr>
          <w:rFonts w:eastAsia="Times New Roman"/>
          <w:color w:val="000000"/>
          <w:sz w:val="20"/>
          <w:szCs w:val="20"/>
        </w:rPr>
        <w:t>Mortgage loans are stated at unpaid principal balances, net of unamortized discounts and the allowa</w:t>
      </w:r>
      <w:r>
        <w:rPr>
          <w:rFonts w:eastAsia="Times New Roman"/>
          <w:color w:val="000000"/>
          <w:sz w:val="20"/>
          <w:szCs w:val="20"/>
        </w:rPr>
        <w:t xml:space="preserve">nce for credit losses. The Company calculates the allowance for credit losses in accordance with the CECL model in order to provide for the risk of credit losses in the lending process. </w:t>
      </w:r>
    </w:p>
    <w:p w:rsidR="00000000" w:rsidRDefault="000C147A">
      <w:pPr>
        <w:divId w:val="1926374108"/>
        <w:rPr>
          <w:rFonts w:eastAsia="Times New Roman"/>
        </w:rPr>
      </w:pPr>
      <w:r>
        <w:rPr>
          <w:rFonts w:eastAsia="Times New Roman"/>
          <w:color w:val="000000"/>
          <w:sz w:val="20"/>
          <w:szCs w:val="20"/>
        </w:rPr>
        <w:t>Expected credit losses for loans with similar risk characteristics ar</w:t>
      </w:r>
      <w:r>
        <w:rPr>
          <w:rFonts w:eastAsia="Times New Roman"/>
          <w:color w:val="000000"/>
          <w:sz w:val="20"/>
          <w:szCs w:val="20"/>
        </w:rPr>
        <w:t>e estimated on a collective (i.e., pool) basis in order to meet CECL’s risk of loss concept which requires the Company to consider possibilities of loss, even if remote.</w:t>
      </w:r>
    </w:p>
    <w:p w:rsidR="00000000" w:rsidRDefault="000C147A">
      <w:pPr>
        <w:divId w:val="1788503824"/>
        <w:rPr>
          <w:rFonts w:eastAsia="Times New Roman"/>
        </w:rPr>
      </w:pPr>
      <w:r>
        <w:rPr>
          <w:rFonts w:eastAsia="Times New Roman"/>
          <w:color w:val="000000"/>
          <w:sz w:val="20"/>
          <w:szCs w:val="20"/>
        </w:rPr>
        <w:t>For collectively evaluated mortgages, the Company estimates the allowance for credit losses based on the amortized cost basis of its mortgages over their expected life using a probability of default (“PD”) / loss given default (“LGD”) model. The PD/LGD mod</w:t>
      </w:r>
      <w:r>
        <w:rPr>
          <w:rFonts w:eastAsia="Times New Roman"/>
          <w:color w:val="000000"/>
          <w:sz w:val="20"/>
          <w:szCs w:val="20"/>
        </w:rPr>
        <w:t xml:space="preserve">el incorporates the Company’s reasonable and supportable forecast of macroeconomic information over a specified period. The length of the reasonable and supportable forecast period is reassessed on a quarterly basis and may be adjusted as appropriate over </w:t>
      </w:r>
      <w:r>
        <w:rPr>
          <w:rFonts w:eastAsia="Times New Roman"/>
          <w:color w:val="000000"/>
          <w:sz w:val="20"/>
          <w:szCs w:val="20"/>
        </w:rPr>
        <w:t>time to be consistent with macroeconomic conditions and the environment as of the reporting date. For periods beyond the reasonable and supportable forecast period, the model reverts to historical loss information. The PD and LGD are estimated at the loan-</w:t>
      </w:r>
      <w:r>
        <w:rPr>
          <w:rFonts w:eastAsia="Times New Roman"/>
          <w:color w:val="000000"/>
          <w:sz w:val="20"/>
          <w:szCs w:val="20"/>
        </w:rPr>
        <w:t>level based on loans’ current and forecasted risk characteristics as well as macroeconomic forecasts. The PD is estimated using both macroeconomic conditions as well as individual loan risk characteristics including LTV ratios, DSC ratios, seasoning, colla</w:t>
      </w:r>
      <w:r>
        <w:rPr>
          <w:rFonts w:eastAsia="Times New Roman"/>
          <w:color w:val="000000"/>
          <w:sz w:val="20"/>
          <w:szCs w:val="20"/>
        </w:rPr>
        <w:t>teral type, geography, and underlying credit. The LGD is driven primarily by the type and value of collateral, and secondarily by expected liquidation costs and time to recovery.</w:t>
      </w:r>
    </w:p>
    <w:p w:rsidR="00000000" w:rsidRDefault="000C147A">
      <w:pPr>
        <w:divId w:val="1719234705"/>
        <w:rPr>
          <w:rFonts w:eastAsia="Times New Roman"/>
        </w:rPr>
      </w:pPr>
      <w:r>
        <w:rPr>
          <w:rFonts w:eastAsia="Times New Roman"/>
          <w:color w:val="000000"/>
          <w:sz w:val="20"/>
          <w:szCs w:val="20"/>
        </w:rPr>
        <w:t>The CECL model is configured to the Company’s specifications and takes into c</w:t>
      </w:r>
      <w:r>
        <w:rPr>
          <w:rFonts w:eastAsia="Times New Roman"/>
          <w:color w:val="000000"/>
          <w:sz w:val="20"/>
          <w:szCs w:val="20"/>
        </w:rPr>
        <w:t>onsideration the detailed risk attributes of each discrete loan in the mortgage portfolio which include, but are not limited to the following:</w:t>
      </w:r>
    </w:p>
    <w:p w:rsidR="00000000" w:rsidRDefault="000C147A">
      <w:pPr>
        <w:ind w:hanging="360"/>
        <w:jc w:val="both"/>
        <w:divId w:val="447818331"/>
        <w:rPr>
          <w:rFonts w:eastAsia="Times New Roman"/>
        </w:rPr>
      </w:pPr>
      <w:r>
        <w:rPr>
          <w:rFonts w:eastAsia="Times New Roman"/>
          <w:color w:val="000000"/>
          <w:sz w:val="20"/>
          <w:szCs w:val="20"/>
        </w:rPr>
        <w:t>•Loan-to-value (“LTV”) ratio - Derived from current loan balance divided by the fair market value of the property</w:t>
      </w:r>
      <w:r>
        <w:rPr>
          <w:rFonts w:eastAsia="Times New Roman"/>
          <w:color w:val="000000"/>
          <w:sz w:val="20"/>
          <w:szCs w:val="20"/>
        </w:rPr>
        <w:t>. An LTV ratio in excess of 100% indicates an underwater mortgage. </w:t>
      </w:r>
    </w:p>
    <w:p w:rsidR="00000000" w:rsidRDefault="000C147A">
      <w:pPr>
        <w:ind w:hanging="360"/>
        <w:jc w:val="both"/>
        <w:divId w:val="1931280399"/>
        <w:rPr>
          <w:rFonts w:eastAsia="Times New Roman"/>
        </w:rPr>
      </w:pPr>
      <w:r>
        <w:rPr>
          <w:rFonts w:eastAsia="Times New Roman"/>
          <w:color w:val="000000"/>
          <w:sz w:val="20"/>
          <w:szCs w:val="20"/>
        </w:rPr>
        <w:t>•Debt service coverage (“DSC”) ratio - Derived from actual operating earnings divided by annual debt service. If the ratio is below 1.0x, then the income from the property does not support</w:t>
      </w:r>
      <w:r>
        <w:rPr>
          <w:rFonts w:eastAsia="Times New Roman"/>
          <w:color w:val="000000"/>
          <w:sz w:val="20"/>
          <w:szCs w:val="20"/>
        </w:rPr>
        <w:t xml:space="preserve"> the debt.</w:t>
      </w:r>
    </w:p>
    <w:p w:rsidR="00000000" w:rsidRDefault="000C147A">
      <w:pPr>
        <w:ind w:hanging="360"/>
        <w:jc w:val="both"/>
        <w:divId w:val="1195658374"/>
        <w:rPr>
          <w:rFonts w:eastAsia="Times New Roman"/>
        </w:rPr>
      </w:pPr>
      <w:r>
        <w:rPr>
          <w:rFonts w:eastAsia="Times New Roman"/>
          <w:color w:val="000000"/>
          <w:sz w:val="20"/>
          <w:szCs w:val="20"/>
        </w:rPr>
        <w:t>•Occupancy - Criteria varies by property type but low or below market occupancy is an indicator of sub-par property performance.</w:t>
      </w:r>
    </w:p>
    <w:p w:rsidR="00000000" w:rsidRDefault="000C147A">
      <w:pPr>
        <w:ind w:hanging="360"/>
        <w:jc w:val="both"/>
        <w:divId w:val="1427993349"/>
        <w:rPr>
          <w:rFonts w:eastAsia="Times New Roman"/>
        </w:rPr>
      </w:pPr>
      <w:r>
        <w:rPr>
          <w:rFonts w:eastAsia="Times New Roman"/>
          <w:color w:val="000000"/>
          <w:sz w:val="20"/>
          <w:szCs w:val="20"/>
        </w:rPr>
        <w:t>•Lease expirations - The percentage of leases expiring in the upcoming 12 to 36 months are monitored as a decline in</w:t>
      </w:r>
      <w:r>
        <w:rPr>
          <w:rFonts w:eastAsia="Times New Roman"/>
          <w:color w:val="000000"/>
          <w:sz w:val="20"/>
          <w:szCs w:val="20"/>
        </w:rPr>
        <w:t xml:space="preserve"> rent and/or occupancy may negatively impact the debt service coverage ratio. In the case of single-tenant properties or properties with large tenant exposure, the lease expiration is a material risk factor.</w:t>
      </w:r>
    </w:p>
    <w:p w:rsidR="00000000" w:rsidRDefault="000C147A">
      <w:pPr>
        <w:ind w:hanging="360"/>
        <w:jc w:val="both"/>
        <w:divId w:val="988290239"/>
        <w:rPr>
          <w:rFonts w:eastAsia="Times New Roman"/>
        </w:rPr>
      </w:pPr>
      <w:r>
        <w:rPr>
          <w:rFonts w:eastAsia="Times New Roman"/>
          <w:color w:val="000000"/>
          <w:sz w:val="20"/>
          <w:szCs w:val="20"/>
        </w:rPr>
        <w:t>•Other - Any other factors such as maturity, bor</w:t>
      </w:r>
      <w:r>
        <w:rPr>
          <w:rFonts w:eastAsia="Times New Roman"/>
          <w:color w:val="000000"/>
          <w:sz w:val="20"/>
          <w:szCs w:val="20"/>
        </w:rPr>
        <w:t>rower/tenant related issues, payment status, property condition, or current economic conditions may call into question the performance of the loan.</w:t>
      </w:r>
    </w:p>
    <w:p w:rsidR="00000000" w:rsidRDefault="000C147A">
      <w:pPr>
        <w:divId w:val="1737821681"/>
        <w:rPr>
          <w:rFonts w:eastAsia="Times New Roman"/>
        </w:rPr>
      </w:pPr>
      <w:r>
        <w:rPr>
          <w:rFonts w:eastAsia="Times New Roman"/>
          <w:color w:val="000000"/>
          <w:sz w:val="20"/>
          <w:szCs w:val="20"/>
        </w:rPr>
        <w:t>Mortgage loans that do not share similar risk characteristics with other loans in the portfolio are individu</w:t>
      </w:r>
      <w:r>
        <w:rPr>
          <w:rFonts w:eastAsia="Times New Roman"/>
          <w:color w:val="000000"/>
          <w:sz w:val="20"/>
          <w:szCs w:val="20"/>
        </w:rPr>
        <w:t>ally evaluated quarterly by the Company’s IUS Committee. The allowance for credit losses on these individually evaluated mortgages is a loan-specific reserve as a result of the loan review process that is recorded based on the present value of expected fut</w:t>
      </w:r>
      <w:r>
        <w:rPr>
          <w:rFonts w:eastAsia="Times New Roman"/>
          <w:color w:val="000000"/>
          <w:sz w:val="20"/>
          <w:szCs w:val="20"/>
        </w:rPr>
        <w:t>ure cash flows discounted at the loan’s effective interest rate or based on the fair value of the collateral. The individually assessed allowance for mortgage loans can increase or decrease from period to period based on such factors.</w:t>
      </w:r>
    </w:p>
    <w:p w:rsidR="00000000" w:rsidRDefault="000C147A">
      <w:pPr>
        <w:divId w:val="1707946931"/>
        <w:rPr>
          <w:rFonts w:eastAsia="Times New Roman"/>
        </w:rPr>
      </w:pPr>
      <w:r>
        <w:rPr>
          <w:rFonts w:eastAsia="Times New Roman"/>
          <w:color w:val="000000"/>
          <w:sz w:val="20"/>
          <w:szCs w:val="20"/>
        </w:rPr>
        <w:t>Individually assessed</w:t>
      </w:r>
      <w:r>
        <w:rPr>
          <w:rFonts w:eastAsia="Times New Roman"/>
          <w:color w:val="000000"/>
          <w:sz w:val="20"/>
          <w:szCs w:val="20"/>
        </w:rPr>
        <w:t xml:space="preserve"> loans may include, but are not limited to, mortgages that have deteriorated in credit quality such as troubled debt restructurings (“TDR”) and reasonably expected TDRs, mortgages for which foreclosure is probable, and mortgages which have been classified </w:t>
      </w:r>
      <w:r>
        <w:rPr>
          <w:rFonts w:eastAsia="Times New Roman"/>
          <w:color w:val="000000"/>
          <w:sz w:val="20"/>
          <w:szCs w:val="20"/>
        </w:rPr>
        <w:t>as “potential problem” or “problem” loans within the Company’s IUS Committee processes as described below.</w:t>
      </w:r>
    </w:p>
    <w:p w:rsidR="00000000" w:rsidRDefault="000C147A">
      <w:pPr>
        <w:divId w:val="1705016903"/>
        <w:rPr>
          <w:rFonts w:eastAsia="Times New Roman"/>
        </w:rPr>
      </w:pPr>
      <w:r>
        <w:rPr>
          <w:rFonts w:eastAsia="Times New Roman"/>
          <w:color w:val="000000"/>
          <w:sz w:val="20"/>
          <w:szCs w:val="20"/>
        </w:rPr>
        <w:t>Within the IUS process, Commercial mortgages 60 days or more past due and agricultural mortgages 90 days or more past due, as well as all mortgages i</w:t>
      </w:r>
      <w:r>
        <w:rPr>
          <w:rFonts w:eastAsia="Times New Roman"/>
          <w:color w:val="000000"/>
          <w:sz w:val="20"/>
          <w:szCs w:val="20"/>
        </w:rPr>
        <w:t>n the process of foreclosure, are identified as problem loans. Based on its monthly monitoring of mortgages, a class of potential problem loans are also identified, consisting of mortgage loans not currently classified as problem loans but for which manage</w:t>
      </w:r>
      <w:r>
        <w:rPr>
          <w:rFonts w:eastAsia="Times New Roman"/>
          <w:color w:val="000000"/>
          <w:sz w:val="20"/>
          <w:szCs w:val="20"/>
        </w:rPr>
        <w:t>ment has doubts as to the ability of the borrower to comply with the present loan payment terms and which may result in the loan becoming a problem or being modified. The decision whether to classify a performing mortgage loan as a potential problem involv</w:t>
      </w:r>
      <w:r>
        <w:rPr>
          <w:rFonts w:eastAsia="Times New Roman"/>
          <w:color w:val="000000"/>
          <w:sz w:val="20"/>
          <w:szCs w:val="20"/>
        </w:rPr>
        <w:t>es judgments by management as to likely future industry conditions and developments with respect to the borrower or the individual mortgaged property.</w:t>
      </w:r>
    </w:p>
    <w:p w:rsidR="00000000" w:rsidRDefault="000C147A">
      <w:pPr>
        <w:divId w:val="564754376"/>
        <w:rPr>
          <w:rFonts w:eastAsia="Times New Roman"/>
        </w:rPr>
      </w:pPr>
      <w:r>
        <w:rPr>
          <w:rFonts w:eastAsia="Times New Roman"/>
          <w:color w:val="000000"/>
          <w:sz w:val="20"/>
          <w:szCs w:val="20"/>
        </w:rPr>
        <w:t>Individually assessed mortgage loans without provision for losses are mortgage loans where the fair value</w:t>
      </w:r>
      <w:r>
        <w:rPr>
          <w:rFonts w:eastAsia="Times New Roman"/>
          <w:color w:val="000000"/>
          <w:sz w:val="20"/>
          <w:szCs w:val="20"/>
        </w:rPr>
        <w:t xml:space="preserve"> of the collateral or the net present value of the expected future cash flows related to the loan equals or exceeds the recorded </w:t>
      </w:r>
    </w:p>
    <w:p w:rsidR="00000000" w:rsidRDefault="000C147A">
      <w:pPr>
        <w:jc w:val="center"/>
        <w:divId w:val="1813014276"/>
        <w:rPr>
          <w:rFonts w:eastAsia="Times New Roman"/>
        </w:rPr>
      </w:pPr>
      <w:r>
        <w:rPr>
          <w:rFonts w:eastAsia="Times New Roman"/>
          <w:color w:val="000000"/>
          <w:sz w:val="20"/>
          <w:szCs w:val="20"/>
        </w:rPr>
        <w:t>16</w:t>
      </w:r>
    </w:p>
    <w:p w:rsidR="00000000" w:rsidRDefault="000C147A">
      <w:pPr>
        <w:rPr>
          <w:rFonts w:eastAsia="Times New Roman"/>
        </w:rPr>
      </w:pPr>
      <w:r>
        <w:rPr>
          <w:rFonts w:eastAsia="Times New Roman"/>
        </w:rPr>
        <w:pict>
          <v:rect id="_x0000_i1042" style="width:0;height:1.5pt" o:hralign="center" o:hrstd="t" o:hr="t" fillcolor="#a0a0a0" stroked="f"/>
        </w:pict>
      </w:r>
    </w:p>
    <w:p w:rsidR="00000000" w:rsidRDefault="000C147A">
      <w:pPr>
        <w:jc w:val="center"/>
        <w:divId w:val="1135946866"/>
        <w:rPr>
          <w:rFonts w:eastAsia="Times New Roman"/>
        </w:rPr>
      </w:pPr>
      <w:r>
        <w:rPr>
          <w:rFonts w:eastAsia="Times New Roman"/>
          <w:b/>
          <w:bCs/>
          <w:color w:val="000000"/>
          <w:sz w:val="20"/>
          <w:szCs w:val="20"/>
        </w:rPr>
        <w:t>EQUITABLE HOLDINGS, INC.</w:t>
      </w:r>
    </w:p>
    <w:p w:rsidR="00000000" w:rsidRDefault="000C147A">
      <w:pPr>
        <w:jc w:val="center"/>
        <w:divId w:val="1135946866"/>
        <w:rPr>
          <w:rFonts w:eastAsia="Times New Roman"/>
        </w:rPr>
      </w:pPr>
      <w:r>
        <w:rPr>
          <w:rFonts w:eastAsia="Times New Roman"/>
          <w:b/>
          <w:bCs/>
          <w:color w:val="000000"/>
          <w:sz w:val="20"/>
          <w:szCs w:val="20"/>
        </w:rPr>
        <w:t>Notes to Consolidated Financial Statements (Unaudited), Conti</w:t>
      </w:r>
      <w:r>
        <w:rPr>
          <w:rFonts w:eastAsia="Times New Roman"/>
          <w:b/>
          <w:bCs/>
          <w:color w:val="000000"/>
          <w:sz w:val="20"/>
          <w:szCs w:val="20"/>
        </w:rPr>
        <w:t>nued</w:t>
      </w:r>
    </w:p>
    <w:p w:rsidR="00000000" w:rsidRDefault="000C147A">
      <w:pPr>
        <w:divId w:val="599292839"/>
        <w:rPr>
          <w:rFonts w:eastAsia="Times New Roman"/>
        </w:rPr>
      </w:pPr>
      <w:r>
        <w:rPr>
          <w:rFonts w:eastAsia="Times New Roman"/>
          <w:color w:val="000000"/>
          <w:sz w:val="20"/>
          <w:szCs w:val="20"/>
        </w:rPr>
        <w:t>investment. Interest income earned on mortgage loans where the collateral value is used to measure impairment is recorded on a cash basis. Interest income on mortgage loans where the present value method is used to measure impairment is accrued on the</w:t>
      </w:r>
      <w:r>
        <w:rPr>
          <w:rFonts w:eastAsia="Times New Roman"/>
          <w:color w:val="000000"/>
          <w:sz w:val="20"/>
          <w:szCs w:val="20"/>
        </w:rPr>
        <w:t xml:space="preserve"> net carrying value amount of the loan at the interest rate used to discount the cash flows.</w:t>
      </w:r>
    </w:p>
    <w:p w:rsidR="00000000" w:rsidRDefault="000C147A">
      <w:pPr>
        <w:divId w:val="1413701691"/>
        <w:rPr>
          <w:rFonts w:eastAsia="Times New Roman"/>
        </w:rPr>
      </w:pPr>
      <w:r>
        <w:rPr>
          <w:rFonts w:eastAsia="Times New Roman"/>
          <w:color w:val="000000"/>
          <w:sz w:val="20"/>
          <w:szCs w:val="20"/>
        </w:rPr>
        <w:t>Mortgage loans are placed on nonaccrual status once management believes the collection of accrued interest is not probable. Once mortgage loans are classified as n</w:t>
      </w:r>
      <w:r>
        <w:rPr>
          <w:rFonts w:eastAsia="Times New Roman"/>
          <w:color w:val="000000"/>
          <w:sz w:val="20"/>
          <w:szCs w:val="20"/>
        </w:rPr>
        <w:t>onaccrual mortgage loans, interest income is recognized under the cash basis of accounting and the resumption of the interest accrual would commence only after all past due interest has been collected or the mortgage loan has been restructured to where the</w:t>
      </w:r>
      <w:r>
        <w:rPr>
          <w:rFonts w:eastAsia="Times New Roman"/>
          <w:color w:val="000000"/>
          <w:sz w:val="20"/>
          <w:szCs w:val="20"/>
        </w:rPr>
        <w:t xml:space="preserve"> collection of interest is considered likely. The Company charges off loan balances and accrued interest that are deemed uncollectible.</w:t>
      </w:r>
    </w:p>
    <w:p w:rsidR="00000000" w:rsidRDefault="000C147A">
      <w:pPr>
        <w:divId w:val="1652901281"/>
        <w:rPr>
          <w:rFonts w:eastAsia="Times New Roman"/>
        </w:rPr>
      </w:pPr>
      <w:r>
        <w:rPr>
          <w:rFonts w:eastAsia="Times New Roman"/>
          <w:color w:val="000000"/>
          <w:sz w:val="20"/>
          <w:szCs w:val="20"/>
        </w:rPr>
        <w:t>The components of amortized cost for mortgage loans on the consolidated balance sheets excludes accrued interest amounts</w:t>
      </w:r>
      <w:r>
        <w:rPr>
          <w:rFonts w:eastAsia="Times New Roman"/>
          <w:color w:val="000000"/>
          <w:sz w:val="20"/>
          <w:szCs w:val="20"/>
        </w:rPr>
        <w:t xml:space="preserve"> because the Company presents accrued interest receivables within Other assets. Once mortgage loans are placed on nonaccrual status, the Company reverses accrued interest receivable against interest income. Since the nonaccrual policy results in the timely</w:t>
      </w:r>
      <w:r>
        <w:rPr>
          <w:rFonts w:eastAsia="Times New Roman"/>
          <w:color w:val="000000"/>
          <w:sz w:val="20"/>
          <w:szCs w:val="20"/>
        </w:rPr>
        <w:t xml:space="preserve"> reversal of accrued interest receivable, the Company does not record an allowance for credit losses on accrued interest receivable.</w:t>
      </w:r>
    </w:p>
    <w:p w:rsidR="00000000" w:rsidRDefault="000C147A">
      <w:pPr>
        <w:divId w:val="1113943059"/>
        <w:rPr>
          <w:rFonts w:eastAsia="Times New Roman"/>
        </w:rPr>
      </w:pPr>
      <w:r>
        <w:rPr>
          <w:rFonts w:eastAsia="Times New Roman"/>
          <w:color w:val="000000"/>
          <w:sz w:val="20"/>
          <w:szCs w:val="20"/>
          <w:u w:val="single"/>
        </w:rPr>
        <w:t>Troubled Debt Restructuring</w:t>
      </w:r>
    </w:p>
    <w:p w:rsidR="00000000" w:rsidRDefault="000C147A">
      <w:pPr>
        <w:divId w:val="993216855"/>
        <w:rPr>
          <w:rFonts w:eastAsia="Times New Roman"/>
        </w:rPr>
      </w:pPr>
      <w:r>
        <w:rPr>
          <w:rFonts w:eastAsia="Times New Roman"/>
          <w:color w:val="000000"/>
          <w:sz w:val="20"/>
          <w:szCs w:val="20"/>
        </w:rPr>
        <w:t>The Company invests in commercial and agricultural mortgage loans included in the balance sheet</w:t>
      </w:r>
      <w:r>
        <w:rPr>
          <w:rFonts w:eastAsia="Times New Roman"/>
          <w:color w:val="000000"/>
          <w:sz w:val="20"/>
          <w:szCs w:val="20"/>
        </w:rPr>
        <w:t xml:space="preserve"> as Mortgage loans on real estate and privately negotiated fixed maturities included in the balance sheet as Fixed maturities AFS. Under certain circumstances, modifications are granted to these contracts. Each modification is evaluated as to whether a tro</w:t>
      </w:r>
      <w:r>
        <w:rPr>
          <w:rFonts w:eastAsia="Times New Roman"/>
          <w:color w:val="000000"/>
          <w:sz w:val="20"/>
          <w:szCs w:val="20"/>
        </w:rPr>
        <w:t>ubled debt restructuring has occurred. A modification is a troubled debt restructuring when the borrower is in financial difficulty and the creditor makes concessions. Generally, the types of concessions may include reducing the face amount or maturity amo</w:t>
      </w:r>
      <w:r>
        <w:rPr>
          <w:rFonts w:eastAsia="Times New Roman"/>
          <w:color w:val="000000"/>
          <w:sz w:val="20"/>
          <w:szCs w:val="20"/>
        </w:rPr>
        <w:t xml:space="preserve">unt of the debt as originally stated, reducing the contractual interest rate, extending the maturity date at an interest rate lower than current market interest rates and/or reducing accrued interest. The Company considers the amount, timing and extent of </w:t>
      </w:r>
      <w:r>
        <w:rPr>
          <w:rFonts w:eastAsia="Times New Roman"/>
          <w:color w:val="000000"/>
          <w:sz w:val="20"/>
          <w:szCs w:val="20"/>
        </w:rPr>
        <w:t>the concession granted in determining any impairment or changes in the specific credit allowance recorded in connection with the troubled debt restructuring. A credit allowance may have been recorded prior to the quarter when the loan is modified in a trou</w:t>
      </w:r>
      <w:r>
        <w:rPr>
          <w:rFonts w:eastAsia="Times New Roman"/>
          <w:color w:val="000000"/>
          <w:sz w:val="20"/>
          <w:szCs w:val="20"/>
        </w:rPr>
        <w:t>bled debt restructuring. Accordingly, the carrying value (net of the allowance) before and after modification through a troubled debt restructuring may not change significantly, or may increase if the expected recovery is higher than the pre-modification r</w:t>
      </w:r>
      <w:r>
        <w:rPr>
          <w:rFonts w:eastAsia="Times New Roman"/>
          <w:color w:val="000000"/>
          <w:sz w:val="20"/>
          <w:szCs w:val="20"/>
        </w:rPr>
        <w:t xml:space="preserve">ecovery assessment. </w:t>
      </w:r>
    </w:p>
    <w:p w:rsidR="00000000" w:rsidRDefault="000C147A">
      <w:pPr>
        <w:divId w:val="469327451"/>
        <w:rPr>
          <w:rFonts w:eastAsia="Times New Roman"/>
        </w:rPr>
      </w:pPr>
      <w:r>
        <w:rPr>
          <w:rFonts w:eastAsia="Times New Roman"/>
          <w:color w:val="000000"/>
          <w:sz w:val="20"/>
          <w:szCs w:val="20"/>
          <w:u w:val="single"/>
        </w:rPr>
        <w:t>Net Investment Income (Loss), Investment Gains (Losses), Net, and Unrealized Investment Gains (Losses)</w:t>
      </w:r>
    </w:p>
    <w:p w:rsidR="00000000" w:rsidRDefault="000C147A">
      <w:pPr>
        <w:divId w:val="1864005216"/>
        <w:rPr>
          <w:rFonts w:eastAsia="Times New Roman"/>
        </w:rPr>
      </w:pPr>
      <w:r>
        <w:rPr>
          <w:rFonts w:eastAsia="Times New Roman"/>
          <w:color w:val="000000"/>
          <w:sz w:val="20"/>
          <w:szCs w:val="20"/>
        </w:rPr>
        <w:t>Realized investment gains (losses) are determined by identification with the specific asset and are presented as a component of reve</w:t>
      </w:r>
      <w:r>
        <w:rPr>
          <w:rFonts w:eastAsia="Times New Roman"/>
          <w:color w:val="000000"/>
          <w:sz w:val="20"/>
          <w:szCs w:val="20"/>
        </w:rPr>
        <w:t>nue. Changes in the allowance for credit losses are included in Investment gains (losses), net.</w:t>
      </w:r>
    </w:p>
    <w:p w:rsidR="00000000" w:rsidRDefault="000C147A">
      <w:pPr>
        <w:divId w:val="1521507633"/>
        <w:rPr>
          <w:rFonts w:eastAsia="Times New Roman"/>
        </w:rPr>
      </w:pPr>
      <w:r>
        <w:rPr>
          <w:rFonts w:eastAsia="Times New Roman"/>
          <w:color w:val="000000"/>
          <w:sz w:val="20"/>
          <w:szCs w:val="20"/>
        </w:rPr>
        <w:t>Realized and unrealized holding gains (losses) on trading and equity securities are reflected in Net investment income (loss).</w:t>
      </w:r>
    </w:p>
    <w:p w:rsidR="00000000" w:rsidRDefault="000C147A">
      <w:pPr>
        <w:divId w:val="1058818678"/>
        <w:rPr>
          <w:rFonts w:eastAsia="Times New Roman"/>
        </w:rPr>
      </w:pPr>
      <w:r>
        <w:rPr>
          <w:rFonts w:eastAsia="Times New Roman"/>
          <w:color w:val="000000"/>
          <w:sz w:val="20"/>
          <w:szCs w:val="20"/>
        </w:rPr>
        <w:t>Unrealized investment gains (loss</w:t>
      </w:r>
      <w:r>
        <w:rPr>
          <w:rFonts w:eastAsia="Times New Roman"/>
          <w:color w:val="000000"/>
          <w:sz w:val="20"/>
          <w:szCs w:val="20"/>
        </w:rPr>
        <w:t>es) on fixed maturities designated as AFS held by the Company are accounted for as a separate component of AOCI, net of related deferred income taxes, as are amounts attributable to certain pension operations, Closed Block’s policyholders’ dividend obligat</w:t>
      </w:r>
      <w:r>
        <w:rPr>
          <w:rFonts w:eastAsia="Times New Roman"/>
          <w:color w:val="000000"/>
          <w:sz w:val="20"/>
          <w:szCs w:val="20"/>
        </w:rPr>
        <w:t xml:space="preserve">ion, insurance liability loss recognition, DAC related to UL policies, investment-type products and participating traditional life policies. </w:t>
      </w:r>
    </w:p>
    <w:p w:rsidR="00000000" w:rsidRDefault="000C147A">
      <w:pPr>
        <w:divId w:val="1108309335"/>
        <w:rPr>
          <w:rFonts w:eastAsia="Times New Roman"/>
        </w:rPr>
      </w:pPr>
      <w:r>
        <w:rPr>
          <w:rFonts w:eastAsia="Times New Roman"/>
          <w:color w:val="000000"/>
          <w:sz w:val="20"/>
          <w:szCs w:val="20"/>
        </w:rPr>
        <w:t>Changes in unrealized gains (losses) reflect changes in fair value of only those fixed maturities classified as AF</w:t>
      </w:r>
      <w:r>
        <w:rPr>
          <w:rFonts w:eastAsia="Times New Roman"/>
          <w:color w:val="000000"/>
          <w:sz w:val="20"/>
          <w:szCs w:val="20"/>
        </w:rPr>
        <w:t>S and do not reflect any change in fair value of policyholders’ account balances and future policy benefits.</w:t>
      </w:r>
    </w:p>
    <w:p w:rsidR="00000000" w:rsidRDefault="000C147A">
      <w:pPr>
        <w:divId w:val="997878984"/>
        <w:rPr>
          <w:rFonts w:eastAsia="Times New Roman"/>
        </w:rPr>
      </w:pPr>
      <w:r>
        <w:rPr>
          <w:rFonts w:eastAsia="Times New Roman"/>
          <w:color w:val="000000"/>
          <w:sz w:val="20"/>
          <w:szCs w:val="20"/>
          <w:u w:val="single"/>
        </w:rPr>
        <w:t>Accounting and Consolidation of VIEs</w:t>
      </w:r>
    </w:p>
    <w:p w:rsidR="00000000" w:rsidRDefault="000C147A">
      <w:pPr>
        <w:divId w:val="1427575183"/>
        <w:rPr>
          <w:rFonts w:eastAsia="Times New Roman"/>
        </w:rPr>
      </w:pPr>
      <w:r>
        <w:rPr>
          <w:rFonts w:eastAsia="Times New Roman"/>
          <w:color w:val="000000"/>
          <w:sz w:val="20"/>
          <w:szCs w:val="20"/>
        </w:rPr>
        <w:t>For all new investment products and entities developed by the Company (other than Collateralized Debt Obligati</w:t>
      </w:r>
      <w:r>
        <w:rPr>
          <w:rFonts w:eastAsia="Times New Roman"/>
          <w:color w:val="000000"/>
          <w:sz w:val="20"/>
          <w:szCs w:val="20"/>
        </w:rPr>
        <w:t>ons (“CDOs”)), the Company first determines whether the entity is a VIE, which involves determining an entity’s variability and variable interests, identifying the holders of the equity investment at risk and assessing the five characteristics of a VIE. On</w:t>
      </w:r>
      <w:r>
        <w:rPr>
          <w:rFonts w:eastAsia="Times New Roman"/>
          <w:color w:val="000000"/>
          <w:sz w:val="20"/>
          <w:szCs w:val="20"/>
        </w:rPr>
        <w:t>ce an entity has been determined to be a VIE, the Company then identifies the primary beneficiary of the VIE. If the Company is deemed to be the primary beneficiary of the VIE, then the Company consolidates the entity.</w:t>
      </w:r>
    </w:p>
    <w:p w:rsidR="00000000" w:rsidRDefault="000C147A">
      <w:pPr>
        <w:divId w:val="413933882"/>
        <w:rPr>
          <w:rFonts w:eastAsia="Times New Roman"/>
        </w:rPr>
      </w:pPr>
      <w:r>
        <w:rPr>
          <w:rFonts w:eastAsia="Times New Roman"/>
          <w:color w:val="000000"/>
          <w:sz w:val="20"/>
          <w:szCs w:val="20"/>
        </w:rPr>
        <w:t xml:space="preserve">Management of the Company reviews quarterly its investment management agreements and its investments in, and other financial arrangements with, certain entities that hold client assets under management (“AUM”) to determine the entities that the Company is </w:t>
      </w:r>
      <w:r>
        <w:rPr>
          <w:rFonts w:eastAsia="Times New Roman"/>
          <w:color w:val="000000"/>
          <w:sz w:val="20"/>
          <w:szCs w:val="20"/>
        </w:rPr>
        <w:t>required to consolidate under this guidance. These entities include certain mutual fund products, hedge funds, structured products, group trusts, collective investment trusts and limited partnerships.</w:t>
      </w:r>
    </w:p>
    <w:p w:rsidR="00000000" w:rsidRDefault="000C147A">
      <w:pPr>
        <w:divId w:val="1332681304"/>
        <w:rPr>
          <w:rFonts w:eastAsia="Times New Roman"/>
        </w:rPr>
      </w:pPr>
      <w:r>
        <w:rPr>
          <w:rFonts w:eastAsia="Times New Roman"/>
          <w:color w:val="000000"/>
          <w:sz w:val="20"/>
          <w:szCs w:val="20"/>
        </w:rPr>
        <w:t>The analysis performed to identify variable interests h</w:t>
      </w:r>
      <w:r>
        <w:rPr>
          <w:rFonts w:eastAsia="Times New Roman"/>
          <w:color w:val="000000"/>
          <w:sz w:val="20"/>
          <w:szCs w:val="20"/>
        </w:rPr>
        <w:t xml:space="preserve">eld, determine whether entities are VIEs or voting interest entities (“VOEs”), and evaluate whether the Company has a controlling financial interest in such entities requires the </w:t>
      </w:r>
    </w:p>
    <w:p w:rsidR="00000000" w:rsidRDefault="000C147A">
      <w:pPr>
        <w:jc w:val="center"/>
        <w:divId w:val="631980551"/>
        <w:rPr>
          <w:rFonts w:eastAsia="Times New Roman"/>
        </w:rPr>
      </w:pPr>
      <w:r>
        <w:rPr>
          <w:rFonts w:eastAsia="Times New Roman"/>
          <w:color w:val="000000"/>
          <w:sz w:val="20"/>
          <w:szCs w:val="20"/>
        </w:rPr>
        <w:t>17</w:t>
      </w:r>
    </w:p>
    <w:p w:rsidR="00000000" w:rsidRDefault="000C147A">
      <w:pPr>
        <w:rPr>
          <w:rFonts w:eastAsia="Times New Roman"/>
        </w:rPr>
      </w:pPr>
      <w:r>
        <w:rPr>
          <w:rFonts w:eastAsia="Times New Roman"/>
        </w:rPr>
        <w:pict>
          <v:rect id="_x0000_i1043" style="width:0;height:1.5pt" o:hralign="center" o:hrstd="t" o:hr="t" fillcolor="#a0a0a0" stroked="f"/>
        </w:pict>
      </w:r>
    </w:p>
    <w:p w:rsidR="00000000" w:rsidRDefault="000C147A">
      <w:pPr>
        <w:jc w:val="center"/>
        <w:divId w:val="51004896"/>
        <w:rPr>
          <w:rFonts w:eastAsia="Times New Roman"/>
        </w:rPr>
      </w:pPr>
      <w:r>
        <w:rPr>
          <w:rFonts w:eastAsia="Times New Roman"/>
          <w:b/>
          <w:bCs/>
          <w:color w:val="000000"/>
          <w:sz w:val="20"/>
          <w:szCs w:val="20"/>
        </w:rPr>
        <w:t>EQUITABLE HOLDINGS, INC.</w:t>
      </w:r>
    </w:p>
    <w:p w:rsidR="00000000" w:rsidRDefault="000C147A">
      <w:pPr>
        <w:jc w:val="center"/>
        <w:divId w:val="51004896"/>
        <w:rPr>
          <w:rFonts w:eastAsia="Times New Roman"/>
        </w:rPr>
      </w:pPr>
      <w:r>
        <w:rPr>
          <w:rFonts w:eastAsia="Times New Roman"/>
          <w:b/>
          <w:bCs/>
          <w:color w:val="000000"/>
          <w:sz w:val="20"/>
          <w:szCs w:val="20"/>
        </w:rPr>
        <w:t>Notes to Consolidated Financial Statements (Unaudited), Continued</w:t>
      </w:r>
    </w:p>
    <w:p w:rsidR="00000000" w:rsidRDefault="000C147A">
      <w:pPr>
        <w:divId w:val="848446381"/>
        <w:rPr>
          <w:rFonts w:eastAsia="Times New Roman"/>
        </w:rPr>
      </w:pPr>
      <w:r>
        <w:rPr>
          <w:rFonts w:eastAsia="Times New Roman"/>
          <w:color w:val="000000"/>
          <w:sz w:val="20"/>
          <w:szCs w:val="20"/>
        </w:rPr>
        <w:t>exercise of judgment and is updated on a continuous basis as circumstances change or new entities are developed. The primary beneficiary evaluation generally is perf</w:t>
      </w:r>
      <w:r>
        <w:rPr>
          <w:rFonts w:eastAsia="Times New Roman"/>
          <w:color w:val="000000"/>
          <w:sz w:val="20"/>
          <w:szCs w:val="20"/>
        </w:rPr>
        <w:t>ormed qualitatively based on all facts and circumstances, including consideration of economic interests in the VIE held directly and indirectly through related parties and entities under common control, as well as quantitatively, as appropriate.</w:t>
      </w:r>
    </w:p>
    <w:p w:rsidR="00000000" w:rsidRDefault="000C147A">
      <w:pPr>
        <w:jc w:val="both"/>
        <w:divId w:val="1684091865"/>
        <w:rPr>
          <w:rFonts w:eastAsia="Times New Roman"/>
        </w:rPr>
      </w:pPr>
      <w:r>
        <w:rPr>
          <w:rFonts w:eastAsia="Times New Roman"/>
          <w:b/>
          <w:bCs/>
          <w:i/>
          <w:iCs/>
          <w:color w:val="000000"/>
          <w:sz w:val="20"/>
          <w:szCs w:val="20"/>
        </w:rPr>
        <w:t>Consolidat</w:t>
      </w:r>
      <w:r>
        <w:rPr>
          <w:rFonts w:eastAsia="Times New Roman"/>
          <w:b/>
          <w:bCs/>
          <w:i/>
          <w:iCs/>
          <w:color w:val="000000"/>
          <w:sz w:val="20"/>
          <w:szCs w:val="20"/>
        </w:rPr>
        <w:t>ed VIEs</w:t>
      </w:r>
    </w:p>
    <w:p w:rsidR="00000000" w:rsidRDefault="000C147A">
      <w:pPr>
        <w:divId w:val="885147087"/>
        <w:rPr>
          <w:rFonts w:eastAsia="Times New Roman"/>
        </w:rPr>
      </w:pPr>
      <w:r>
        <w:rPr>
          <w:rFonts w:eastAsia="Times New Roman"/>
          <w:color w:val="000000"/>
          <w:sz w:val="20"/>
          <w:szCs w:val="20"/>
        </w:rPr>
        <w:t>At September 30, 2020 and December 31, 2019, the Company consolidated one real estate joint venture for which it was identified as the primary beneficiary under the VIE model. The consolidated entity is jointly owned by Equitable Financial Life Ins</w:t>
      </w:r>
      <w:r>
        <w:rPr>
          <w:rFonts w:eastAsia="Times New Roman"/>
          <w:color w:val="000000"/>
          <w:sz w:val="20"/>
          <w:szCs w:val="20"/>
        </w:rPr>
        <w:t>urance Company (“Equitable Financial”) and AXA France and holds an investment in a real estate venture. Included in Other invested assets in the Company’s consolidated balance sheets at September 30, 2020 and December 31, 2019 are total assets of $31 milli</w:t>
      </w:r>
      <w:r>
        <w:rPr>
          <w:rFonts w:eastAsia="Times New Roman"/>
          <w:color w:val="000000"/>
          <w:sz w:val="20"/>
          <w:szCs w:val="20"/>
        </w:rPr>
        <w:t>on and $32 million, respectively, related to this VIE, primarily resulting from the consolidated presentation of this real estate joint venture as real estate held for sale.</w:t>
      </w:r>
    </w:p>
    <w:p w:rsidR="00000000" w:rsidRDefault="000C147A">
      <w:pPr>
        <w:divId w:val="1003433373"/>
        <w:rPr>
          <w:rFonts w:eastAsia="Times New Roman"/>
        </w:rPr>
      </w:pPr>
      <w:r>
        <w:rPr>
          <w:rFonts w:eastAsia="Times New Roman"/>
          <w:color w:val="000000"/>
          <w:sz w:val="20"/>
          <w:szCs w:val="20"/>
        </w:rPr>
        <w:t>As of September 30, 2020, Equitable Financial holds $18 million of equity interest</w:t>
      </w:r>
      <w:r>
        <w:rPr>
          <w:rFonts w:eastAsia="Times New Roman"/>
          <w:color w:val="000000"/>
          <w:sz w:val="20"/>
          <w:szCs w:val="20"/>
        </w:rPr>
        <w:t>s in a newly formed Special Purpose Entity, (“SPE”) established to purchase loans from the market in anticipation of a Collateralized Loan Obligation (“CLO”) transaction. The Company has determined it will consolidate the SPE as of September 30, 2020 as it</w:t>
      </w:r>
      <w:r>
        <w:rPr>
          <w:rFonts w:eastAsia="Times New Roman"/>
          <w:color w:val="000000"/>
          <w:sz w:val="20"/>
          <w:szCs w:val="20"/>
        </w:rPr>
        <w:t xml:space="preserve"> is the primary beneficiary due to the combination of both its equity interest held by Equitable Financial and the majority ownership of AB, which functions as the SPE loan manager. </w:t>
      </w:r>
    </w:p>
    <w:p w:rsidR="00000000" w:rsidRDefault="000C147A">
      <w:pPr>
        <w:jc w:val="both"/>
        <w:divId w:val="1666937898"/>
        <w:rPr>
          <w:rFonts w:eastAsia="Times New Roman"/>
        </w:rPr>
      </w:pPr>
      <w:r>
        <w:rPr>
          <w:rFonts w:eastAsia="Times New Roman"/>
          <w:b/>
          <w:bCs/>
          <w:i/>
          <w:iCs/>
          <w:color w:val="000000"/>
          <w:sz w:val="20"/>
          <w:szCs w:val="20"/>
        </w:rPr>
        <w:t>Consolidated AB-Sponsored Investment Funds</w:t>
      </w:r>
    </w:p>
    <w:p w:rsidR="00000000" w:rsidRDefault="000C147A">
      <w:pPr>
        <w:divId w:val="460924629"/>
        <w:rPr>
          <w:rFonts w:eastAsia="Times New Roman"/>
        </w:rPr>
      </w:pPr>
      <w:r>
        <w:rPr>
          <w:rFonts w:eastAsia="Times New Roman"/>
          <w:color w:val="000000"/>
          <w:sz w:val="20"/>
          <w:szCs w:val="20"/>
        </w:rPr>
        <w:t>Included in the Company’s cons</w:t>
      </w:r>
      <w:r>
        <w:rPr>
          <w:rFonts w:eastAsia="Times New Roman"/>
          <w:color w:val="000000"/>
          <w:sz w:val="20"/>
          <w:szCs w:val="20"/>
        </w:rPr>
        <w:t>olidated balance sheet at September 30, 2020 and December 31, 2019 are assets of $169 million and $424 million, liabilities of $7 million and $12 million, and redeemable noncontrolling interests of $39 million and $273 million, respectively, associated wit</w:t>
      </w:r>
      <w:r>
        <w:rPr>
          <w:rFonts w:eastAsia="Times New Roman"/>
          <w:color w:val="000000"/>
          <w:sz w:val="20"/>
          <w:szCs w:val="20"/>
        </w:rPr>
        <w:t>h the consolidation of AB-sponsored investment funds under the VIE model. Also included in the Company’s consolidated balance sheets at September 30, 2020 and December 31, 2019 are assets of $102 million and $188 million, liabilities of $23 million and $19</w:t>
      </w:r>
      <w:r>
        <w:rPr>
          <w:rFonts w:eastAsia="Times New Roman"/>
          <w:color w:val="000000"/>
          <w:sz w:val="20"/>
          <w:szCs w:val="20"/>
        </w:rPr>
        <w:t xml:space="preserve"> million, and redeemable noncontrolling interests of $18 million and $52 million, respectively, from consolidation of AB-sponsored investment funds under the VOE model. The assets of these consolidated funds are presented within Other invested assets and C</w:t>
      </w:r>
      <w:r>
        <w:rPr>
          <w:rFonts w:eastAsia="Times New Roman"/>
          <w:color w:val="000000"/>
          <w:sz w:val="20"/>
          <w:szCs w:val="20"/>
        </w:rPr>
        <w:t>ash and cash equivalents, and liabilities of these consolidated funds are presented with Other liabilities in the Company’s consolidated balance sheets; ownership interests not held by the Company relating to consolidated VIEs and VOEs are presented either</w:t>
      </w:r>
      <w:r>
        <w:rPr>
          <w:rFonts w:eastAsia="Times New Roman"/>
          <w:color w:val="000000"/>
          <w:sz w:val="20"/>
          <w:szCs w:val="20"/>
        </w:rPr>
        <w:t xml:space="preserve"> as redeemable or non-redeemable noncontrolling interests, as appropriate. Redeemable noncontrolling interests are presented in mezzanine equity and non-redeemable noncontrolling interests are presented within permanent equity. The Company is not required </w:t>
      </w:r>
      <w:r>
        <w:rPr>
          <w:rFonts w:eastAsia="Times New Roman"/>
          <w:color w:val="000000"/>
          <w:sz w:val="20"/>
          <w:szCs w:val="20"/>
        </w:rPr>
        <w:t>to provide financial support to these Company-sponsored investment funds, and only the assets of such funds are available to settle each fund’s own liabilities.</w:t>
      </w:r>
    </w:p>
    <w:p w:rsidR="00000000" w:rsidRDefault="000C147A">
      <w:pPr>
        <w:jc w:val="both"/>
        <w:divId w:val="1019352829"/>
        <w:rPr>
          <w:rFonts w:eastAsia="Times New Roman"/>
        </w:rPr>
      </w:pPr>
      <w:r>
        <w:rPr>
          <w:rFonts w:eastAsia="Times New Roman"/>
          <w:b/>
          <w:bCs/>
          <w:i/>
          <w:iCs/>
          <w:color w:val="000000"/>
          <w:sz w:val="20"/>
          <w:szCs w:val="20"/>
        </w:rPr>
        <w:t>Non-Consolidated VIEs</w:t>
      </w:r>
    </w:p>
    <w:p w:rsidR="00000000" w:rsidRDefault="000C147A">
      <w:pPr>
        <w:divId w:val="13654503"/>
        <w:rPr>
          <w:rFonts w:eastAsia="Times New Roman"/>
        </w:rPr>
      </w:pPr>
      <w:r>
        <w:rPr>
          <w:rFonts w:eastAsia="Times New Roman"/>
          <w:color w:val="000000"/>
          <w:sz w:val="20"/>
          <w:szCs w:val="20"/>
        </w:rPr>
        <w:t>At September 30, 2020 and December 31, 2019, respectively, the Company he</w:t>
      </w:r>
      <w:r>
        <w:rPr>
          <w:rFonts w:eastAsia="Times New Roman"/>
          <w:color w:val="000000"/>
          <w:sz w:val="20"/>
          <w:szCs w:val="20"/>
        </w:rPr>
        <w:t>ld approximately $1.3 billion and $1.2 billion of investment assets in the form of equity interests issued by non-corporate legal entities determined under the guidance to be VIEs, such as limited partnerships and limited liability companies, including hed</w:t>
      </w:r>
      <w:r>
        <w:rPr>
          <w:rFonts w:eastAsia="Times New Roman"/>
          <w:color w:val="000000"/>
          <w:sz w:val="20"/>
          <w:szCs w:val="20"/>
        </w:rPr>
        <w:t>ge funds, private equity funds and real estate-related funds. As an equity investor, the Company is considered to have a variable interest in each of these VIEs as a result of its participation in the risks and/or rewards these funds were designed to creat</w:t>
      </w:r>
      <w:r>
        <w:rPr>
          <w:rFonts w:eastAsia="Times New Roman"/>
          <w:color w:val="000000"/>
          <w:sz w:val="20"/>
          <w:szCs w:val="20"/>
        </w:rPr>
        <w:t>e by their defined portfolio objectives and strategies. Primarily through qualitative assessment, including consideration of related party interests or other financial arrangements, if any, the Company was not identified as primary beneficiary of any of th</w:t>
      </w:r>
      <w:r>
        <w:rPr>
          <w:rFonts w:eastAsia="Times New Roman"/>
          <w:color w:val="000000"/>
          <w:sz w:val="20"/>
          <w:szCs w:val="20"/>
        </w:rPr>
        <w:t xml:space="preserve">ese VIEs, largely due to its inability to direct the activities that most significantly impact their economic performance. Consequently, the Company continues to reflect these equity interests in the consolidated balance sheets as Other equity investments </w:t>
      </w:r>
      <w:r>
        <w:rPr>
          <w:rFonts w:eastAsia="Times New Roman"/>
          <w:color w:val="000000"/>
          <w:sz w:val="20"/>
          <w:szCs w:val="20"/>
        </w:rPr>
        <w:t xml:space="preserve">and applies the equity method of accounting for these positions. The net assets of these non-consolidated VIEs are approximately $156.7 billion and $160.2 billion at September 30, 2020 and December 31, 2019, respectively. The Company’s maximum exposure to </w:t>
      </w:r>
      <w:r>
        <w:rPr>
          <w:rFonts w:eastAsia="Times New Roman"/>
          <w:color w:val="000000"/>
          <w:sz w:val="20"/>
          <w:szCs w:val="20"/>
        </w:rPr>
        <w:t>loss from its direct involvement with these VIEs is the carrying value of its investment of $1.3 billion and $1.2 billion and approximately $1.2 billion and $1.1 billion of unfunded commitments at September 30, 2020 and December 31, 2019, respectively. The</w:t>
      </w:r>
      <w:r>
        <w:rPr>
          <w:rFonts w:eastAsia="Times New Roman"/>
          <w:color w:val="000000"/>
          <w:sz w:val="20"/>
          <w:szCs w:val="20"/>
        </w:rPr>
        <w:t xml:space="preserve"> Company has no further economic interest in these VIEs in the form of guarantees, derivatives, credit enhancements or similar instruments and obligations.</w:t>
      </w:r>
    </w:p>
    <w:p w:rsidR="00000000" w:rsidRDefault="000C147A">
      <w:pPr>
        <w:divId w:val="181212121"/>
        <w:rPr>
          <w:rFonts w:eastAsia="Times New Roman"/>
        </w:rPr>
      </w:pPr>
      <w:r>
        <w:rPr>
          <w:rFonts w:eastAsia="Times New Roman"/>
          <w:color w:val="000000"/>
          <w:sz w:val="20"/>
          <w:szCs w:val="20"/>
        </w:rPr>
        <w:t>In addition, at September 30, 2020 and December 31, 2019, Other invested assets includes real estate</w:t>
      </w:r>
      <w:r>
        <w:rPr>
          <w:rFonts w:eastAsia="Times New Roman"/>
          <w:color w:val="000000"/>
          <w:sz w:val="20"/>
          <w:szCs w:val="20"/>
        </w:rPr>
        <w:t xml:space="preserve"> held for production of income of $(4) million and $(5) million, respectively, as related to one non-consolidated real estate joint venture.</w:t>
      </w:r>
    </w:p>
    <w:p w:rsidR="00000000" w:rsidRDefault="000C147A">
      <w:pPr>
        <w:jc w:val="center"/>
        <w:divId w:val="2070154615"/>
        <w:rPr>
          <w:rFonts w:eastAsia="Times New Roman"/>
        </w:rPr>
      </w:pPr>
      <w:r>
        <w:rPr>
          <w:rFonts w:eastAsia="Times New Roman"/>
          <w:color w:val="000000"/>
          <w:sz w:val="20"/>
          <w:szCs w:val="20"/>
        </w:rPr>
        <w:t>18</w:t>
      </w:r>
    </w:p>
    <w:p w:rsidR="00000000" w:rsidRDefault="000C147A">
      <w:pPr>
        <w:rPr>
          <w:rFonts w:eastAsia="Times New Roman"/>
        </w:rPr>
      </w:pPr>
      <w:r>
        <w:rPr>
          <w:rFonts w:eastAsia="Times New Roman"/>
        </w:rPr>
        <w:pict>
          <v:rect id="_x0000_i1044" style="width:0;height:1.5pt" o:hralign="center" o:hrstd="t" o:hr="t" fillcolor="#a0a0a0" stroked="f"/>
        </w:pict>
      </w:r>
    </w:p>
    <w:p w:rsidR="00000000" w:rsidRDefault="000C147A">
      <w:pPr>
        <w:jc w:val="center"/>
        <w:divId w:val="386994306"/>
        <w:rPr>
          <w:rFonts w:eastAsia="Times New Roman"/>
        </w:rPr>
      </w:pPr>
      <w:r>
        <w:rPr>
          <w:rFonts w:eastAsia="Times New Roman"/>
          <w:b/>
          <w:bCs/>
          <w:color w:val="000000"/>
          <w:sz w:val="20"/>
          <w:szCs w:val="20"/>
        </w:rPr>
        <w:t>EQUITABLE HOLDINGS, INC.</w:t>
      </w:r>
    </w:p>
    <w:p w:rsidR="00000000" w:rsidRDefault="000C147A">
      <w:pPr>
        <w:jc w:val="center"/>
        <w:divId w:val="386994306"/>
        <w:rPr>
          <w:rFonts w:eastAsia="Times New Roman"/>
        </w:rPr>
      </w:pPr>
      <w:r>
        <w:rPr>
          <w:rFonts w:eastAsia="Times New Roman"/>
          <w:b/>
          <w:bCs/>
          <w:color w:val="000000"/>
          <w:sz w:val="20"/>
          <w:szCs w:val="20"/>
        </w:rPr>
        <w:t>Notes to Consolidated Financial Statements (Unaudit</w:t>
      </w:r>
      <w:r>
        <w:rPr>
          <w:rFonts w:eastAsia="Times New Roman"/>
          <w:b/>
          <w:bCs/>
          <w:color w:val="000000"/>
          <w:sz w:val="20"/>
          <w:szCs w:val="20"/>
        </w:rPr>
        <w:t>ed), Continued</w:t>
      </w:r>
    </w:p>
    <w:p w:rsidR="00000000" w:rsidRDefault="000C147A">
      <w:pPr>
        <w:jc w:val="both"/>
        <w:divId w:val="1441947880"/>
        <w:rPr>
          <w:rFonts w:eastAsia="Times New Roman"/>
        </w:rPr>
      </w:pPr>
      <w:r>
        <w:rPr>
          <w:rFonts w:eastAsia="Times New Roman"/>
          <w:b/>
          <w:bCs/>
          <w:i/>
          <w:iCs/>
          <w:color w:val="000000"/>
          <w:sz w:val="20"/>
          <w:szCs w:val="20"/>
        </w:rPr>
        <w:t>Non-Consolidated AB-Sponsored Investment Products</w:t>
      </w:r>
    </w:p>
    <w:p w:rsidR="00000000" w:rsidRDefault="000C147A">
      <w:pPr>
        <w:divId w:val="993144275"/>
        <w:rPr>
          <w:rFonts w:eastAsia="Times New Roman"/>
        </w:rPr>
      </w:pPr>
      <w:r>
        <w:rPr>
          <w:rFonts w:eastAsia="Times New Roman"/>
          <w:color w:val="000000"/>
          <w:sz w:val="20"/>
          <w:szCs w:val="20"/>
        </w:rPr>
        <w:t>As of September 30, 2020 and December 31, 2019, the net assets of investment products sponsored by AB that are non-consolidated VIEs are approximately $68.9 billion and $79.3 billion, respect</w:t>
      </w:r>
      <w:r>
        <w:rPr>
          <w:rFonts w:eastAsia="Times New Roman"/>
          <w:color w:val="000000"/>
          <w:sz w:val="20"/>
          <w:szCs w:val="20"/>
        </w:rPr>
        <w:t>ively. The Company’s maximum exposure to loss from its direct involvement with these VIEs is its investment of $7 million and $8 million at September 30, 2020 and December 31, 2019, respectively. The Company has no further commitments to or economic intere</w:t>
      </w:r>
      <w:r>
        <w:rPr>
          <w:rFonts w:eastAsia="Times New Roman"/>
          <w:color w:val="000000"/>
          <w:sz w:val="20"/>
          <w:szCs w:val="20"/>
        </w:rPr>
        <w:t>st in these VIEs.</w:t>
      </w:r>
    </w:p>
    <w:p w:rsidR="00000000" w:rsidRDefault="000C147A">
      <w:pPr>
        <w:divId w:val="233273724"/>
        <w:rPr>
          <w:rFonts w:eastAsia="Times New Roman"/>
        </w:rPr>
      </w:pPr>
      <w:r>
        <w:rPr>
          <w:rFonts w:eastAsia="Times New Roman"/>
          <w:color w:val="000000"/>
          <w:sz w:val="20"/>
          <w:szCs w:val="20"/>
          <w:u w:val="single"/>
        </w:rPr>
        <w:t>Assumption Updates and Model Changes</w:t>
      </w:r>
    </w:p>
    <w:p w:rsidR="00000000" w:rsidRDefault="000C147A">
      <w:pPr>
        <w:divId w:val="878474008"/>
        <w:rPr>
          <w:rFonts w:eastAsia="Times New Roman"/>
        </w:rPr>
      </w:pPr>
      <w:r>
        <w:rPr>
          <w:rFonts w:eastAsia="Times New Roman"/>
          <w:color w:val="000000"/>
          <w:sz w:val="20"/>
          <w:szCs w:val="20"/>
        </w:rPr>
        <w:t>The Company conducts its annual review of its assumptions and models during the third quarter of each year. The annual review encompasses assumptions underlying the valuation of unearned revenue liabil</w:t>
      </w:r>
      <w:r>
        <w:rPr>
          <w:rFonts w:eastAsia="Times New Roman"/>
          <w:color w:val="000000"/>
          <w:sz w:val="20"/>
          <w:szCs w:val="20"/>
        </w:rPr>
        <w:t xml:space="preserve">ities, embedded derivatives for our insurance business, liabilities for future policyholder benefits, DAC and deferred sales inducement (“DSI”) assets. </w:t>
      </w:r>
    </w:p>
    <w:p w:rsidR="00000000" w:rsidRDefault="000C147A">
      <w:pPr>
        <w:divId w:val="463885776"/>
        <w:rPr>
          <w:rFonts w:eastAsia="Times New Roman"/>
        </w:rPr>
      </w:pPr>
      <w:r>
        <w:rPr>
          <w:rFonts w:eastAsia="Times New Roman"/>
          <w:color w:val="000000"/>
          <w:sz w:val="20"/>
          <w:szCs w:val="20"/>
        </w:rPr>
        <w:t>However, the Company updates its assumptions as needed in the event it becomes aware of economic condit</w:t>
      </w:r>
      <w:r>
        <w:rPr>
          <w:rFonts w:eastAsia="Times New Roman"/>
          <w:color w:val="000000"/>
          <w:sz w:val="20"/>
          <w:szCs w:val="20"/>
        </w:rPr>
        <w:t>ions or events that could require a change in assumptions that it believes may have a significant impact to the carrying value of product liabilities and assets and consequently materially impact its earnings in the period of the change.</w:t>
      </w:r>
    </w:p>
    <w:p w:rsidR="00000000" w:rsidRDefault="000C147A">
      <w:pPr>
        <w:divId w:val="999432107"/>
        <w:rPr>
          <w:rFonts w:eastAsia="Times New Roman"/>
        </w:rPr>
      </w:pPr>
      <w:r>
        <w:rPr>
          <w:rFonts w:eastAsia="Times New Roman"/>
          <w:i/>
          <w:iCs/>
          <w:color w:val="000000"/>
          <w:sz w:val="20"/>
          <w:szCs w:val="20"/>
        </w:rPr>
        <w:t>Annual Update</w:t>
      </w:r>
    </w:p>
    <w:p w:rsidR="00000000" w:rsidRDefault="000C147A">
      <w:pPr>
        <w:divId w:val="1963733091"/>
        <w:rPr>
          <w:rFonts w:eastAsia="Times New Roman"/>
        </w:rPr>
      </w:pPr>
      <w:r>
        <w:rPr>
          <w:rFonts w:eastAsia="Times New Roman"/>
          <w:color w:val="000000"/>
          <w:sz w:val="20"/>
          <w:szCs w:val="20"/>
        </w:rPr>
        <w:t xml:space="preserve">The </w:t>
      </w:r>
      <w:r>
        <w:rPr>
          <w:rFonts w:eastAsia="Times New Roman"/>
          <w:color w:val="000000"/>
          <w:sz w:val="20"/>
          <w:szCs w:val="20"/>
        </w:rPr>
        <w:t>net impact of assumption changes in the third quarter of 2020 decreased Policy charges and fee income by $23 million, increased Policyholders’ benefits by $193 million, increased Interest credited to policyholders’ account balances by $5 million, decreased</w:t>
      </w:r>
      <w:r>
        <w:rPr>
          <w:rFonts w:eastAsia="Times New Roman"/>
          <w:color w:val="000000"/>
          <w:sz w:val="20"/>
          <w:szCs w:val="20"/>
        </w:rPr>
        <w:t xml:space="preserve"> Net derivative losses by $112 million and decreased Amortization of DAC by $35 million. This resulted in a decrease in Income (loss) from operations, before income taxes of $74 million and decreased Net income (loss) by $58 million. Third quarter 2020 ass</w:t>
      </w:r>
      <w:r>
        <w:rPr>
          <w:rFonts w:eastAsia="Times New Roman"/>
          <w:color w:val="000000"/>
          <w:sz w:val="20"/>
          <w:szCs w:val="20"/>
        </w:rPr>
        <w:t>umption updates include a pre-tax gain of $445 million attributable to the removal of the credit risk adjustment from our fair value scenario calibration to better align with US valuation practices, offset by updates to our mortality and policyholder behav</w:t>
      </w:r>
      <w:r>
        <w:rPr>
          <w:rFonts w:eastAsia="Times New Roman"/>
          <w:color w:val="000000"/>
          <w:sz w:val="20"/>
          <w:szCs w:val="20"/>
        </w:rPr>
        <w:t>ior assumptions to reflect emerging experience.</w:t>
      </w:r>
    </w:p>
    <w:p w:rsidR="00000000" w:rsidRDefault="000C147A">
      <w:pPr>
        <w:divId w:val="1418213740"/>
        <w:rPr>
          <w:rFonts w:eastAsia="Times New Roman"/>
        </w:rPr>
      </w:pPr>
      <w:r>
        <w:rPr>
          <w:rFonts w:eastAsia="Times New Roman"/>
          <w:color w:val="000000"/>
          <w:sz w:val="20"/>
          <w:szCs w:val="20"/>
        </w:rPr>
        <w:t>The net impact of assumption changes in the third quarter of 2019 increased Policy charges and fee income by $3 million, increased Policyholders’ benefits by $875 million, decreased Interest credited to polic</w:t>
      </w:r>
      <w:r>
        <w:rPr>
          <w:rFonts w:eastAsia="Times New Roman"/>
          <w:color w:val="000000"/>
          <w:sz w:val="20"/>
          <w:szCs w:val="20"/>
        </w:rPr>
        <w:t>yholders’ account balances by $13 million, increased Net derivative losses by $578 million and decreased Amortization of DAC by $46 million. This resulted in a decrease in Income (loss) from operations, before income taxes of $1.4 billion and decreased Net</w:t>
      </w:r>
      <w:r>
        <w:rPr>
          <w:rFonts w:eastAsia="Times New Roman"/>
          <w:color w:val="000000"/>
          <w:sz w:val="20"/>
          <w:szCs w:val="20"/>
        </w:rPr>
        <w:t xml:space="preserve"> income (loss) by $1.1 billion.</w:t>
      </w:r>
    </w:p>
    <w:p w:rsidR="00000000" w:rsidRDefault="000C147A">
      <w:pPr>
        <w:divId w:val="201017736"/>
        <w:rPr>
          <w:rFonts w:eastAsia="Times New Roman"/>
        </w:rPr>
      </w:pPr>
      <w:r>
        <w:rPr>
          <w:rFonts w:eastAsia="Times New Roman"/>
          <w:i/>
          <w:iCs/>
          <w:color w:val="000000"/>
          <w:sz w:val="20"/>
          <w:szCs w:val="20"/>
        </w:rPr>
        <w:t>First Quarter Update</w:t>
      </w:r>
    </w:p>
    <w:p w:rsidR="00000000" w:rsidRDefault="000C147A">
      <w:pPr>
        <w:divId w:val="59790096"/>
        <w:rPr>
          <w:rFonts w:eastAsia="Times New Roman"/>
        </w:rPr>
      </w:pPr>
    </w:p>
    <w:p w:rsidR="00000000" w:rsidRDefault="000C147A">
      <w:pPr>
        <w:divId w:val="816803834"/>
        <w:rPr>
          <w:rFonts w:eastAsia="Times New Roman"/>
        </w:rPr>
      </w:pPr>
      <w:r>
        <w:rPr>
          <w:rFonts w:eastAsia="Times New Roman"/>
          <w:color w:val="000000"/>
          <w:sz w:val="20"/>
          <w:szCs w:val="20"/>
        </w:rPr>
        <w:t>In the first quarter of 2020, due to the extraordinary economic conditions driven by the COVID-19 pandemic, the Company updated its interest rate assumption to grade from the current interest rate environment to an ultimate five-year historical average ove</w:t>
      </w:r>
      <w:r>
        <w:rPr>
          <w:rFonts w:eastAsia="Times New Roman"/>
          <w:color w:val="000000"/>
          <w:sz w:val="20"/>
          <w:szCs w:val="20"/>
        </w:rPr>
        <w:t xml:space="preserve">r a 10-year period.  As such, the 10-year U.S. Treasury yield grades from the current level to an ultimate 5-year average of 2.25%. The Company determined that no assumption updates were necessary in the second quarter of 2020. </w:t>
      </w:r>
    </w:p>
    <w:p w:rsidR="00000000" w:rsidRDefault="000C147A">
      <w:pPr>
        <w:divId w:val="2088067736"/>
        <w:rPr>
          <w:rFonts w:eastAsia="Times New Roman"/>
        </w:rPr>
      </w:pPr>
      <w:r>
        <w:rPr>
          <w:rFonts w:eastAsia="Times New Roman"/>
          <w:color w:val="000000"/>
          <w:sz w:val="20"/>
          <w:szCs w:val="20"/>
        </w:rPr>
        <w:t>The low interest rate envir</w:t>
      </w:r>
      <w:r>
        <w:rPr>
          <w:rFonts w:eastAsia="Times New Roman"/>
          <w:color w:val="000000"/>
          <w:sz w:val="20"/>
          <w:szCs w:val="20"/>
        </w:rPr>
        <w:t>onment and update to the interest rate assumption caused a loss recognition event for the Company’s life interest-sensitive products, as well as to certain run-off business. This loss recognition event caused an acceleration of DAC amortization on the life</w:t>
      </w:r>
      <w:r>
        <w:rPr>
          <w:rFonts w:eastAsia="Times New Roman"/>
          <w:color w:val="000000"/>
          <w:sz w:val="20"/>
          <w:szCs w:val="20"/>
        </w:rPr>
        <w:t xml:space="preserve"> interest-sensitive products and an increase in the premium deficiency reserve on the run-off business in the first quarter of 2020. </w:t>
      </w:r>
    </w:p>
    <w:p w:rsidR="00000000" w:rsidRDefault="000C147A">
      <w:pPr>
        <w:divId w:val="424618819"/>
        <w:rPr>
          <w:rFonts w:eastAsia="Times New Roman"/>
        </w:rPr>
      </w:pPr>
      <w:r>
        <w:rPr>
          <w:rFonts w:eastAsia="Times New Roman"/>
          <w:color w:val="000000"/>
          <w:sz w:val="20"/>
          <w:szCs w:val="20"/>
        </w:rPr>
        <w:t>The net impact of the economic assumption update in the first quarter of 2020 increased Policy charges and fee income by $</w:t>
      </w:r>
      <w:r>
        <w:rPr>
          <w:rFonts w:eastAsia="Times New Roman"/>
          <w:color w:val="000000"/>
          <w:sz w:val="20"/>
          <w:szCs w:val="20"/>
        </w:rPr>
        <w:t>46 million, increased Policyholders’ benefits by $1.4 billion, decreased Interest credited to policyholders’ account balances by $6 million and increased Amortization of DAC by $1.1 billion. This resulted in a decrease in Income (loss) from continuing oper</w:t>
      </w:r>
      <w:r>
        <w:rPr>
          <w:rFonts w:eastAsia="Times New Roman"/>
          <w:color w:val="000000"/>
          <w:sz w:val="20"/>
          <w:szCs w:val="20"/>
        </w:rPr>
        <w:t>ations, before income taxes of $2.5 billion and decreased Net income (loss) of $2.0 billion.</w:t>
      </w:r>
    </w:p>
    <w:p w:rsidR="00000000" w:rsidRDefault="000C147A">
      <w:pPr>
        <w:divId w:val="1096488064"/>
        <w:rPr>
          <w:rFonts w:eastAsia="Times New Roman"/>
        </w:rPr>
      </w:pPr>
      <w:r>
        <w:rPr>
          <w:rFonts w:eastAsia="Times New Roman"/>
          <w:i/>
          <w:iCs/>
          <w:color w:val="000000"/>
          <w:sz w:val="20"/>
          <w:szCs w:val="20"/>
        </w:rPr>
        <w:t>Model Changes</w:t>
      </w:r>
    </w:p>
    <w:p w:rsidR="00000000" w:rsidRDefault="000C147A">
      <w:pPr>
        <w:divId w:val="149566862"/>
        <w:rPr>
          <w:rFonts w:eastAsia="Times New Roman"/>
        </w:rPr>
      </w:pPr>
    </w:p>
    <w:p w:rsidR="00000000" w:rsidRDefault="000C147A">
      <w:pPr>
        <w:divId w:val="831022187"/>
        <w:rPr>
          <w:rFonts w:eastAsia="Times New Roman"/>
        </w:rPr>
      </w:pPr>
      <w:r>
        <w:rPr>
          <w:rFonts w:eastAsia="Times New Roman"/>
          <w:color w:val="000000"/>
          <w:sz w:val="20"/>
          <w:szCs w:val="20"/>
        </w:rPr>
        <w:t>In the first quarter of 2020, the Company adopted a new economic scenario generator to calculate the fair value of the GMIB reinsurance contract as</w:t>
      </w:r>
      <w:r>
        <w:rPr>
          <w:rFonts w:eastAsia="Times New Roman"/>
          <w:color w:val="000000"/>
          <w:sz w:val="20"/>
          <w:szCs w:val="20"/>
        </w:rPr>
        <w:t>set and GMxB derivative features liability, eliminating reliance on AXA Group for scenario production. The new economic scenario generator allows for a tighter calibration of U.S. indices, better reflecting the Company’s actual portfolio. The net impact of</w:t>
      </w:r>
      <w:r>
        <w:rPr>
          <w:rFonts w:eastAsia="Times New Roman"/>
          <w:color w:val="000000"/>
          <w:sz w:val="20"/>
          <w:szCs w:val="20"/>
        </w:rPr>
        <w:t xml:space="preserve"> the new economic scenario generator resulted in an increase in Income (loss) from continuing operations, before income taxes of $201 million, and an increase to Net Income (loss) of $159 million during the first nine months of 2020.</w:t>
      </w:r>
    </w:p>
    <w:p w:rsidR="00000000" w:rsidRDefault="000C147A">
      <w:pPr>
        <w:jc w:val="center"/>
        <w:divId w:val="47607191"/>
        <w:rPr>
          <w:rFonts w:eastAsia="Times New Roman"/>
        </w:rPr>
      </w:pPr>
      <w:r>
        <w:rPr>
          <w:rFonts w:eastAsia="Times New Roman"/>
          <w:color w:val="000000"/>
          <w:sz w:val="20"/>
          <w:szCs w:val="20"/>
        </w:rPr>
        <w:t>19</w:t>
      </w:r>
    </w:p>
    <w:p w:rsidR="00000000" w:rsidRDefault="000C147A">
      <w:pPr>
        <w:rPr>
          <w:rFonts w:eastAsia="Times New Roman"/>
        </w:rPr>
      </w:pPr>
      <w:r>
        <w:rPr>
          <w:rFonts w:eastAsia="Times New Roman"/>
        </w:rPr>
        <w:pict>
          <v:rect id="_x0000_i1045" style="width:0;height:1.5pt" o:hralign="center" o:hrstd="t" o:hr="t" fillcolor="#a0a0a0" stroked="f"/>
        </w:pict>
      </w:r>
    </w:p>
    <w:p w:rsidR="00000000" w:rsidRDefault="000C147A">
      <w:pPr>
        <w:jc w:val="center"/>
        <w:divId w:val="867065870"/>
        <w:rPr>
          <w:rFonts w:eastAsia="Times New Roman"/>
        </w:rPr>
      </w:pPr>
      <w:r>
        <w:rPr>
          <w:rFonts w:eastAsia="Times New Roman"/>
          <w:b/>
          <w:bCs/>
          <w:color w:val="000000"/>
          <w:sz w:val="20"/>
          <w:szCs w:val="20"/>
        </w:rPr>
        <w:t>EQUITABLE HOLDINGS, INC.</w:t>
      </w:r>
    </w:p>
    <w:p w:rsidR="00000000" w:rsidRDefault="000C147A">
      <w:pPr>
        <w:jc w:val="center"/>
        <w:divId w:val="867065870"/>
        <w:rPr>
          <w:rFonts w:eastAsia="Times New Roman"/>
        </w:rPr>
      </w:pPr>
      <w:r>
        <w:rPr>
          <w:rFonts w:eastAsia="Times New Roman"/>
          <w:b/>
          <w:bCs/>
          <w:color w:val="000000"/>
          <w:sz w:val="20"/>
          <w:szCs w:val="20"/>
        </w:rPr>
        <w:t>Notes to Consolidated Financial Statements (Unaudited), Continued</w:t>
      </w:r>
    </w:p>
    <w:p w:rsidR="00000000" w:rsidRDefault="000C147A">
      <w:pPr>
        <w:divId w:val="594746622"/>
        <w:rPr>
          <w:rFonts w:eastAsia="Times New Roman"/>
        </w:rPr>
      </w:pPr>
      <w:r>
        <w:rPr>
          <w:rFonts w:eastAsia="Times New Roman"/>
          <w:color w:val="000000"/>
          <w:sz w:val="20"/>
          <w:szCs w:val="20"/>
          <w:u w:val="single"/>
        </w:rPr>
        <w:t>Revision of Prior Period Financial Statements</w:t>
      </w:r>
    </w:p>
    <w:p w:rsidR="00000000" w:rsidRDefault="000C147A">
      <w:pPr>
        <w:divId w:val="1081485739"/>
        <w:rPr>
          <w:rFonts w:eastAsia="Times New Roman"/>
        </w:rPr>
      </w:pPr>
      <w:r>
        <w:rPr>
          <w:rFonts w:eastAsia="Times New Roman"/>
          <w:color w:val="000000"/>
          <w:sz w:val="20"/>
          <w:szCs w:val="20"/>
        </w:rPr>
        <w:t xml:space="preserve">The Company identified certain errors </w:t>
      </w:r>
      <w:r>
        <w:rPr>
          <w:rFonts w:eastAsia="Times New Roman"/>
          <w:color w:val="000000"/>
          <w:sz w:val="20"/>
          <w:szCs w:val="20"/>
        </w:rPr>
        <w:t>in its previously issued financial statements primarily related to the calculation of actuarially determined insurance contract assets and liabilities. The impact of these errors to the current and the prior periods consolidated financial statements were n</w:t>
      </w:r>
      <w:r>
        <w:rPr>
          <w:rFonts w:eastAsia="Times New Roman"/>
          <w:color w:val="000000"/>
          <w:sz w:val="20"/>
          <w:szCs w:val="20"/>
        </w:rPr>
        <w:t>ot considered to be material. In order to improve the consistency and comparability of the financial statements, management revised the consolidated financial statements to include the revisions discussed herein. See Note 16 to the Notes to Consolidated Fi</w:t>
      </w:r>
      <w:r>
        <w:rPr>
          <w:rFonts w:eastAsia="Times New Roman"/>
          <w:color w:val="000000"/>
          <w:sz w:val="20"/>
          <w:szCs w:val="20"/>
        </w:rPr>
        <w:t>nancial Statements for details of the revisions.</w:t>
      </w:r>
    </w:p>
    <w:p w:rsidR="00000000" w:rsidRDefault="000C147A">
      <w:pPr>
        <w:divId w:val="256599907"/>
        <w:rPr>
          <w:rFonts w:eastAsia="Times New Roman"/>
        </w:rPr>
      </w:pPr>
      <w:r>
        <w:rPr>
          <w:rFonts w:eastAsia="Times New Roman"/>
          <w:b/>
          <w:bCs/>
          <w:color w:val="000000"/>
          <w:sz w:val="20"/>
          <w:szCs w:val="20"/>
        </w:rPr>
        <w:t>3)    INVESTMENTS</w:t>
      </w:r>
    </w:p>
    <w:p w:rsidR="00000000" w:rsidRDefault="000C147A">
      <w:pPr>
        <w:divId w:val="1704480437"/>
        <w:rPr>
          <w:rFonts w:eastAsia="Times New Roman"/>
        </w:rPr>
      </w:pPr>
      <w:r>
        <w:rPr>
          <w:rFonts w:eastAsia="Times New Roman"/>
          <w:color w:val="000000"/>
          <w:sz w:val="20"/>
          <w:szCs w:val="20"/>
          <w:u w:val="single"/>
        </w:rPr>
        <w:t>Fixed Maturities Available-for-Sale</w:t>
      </w:r>
    </w:p>
    <w:p w:rsidR="00000000" w:rsidRDefault="000C147A">
      <w:pPr>
        <w:divId w:val="554242913"/>
        <w:rPr>
          <w:rFonts w:eastAsia="Times New Roman"/>
        </w:rPr>
      </w:pPr>
      <w:r>
        <w:rPr>
          <w:rFonts w:eastAsia="Times New Roman"/>
          <w:color w:val="000000"/>
          <w:sz w:val="20"/>
          <w:szCs w:val="20"/>
        </w:rPr>
        <w:t>Accounting for credit impairments of fixed maturities classified as AFS has changed from a direct write-down, or other-than-temporary impairment (“OTTI”)</w:t>
      </w:r>
      <w:r>
        <w:rPr>
          <w:rFonts w:eastAsia="Times New Roman"/>
          <w:color w:val="000000"/>
          <w:sz w:val="20"/>
          <w:szCs w:val="20"/>
        </w:rPr>
        <w:t xml:space="preserve"> approach, to an allowance for credit loss model starting in 2020 upon adoption of CECL (see Note 2, Significant Accounting Policies — Investments).</w:t>
      </w:r>
    </w:p>
    <w:p w:rsidR="00000000" w:rsidRDefault="000C147A">
      <w:pPr>
        <w:divId w:val="154029703"/>
        <w:rPr>
          <w:rFonts w:eastAsia="Times New Roman"/>
        </w:rPr>
      </w:pPr>
      <w:r>
        <w:rPr>
          <w:rFonts w:eastAsia="Times New Roman"/>
          <w:color w:val="000000"/>
          <w:sz w:val="20"/>
          <w:szCs w:val="20"/>
        </w:rPr>
        <w:t xml:space="preserve">The components of fair value and amortized cost for fixed maturities classified as AFS on the consolidated </w:t>
      </w:r>
      <w:r>
        <w:rPr>
          <w:rFonts w:eastAsia="Times New Roman"/>
          <w:color w:val="000000"/>
          <w:sz w:val="20"/>
          <w:szCs w:val="20"/>
        </w:rPr>
        <w:t>balance sheets excludes accrued interest receivable because the Company elected to present accrued interest receivable within Other assets. Accrued interest receivable on AFS fixed maturities at September 30, 2020 was</w:t>
      </w:r>
      <w:r>
        <w:rPr>
          <w:rFonts w:eastAsia="Times New Roman"/>
          <w:color w:val="000000"/>
          <w:sz w:val="20"/>
          <w:szCs w:val="20"/>
          <w:shd w:val="clear" w:color="auto" w:fill="FFFFFF"/>
        </w:rPr>
        <w:t xml:space="preserve"> $547 million.</w:t>
      </w:r>
    </w:p>
    <w:p w:rsidR="00000000" w:rsidRDefault="000C147A">
      <w:pPr>
        <w:divId w:val="955915147"/>
        <w:rPr>
          <w:rFonts w:eastAsia="Times New Roman"/>
        </w:rPr>
      </w:pPr>
      <w:r>
        <w:rPr>
          <w:rFonts w:eastAsia="Times New Roman"/>
          <w:color w:val="000000"/>
          <w:sz w:val="20"/>
          <w:szCs w:val="20"/>
        </w:rPr>
        <w:t>There was no accrued int</w:t>
      </w:r>
      <w:r>
        <w:rPr>
          <w:rFonts w:eastAsia="Times New Roman"/>
          <w:color w:val="000000"/>
          <w:sz w:val="20"/>
          <w:szCs w:val="20"/>
        </w:rPr>
        <w:t>erest written off for AFS fixed maturities for the three and nine months ended September 30, 2020.</w:t>
      </w:r>
    </w:p>
    <w:p w:rsidR="00000000" w:rsidRDefault="000C147A">
      <w:pPr>
        <w:divId w:val="998193230"/>
        <w:rPr>
          <w:rFonts w:eastAsia="Times New Roman"/>
        </w:rPr>
      </w:pPr>
      <w:r>
        <w:rPr>
          <w:rFonts w:eastAsia="Times New Roman"/>
          <w:color w:val="000000"/>
          <w:sz w:val="20"/>
          <w:szCs w:val="20"/>
        </w:rPr>
        <w:t xml:space="preserve">Comparative tables as of December 31, 2019 include OTTI, reported net of tax in OCI and in AOCI until realized. </w:t>
      </w:r>
    </w:p>
    <w:p w:rsidR="00000000" w:rsidRDefault="000C147A">
      <w:pPr>
        <w:divId w:val="288172463"/>
        <w:rPr>
          <w:rFonts w:eastAsia="Times New Roman"/>
        </w:rPr>
      </w:pPr>
      <w:r>
        <w:rPr>
          <w:rFonts w:eastAsia="Times New Roman"/>
          <w:color w:val="000000"/>
          <w:sz w:val="20"/>
          <w:szCs w:val="20"/>
        </w:rPr>
        <w:t>The following tables provide information rel</w:t>
      </w:r>
      <w:r>
        <w:rPr>
          <w:rFonts w:eastAsia="Times New Roman"/>
          <w:color w:val="000000"/>
          <w:sz w:val="20"/>
          <w:szCs w:val="20"/>
        </w:rPr>
        <w:t xml:space="preserve">ating to the Company’s fixed maturities classified as AFS. </w:t>
      </w:r>
    </w:p>
    <w:p w:rsidR="00000000" w:rsidRDefault="000C147A">
      <w:pPr>
        <w:jc w:val="center"/>
        <w:rPr>
          <w:rFonts w:eastAsia="Times New Roman"/>
        </w:rPr>
      </w:pPr>
      <w:r>
        <w:rPr>
          <w:rFonts w:eastAsia="Times New Roman"/>
          <w:b/>
          <w:bCs/>
          <w:color w:val="000000"/>
          <w:sz w:val="20"/>
          <w:szCs w:val="20"/>
        </w:rPr>
        <w:t>AFS Fixed Maturities by Classification</w:t>
      </w:r>
    </w:p>
    <w:tbl>
      <w:tblPr>
        <w:tblW w:w="4751" w:type="pct"/>
        <w:jc w:val="center"/>
        <w:tblCellMar>
          <w:top w:w="15" w:type="dxa"/>
          <w:left w:w="15" w:type="dxa"/>
          <w:bottom w:w="15" w:type="dxa"/>
          <w:right w:w="15" w:type="dxa"/>
        </w:tblCellMar>
        <w:tblLook w:val="04A0" w:firstRow="1" w:lastRow="0" w:firstColumn="1" w:lastColumn="0" w:noHBand="0" w:noVBand="1"/>
      </w:tblPr>
      <w:tblGrid>
        <w:gridCol w:w="39"/>
        <w:gridCol w:w="3235"/>
        <w:gridCol w:w="38"/>
        <w:gridCol w:w="121"/>
        <w:gridCol w:w="687"/>
        <w:gridCol w:w="36"/>
        <w:gridCol w:w="36"/>
        <w:gridCol w:w="36"/>
        <w:gridCol w:w="36"/>
        <w:gridCol w:w="121"/>
        <w:gridCol w:w="671"/>
        <w:gridCol w:w="36"/>
        <w:gridCol w:w="36"/>
        <w:gridCol w:w="36"/>
        <w:gridCol w:w="36"/>
        <w:gridCol w:w="121"/>
        <w:gridCol w:w="703"/>
        <w:gridCol w:w="36"/>
        <w:gridCol w:w="36"/>
        <w:gridCol w:w="36"/>
        <w:gridCol w:w="36"/>
        <w:gridCol w:w="121"/>
        <w:gridCol w:w="703"/>
        <w:gridCol w:w="36"/>
        <w:gridCol w:w="36"/>
        <w:gridCol w:w="36"/>
        <w:gridCol w:w="36"/>
        <w:gridCol w:w="120"/>
        <w:gridCol w:w="600"/>
        <w:gridCol w:w="36"/>
      </w:tblGrid>
      <w:tr w:rsidR="00000000">
        <w:trPr>
          <w:divId w:val="666325283"/>
          <w:jc w:val="center"/>
        </w:trPr>
        <w:tc>
          <w:tcPr>
            <w:tcW w:w="50" w:type="pct"/>
            <w:vAlign w:val="center"/>
            <w:hideMark/>
          </w:tcPr>
          <w:p w:rsidR="00000000" w:rsidRDefault="000C147A">
            <w:pPr>
              <w:jc w:val="center"/>
              <w:rPr>
                <w:rFonts w:eastAsia="Times New Roman"/>
              </w:rPr>
            </w:pPr>
          </w:p>
        </w:tc>
        <w:tc>
          <w:tcPr>
            <w:tcW w:w="22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66325283"/>
          <w:jc w:val="center"/>
        </w:trPr>
        <w:tc>
          <w:tcPr>
            <w:tcW w:w="0" w:type="auto"/>
            <w:gridSpan w:val="3"/>
            <w:tcMar>
              <w:top w:w="30" w:type="dxa"/>
              <w:left w:w="20" w:type="dxa"/>
              <w:bottom w:w="30" w:type="dxa"/>
              <w:right w:w="20" w:type="dxa"/>
            </w:tcMar>
            <w:vAlign w:val="bottom"/>
            <w:hideMark/>
          </w:tcPr>
          <w:p w:rsidR="00000000" w:rsidRDefault="000C147A">
            <w:pPr>
              <w:divId w:val="96065192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Allowance for Credit Losses (4)</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Fair Value </w:t>
            </w:r>
          </w:p>
        </w:tc>
      </w:tr>
      <w:tr w:rsidR="00000000">
        <w:trPr>
          <w:divId w:val="666325283"/>
          <w:jc w:val="center"/>
        </w:trPr>
        <w:tc>
          <w:tcPr>
            <w:tcW w:w="0" w:type="auto"/>
            <w:gridSpan w:val="3"/>
            <w:tcMar>
              <w:top w:w="30" w:type="dxa"/>
              <w:left w:w="20" w:type="dxa"/>
              <w:bottom w:w="30" w:type="dxa"/>
              <w:right w:w="20" w:type="dxa"/>
            </w:tcMar>
            <w:vAlign w:val="bottom"/>
            <w:hideMark/>
          </w:tcPr>
          <w:p w:rsidR="00000000" w:rsidRDefault="000C147A">
            <w:pPr>
              <w:divId w:val="81223663"/>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(in millions)</w:t>
            </w:r>
          </w:p>
        </w:tc>
      </w:tr>
      <w:tr w:rsidR="00000000">
        <w:trPr>
          <w:divId w:val="666325283"/>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66325283"/>
          <w:jc w:val="center"/>
        </w:trPr>
        <w:tc>
          <w:tcPr>
            <w:tcW w:w="0" w:type="auto"/>
            <w:gridSpan w:val="3"/>
            <w:shd w:val="clear" w:color="auto" w:fill="CCEEFF"/>
            <w:tcMar>
              <w:top w:w="30" w:type="dxa"/>
              <w:left w:w="20" w:type="dxa"/>
              <w:bottom w:w="30" w:type="dxa"/>
              <w:right w:w="20" w:type="dxa"/>
            </w:tcMar>
            <w:hideMark/>
          </w:tcPr>
          <w:p w:rsidR="00000000" w:rsidRDefault="000C147A">
            <w:pPr>
              <w:divId w:val="1830443743"/>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66325283"/>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20" w:type="dxa"/>
              <w:bottom w:w="30" w:type="dxa"/>
              <w:right w:w="20" w:type="dxa"/>
            </w:tcMar>
            <w:hideMark/>
          </w:tcPr>
          <w:p w:rsidR="00000000" w:rsidRDefault="000C147A">
            <w:pPr>
              <w:divId w:val="875199345"/>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divId w:val="1083911079"/>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20" w:type="dxa"/>
              <w:bottom w:w="30" w:type="dxa"/>
              <w:right w:w="20" w:type="dxa"/>
            </w:tcMar>
            <w:hideMark/>
          </w:tcPr>
          <w:p w:rsidR="00000000" w:rsidRDefault="000C147A">
            <w:pPr>
              <w:divId w:val="1068499114"/>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 at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70,307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79,379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66325283"/>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December 31, 2019 (5)</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divId w:val="246499756"/>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66325283"/>
          <w:jc w:val="center"/>
        </w:trPr>
        <w:tc>
          <w:tcPr>
            <w:tcW w:w="0" w:type="auto"/>
            <w:gridSpan w:val="3"/>
            <w:shd w:val="clear" w:color="auto" w:fill="CCEEFF"/>
            <w:tcMar>
              <w:top w:w="30" w:type="dxa"/>
              <w:left w:w="20" w:type="dxa"/>
              <w:bottom w:w="30" w:type="dxa"/>
              <w:right w:w="20" w:type="dxa"/>
            </w:tcMar>
            <w:hideMark/>
          </w:tcPr>
          <w:p w:rsidR="00000000" w:rsidRDefault="000C147A">
            <w:pPr>
              <w:divId w:val="2088458484"/>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45,900 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48,199 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divId w:val="524363173"/>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14,410 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20" w:type="dxa"/>
              <w:bottom w:w="30" w:type="dxa"/>
              <w:right w:w="20" w:type="dxa"/>
            </w:tcMar>
            <w:hideMark/>
          </w:tcPr>
          <w:p w:rsidR="00000000" w:rsidRDefault="000C147A">
            <w:pPr>
              <w:divId w:val="784617837"/>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divId w:val="1660304507"/>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66325283"/>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at 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62,937 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1429235862"/>
        <w:rPr>
          <w:rFonts w:eastAsia="Times New Roman"/>
        </w:rPr>
      </w:pPr>
      <w:r>
        <w:rPr>
          <w:rFonts w:eastAsia="Times New Roman"/>
          <w:color w:val="000000"/>
          <w:sz w:val="18"/>
          <w:szCs w:val="18"/>
        </w:rPr>
        <w:t>______________</w:t>
      </w:r>
    </w:p>
    <w:p w:rsidR="00000000" w:rsidRDefault="000C147A">
      <w:pPr>
        <w:ind w:hanging="360"/>
        <w:divId w:val="1539901128"/>
        <w:rPr>
          <w:rFonts w:eastAsia="Times New Roman"/>
        </w:rPr>
      </w:pPr>
      <w:r>
        <w:rPr>
          <w:rFonts w:eastAsia="Times New Roman"/>
          <w:color w:val="000000"/>
          <w:sz w:val="18"/>
          <w:szCs w:val="18"/>
        </w:rPr>
        <w:t>(1)</w:t>
      </w:r>
      <w:r>
        <w:rPr>
          <w:rFonts w:eastAsia="Times New Roman"/>
          <w:color w:val="000000"/>
          <w:sz w:val="18"/>
          <w:szCs w:val="18"/>
        </w:rPr>
        <w:t>Corporate fixed maturities include both public and private issues.</w:t>
      </w:r>
    </w:p>
    <w:p w:rsidR="00000000" w:rsidRDefault="000C147A">
      <w:pPr>
        <w:ind w:hanging="360"/>
        <w:divId w:val="883104105"/>
        <w:rPr>
          <w:rFonts w:eastAsia="Times New Roman"/>
        </w:rPr>
      </w:pPr>
      <w:r>
        <w:rPr>
          <w:rFonts w:eastAsia="Times New Roman"/>
          <w:color w:val="000000"/>
          <w:sz w:val="18"/>
          <w:szCs w:val="18"/>
        </w:rPr>
        <w:t>(2)Includes publicly traded agency pass-through securities and collateralized obligations.</w:t>
      </w:r>
    </w:p>
    <w:p w:rsidR="00000000" w:rsidRDefault="000C147A">
      <w:pPr>
        <w:ind w:hanging="360"/>
        <w:divId w:val="1581670768"/>
        <w:rPr>
          <w:rFonts w:eastAsia="Times New Roman"/>
        </w:rPr>
      </w:pPr>
      <w:r>
        <w:rPr>
          <w:rFonts w:eastAsia="Times New Roman"/>
          <w:color w:val="000000"/>
          <w:sz w:val="18"/>
          <w:szCs w:val="18"/>
        </w:rPr>
        <w:t>(3)Includes credit-tranched securities collateralized by sub-prime mortgages and other asset types</w:t>
      </w:r>
      <w:r>
        <w:rPr>
          <w:rFonts w:eastAsia="Times New Roman"/>
          <w:color w:val="000000"/>
          <w:sz w:val="18"/>
          <w:szCs w:val="18"/>
        </w:rPr>
        <w:t xml:space="preserve"> and credit tenant loans.</w:t>
      </w:r>
    </w:p>
    <w:p w:rsidR="00000000" w:rsidRDefault="000C147A">
      <w:pPr>
        <w:jc w:val="center"/>
        <w:divId w:val="621545436"/>
        <w:rPr>
          <w:rFonts w:eastAsia="Times New Roman"/>
        </w:rPr>
      </w:pPr>
      <w:r>
        <w:rPr>
          <w:rFonts w:eastAsia="Times New Roman"/>
          <w:color w:val="000000"/>
          <w:sz w:val="20"/>
          <w:szCs w:val="20"/>
        </w:rPr>
        <w:t>20</w:t>
      </w: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p>
    <w:p w:rsidR="00000000" w:rsidRDefault="000C147A">
      <w:pPr>
        <w:jc w:val="center"/>
        <w:divId w:val="621545436"/>
        <w:rPr>
          <w:rFonts w:eastAsia="Times New Roman"/>
        </w:rPr>
      </w:pPr>
      <w:r>
        <w:rPr>
          <w:rFonts w:eastAsia="Times New Roman"/>
          <w:color w:val="000000"/>
          <w:sz w:val="20"/>
          <w:szCs w:val="20"/>
        </w:rPr>
        <w:t>20</w:t>
      </w:r>
    </w:p>
    <w:p w:rsidR="00000000" w:rsidRDefault="000C147A">
      <w:pPr>
        <w:rPr>
          <w:rFonts w:eastAsia="Times New Roman"/>
        </w:rPr>
      </w:pPr>
      <w:r>
        <w:rPr>
          <w:rFonts w:eastAsia="Times New Roman"/>
        </w:rPr>
        <w:pict>
          <v:rect id="_x0000_i1046" style="width:0;height:1.5pt" o:hralign="center" o:hrstd="t" o:hr="t" fillcolor="#a0a0a0" stroked="f"/>
        </w:pict>
      </w:r>
    </w:p>
    <w:p w:rsidR="00000000" w:rsidRDefault="000C147A">
      <w:pPr>
        <w:jc w:val="center"/>
        <w:divId w:val="143548868"/>
        <w:rPr>
          <w:rFonts w:eastAsia="Times New Roman"/>
        </w:rPr>
      </w:pPr>
      <w:r>
        <w:rPr>
          <w:rFonts w:eastAsia="Times New Roman"/>
          <w:b/>
          <w:bCs/>
          <w:color w:val="000000"/>
          <w:sz w:val="20"/>
          <w:szCs w:val="20"/>
        </w:rPr>
        <w:t>EQUITABLE HOLDINGS, INC.</w:t>
      </w:r>
    </w:p>
    <w:p w:rsidR="00000000" w:rsidRDefault="000C147A">
      <w:pPr>
        <w:jc w:val="center"/>
        <w:divId w:val="143548868"/>
        <w:rPr>
          <w:rFonts w:eastAsia="Times New Roman"/>
        </w:rPr>
      </w:pPr>
      <w:r>
        <w:rPr>
          <w:rFonts w:eastAsia="Times New Roman"/>
          <w:b/>
          <w:bCs/>
          <w:color w:val="000000"/>
          <w:sz w:val="20"/>
          <w:szCs w:val="20"/>
        </w:rPr>
        <w:t>Notes to Consolidated Financial Statements (Unaudited), Continued</w:t>
      </w:r>
    </w:p>
    <w:p w:rsidR="00000000" w:rsidRDefault="000C147A">
      <w:pPr>
        <w:ind w:hanging="360"/>
        <w:divId w:val="1163006490"/>
        <w:rPr>
          <w:rFonts w:eastAsia="Times New Roman"/>
        </w:rPr>
      </w:pPr>
      <w:r>
        <w:rPr>
          <w:rFonts w:eastAsia="Times New Roman"/>
          <w:color w:val="000000"/>
          <w:sz w:val="18"/>
          <w:szCs w:val="18"/>
        </w:rPr>
        <w:t>(4)Amounts represent the allowance for credit losses for 2020 (see Note 2 Significa</w:t>
      </w:r>
      <w:r>
        <w:rPr>
          <w:rFonts w:eastAsia="Times New Roman"/>
          <w:color w:val="000000"/>
          <w:sz w:val="18"/>
          <w:szCs w:val="18"/>
        </w:rPr>
        <w:t>nt Accounting Policies – Investments).</w:t>
      </w:r>
    </w:p>
    <w:p w:rsidR="00000000" w:rsidRDefault="000C147A">
      <w:pPr>
        <w:ind w:hanging="360"/>
        <w:divId w:val="2022537586"/>
        <w:rPr>
          <w:rFonts w:eastAsia="Times New Roman"/>
        </w:rPr>
      </w:pPr>
      <w:r>
        <w:rPr>
          <w:rFonts w:eastAsia="Times New Roman"/>
          <w:color w:val="000000"/>
          <w:sz w:val="18"/>
          <w:szCs w:val="18"/>
        </w:rPr>
        <w:t>(5)Excludes amounts reclassified as HFS.</w:t>
      </w:r>
    </w:p>
    <w:p w:rsidR="00000000" w:rsidRDefault="000C147A">
      <w:pPr>
        <w:divId w:val="894243893"/>
        <w:rPr>
          <w:rFonts w:eastAsia="Times New Roman"/>
        </w:rPr>
      </w:pPr>
      <w:r>
        <w:rPr>
          <w:rFonts w:eastAsia="Times New Roman"/>
          <w:color w:val="000000"/>
          <w:sz w:val="20"/>
          <w:szCs w:val="20"/>
        </w:rPr>
        <w:t>The contractual maturities of AFS fixed maturities at September 30, 2020 are shown in the table below. Bonds not due at a single maturity date have been included in the table i</w:t>
      </w:r>
      <w:r>
        <w:rPr>
          <w:rFonts w:eastAsia="Times New Roman"/>
          <w:color w:val="000000"/>
          <w:sz w:val="20"/>
          <w:szCs w:val="20"/>
        </w:rPr>
        <w:t>n the final year of maturity. Actual maturities may differ from contractual maturities because borrowers may have the right to call or prepay obligations with or without call or prepayment penalties.</w:t>
      </w:r>
    </w:p>
    <w:p w:rsidR="00000000" w:rsidRDefault="000C147A">
      <w:pPr>
        <w:jc w:val="center"/>
        <w:rPr>
          <w:rFonts w:eastAsia="Times New Roman"/>
        </w:rPr>
      </w:pPr>
      <w:r>
        <w:rPr>
          <w:rFonts w:eastAsia="Times New Roman"/>
          <w:b/>
          <w:bCs/>
          <w:color w:val="000000"/>
          <w:sz w:val="20"/>
          <w:szCs w:val="20"/>
        </w:rPr>
        <w:t>Contractual Maturities of AFS Fixed Maturities</w:t>
      </w:r>
    </w:p>
    <w:tbl>
      <w:tblPr>
        <w:tblW w:w="4641" w:type="pct"/>
        <w:jc w:val="center"/>
        <w:tblCellMar>
          <w:top w:w="15" w:type="dxa"/>
          <w:left w:w="15" w:type="dxa"/>
          <w:bottom w:w="15" w:type="dxa"/>
          <w:right w:w="15" w:type="dxa"/>
        </w:tblCellMar>
        <w:tblLook w:val="04A0" w:firstRow="1" w:lastRow="0" w:firstColumn="1" w:lastColumn="0" w:noHBand="0" w:noVBand="1"/>
      </w:tblPr>
      <w:tblGrid>
        <w:gridCol w:w="38"/>
        <w:gridCol w:w="5254"/>
        <w:gridCol w:w="37"/>
        <w:gridCol w:w="121"/>
        <w:gridCol w:w="998"/>
        <w:gridCol w:w="36"/>
        <w:gridCol w:w="36"/>
        <w:gridCol w:w="36"/>
        <w:gridCol w:w="36"/>
        <w:gridCol w:w="121"/>
        <w:gridCol w:w="961"/>
        <w:gridCol w:w="36"/>
      </w:tblGrid>
      <w:tr w:rsidR="00000000">
        <w:trPr>
          <w:divId w:val="1760176164"/>
          <w:jc w:val="center"/>
        </w:trPr>
        <w:tc>
          <w:tcPr>
            <w:tcW w:w="50" w:type="pct"/>
            <w:vAlign w:val="center"/>
            <w:hideMark/>
          </w:tcPr>
          <w:p w:rsidR="00000000" w:rsidRDefault="000C147A">
            <w:pPr>
              <w:jc w:val="center"/>
              <w:rPr>
                <w:rFonts w:eastAsia="Times New Roman"/>
              </w:rPr>
            </w:pPr>
          </w:p>
        </w:tc>
        <w:tc>
          <w:tcPr>
            <w:tcW w:w="34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60176164"/>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r>
      <w:tr w:rsidR="00000000">
        <w:trPr>
          <w:divId w:val="1760176164"/>
          <w:jc w:val="center"/>
        </w:trPr>
        <w:tc>
          <w:tcPr>
            <w:tcW w:w="0" w:type="auto"/>
            <w:gridSpan w:val="3"/>
            <w:tcMar>
              <w:top w:w="30" w:type="dxa"/>
              <w:left w:w="20" w:type="dxa"/>
              <w:bottom w:w="30" w:type="dxa"/>
              <w:right w:w="20" w:type="dxa"/>
            </w:tcMar>
            <w:vAlign w:val="bottom"/>
            <w:hideMark/>
          </w:tcPr>
          <w:p w:rsidR="00000000" w:rsidRDefault="000C147A">
            <w:pPr>
              <w:divId w:val="929195011"/>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760176164"/>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60176164"/>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Contractual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60176164"/>
          <w:jc w:val="center"/>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Due in one year or less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Due in years six through ten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20,887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Due after ten years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33,042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66,078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75,063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CCEEFF"/>
            <w:tcMar>
              <w:top w:w="30" w:type="dxa"/>
              <w:left w:w="20" w:type="dxa"/>
              <w:bottom w:w="30" w:type="dxa"/>
              <w:right w:w="20" w:type="dxa"/>
            </w:tcMar>
            <w:hideMark/>
          </w:tcPr>
          <w:p w:rsidR="00000000" w:rsidRDefault="000C147A">
            <w:pPr>
              <w:divId w:val="1789424162"/>
              <w:rPr>
                <w:rFonts w:eastAsia="Times New Roman"/>
              </w:rPr>
            </w:pPr>
            <w:r>
              <w:rPr>
                <w:rFonts w:eastAsia="Times New Roman"/>
                <w:color w:val="000000"/>
                <w:sz w:val="20"/>
                <w:szCs w:val="20"/>
              </w:rPr>
              <w:t>Residential mortgage-backed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FFFFFF"/>
            <w:tcMar>
              <w:top w:w="30" w:type="dxa"/>
              <w:left w:w="20" w:type="dxa"/>
              <w:bottom w:w="30" w:type="dxa"/>
              <w:right w:w="20" w:type="dxa"/>
            </w:tcMar>
            <w:hideMark/>
          </w:tcPr>
          <w:p w:rsidR="00000000" w:rsidRDefault="000C147A">
            <w:pPr>
              <w:divId w:val="503670145"/>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FFFFFF"/>
            <w:tcMar>
              <w:top w:w="30" w:type="dxa"/>
              <w:left w:w="20" w:type="dxa"/>
              <w:bottom w:w="30" w:type="dxa"/>
              <w:right w:w="20" w:type="dxa"/>
            </w:tcMar>
            <w:hideMark/>
          </w:tcPr>
          <w:p w:rsidR="00000000" w:rsidRDefault="000C147A">
            <w:pPr>
              <w:divId w:val="476806693"/>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0176164"/>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 at September 30,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70,294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79,379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2017265520"/>
        <w:rPr>
          <w:rFonts w:eastAsia="Times New Roman"/>
        </w:rPr>
      </w:pPr>
    </w:p>
    <w:p w:rsidR="00000000" w:rsidRDefault="000C147A">
      <w:pPr>
        <w:divId w:val="1563104406"/>
        <w:rPr>
          <w:rFonts w:eastAsia="Times New Roman"/>
        </w:rPr>
      </w:pPr>
      <w:r>
        <w:rPr>
          <w:rFonts w:eastAsia="Times New Roman"/>
          <w:color w:val="000000"/>
          <w:sz w:val="20"/>
          <w:szCs w:val="20"/>
        </w:rPr>
        <w:t>The following table shows proceeds from sales, gross gains (losses) from sales and credit losses for AFS fixed maturities for the three and nine months ended September 30, 2020 and 2019:</w:t>
      </w:r>
    </w:p>
    <w:p w:rsidR="00000000" w:rsidRDefault="000C147A">
      <w:pPr>
        <w:jc w:val="center"/>
        <w:rPr>
          <w:rFonts w:eastAsia="Times New Roman"/>
        </w:rPr>
      </w:pPr>
      <w:r>
        <w:rPr>
          <w:rFonts w:eastAsia="Times New Roman"/>
          <w:b/>
          <w:bCs/>
          <w:color w:val="000000"/>
          <w:sz w:val="20"/>
          <w:szCs w:val="20"/>
        </w:rPr>
        <w:t>Proceeds from Sales, Gross Gains (Losses) from Sales and Credit Losses for AFS Fixed Maturities</w:t>
      </w:r>
    </w:p>
    <w:tbl>
      <w:tblPr>
        <w:tblW w:w="4700" w:type="pct"/>
        <w:jc w:val="center"/>
        <w:tblCellMar>
          <w:top w:w="15" w:type="dxa"/>
          <w:left w:w="15" w:type="dxa"/>
          <w:bottom w:w="15" w:type="dxa"/>
          <w:right w:w="15" w:type="dxa"/>
        </w:tblCellMar>
        <w:tblLook w:val="04A0" w:firstRow="1" w:lastRow="0" w:firstColumn="1" w:lastColumn="0" w:noHBand="0" w:noVBand="1"/>
      </w:tblPr>
      <w:tblGrid>
        <w:gridCol w:w="37"/>
        <w:gridCol w:w="3356"/>
        <w:gridCol w:w="36"/>
        <w:gridCol w:w="120"/>
        <w:gridCol w:w="866"/>
        <w:gridCol w:w="36"/>
        <w:gridCol w:w="36"/>
        <w:gridCol w:w="36"/>
        <w:gridCol w:w="36"/>
        <w:gridCol w:w="120"/>
        <w:gridCol w:w="818"/>
        <w:gridCol w:w="36"/>
        <w:gridCol w:w="36"/>
        <w:gridCol w:w="36"/>
        <w:gridCol w:w="36"/>
        <w:gridCol w:w="120"/>
        <w:gridCol w:w="712"/>
        <w:gridCol w:w="36"/>
        <w:gridCol w:w="36"/>
        <w:gridCol w:w="36"/>
        <w:gridCol w:w="36"/>
        <w:gridCol w:w="120"/>
        <w:gridCol w:w="819"/>
        <w:gridCol w:w="36"/>
        <w:gridCol w:w="36"/>
        <w:gridCol w:w="36"/>
        <w:gridCol w:w="36"/>
        <w:gridCol w:w="36"/>
        <w:gridCol w:w="36"/>
        <w:gridCol w:w="36"/>
      </w:tblGrid>
      <w:tr w:rsidR="00000000">
        <w:trPr>
          <w:divId w:val="2042509165"/>
          <w:jc w:val="center"/>
        </w:trPr>
        <w:tc>
          <w:tcPr>
            <w:tcW w:w="50" w:type="pct"/>
            <w:vAlign w:val="center"/>
            <w:hideMark/>
          </w:tcPr>
          <w:p w:rsidR="00000000" w:rsidRDefault="000C147A">
            <w:pPr>
              <w:jc w:val="center"/>
              <w:rPr>
                <w:rFonts w:eastAsia="Times New Roman"/>
              </w:rPr>
            </w:pPr>
          </w:p>
        </w:tc>
        <w:tc>
          <w:tcPr>
            <w:tcW w:w="22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tcMar>
              <w:top w:w="30" w:type="dxa"/>
              <w:left w:w="20" w:type="dxa"/>
              <w:bottom w:w="30" w:type="dxa"/>
              <w:right w:w="20" w:type="dxa"/>
            </w:tcMar>
            <w:vAlign w:val="bottom"/>
            <w:hideMark/>
          </w:tcPr>
          <w:p w:rsidR="00000000" w:rsidRDefault="000C147A">
            <w:pPr>
              <w:divId w:val="137947475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tcMar>
              <w:top w:w="30" w:type="dxa"/>
              <w:left w:w="20" w:type="dxa"/>
              <w:bottom w:w="30" w:type="dxa"/>
              <w:right w:w="20" w:type="dxa"/>
            </w:tcMar>
            <w:vAlign w:val="bottom"/>
            <w:hideMark/>
          </w:tcPr>
          <w:p w:rsidR="00000000" w:rsidRDefault="000C147A">
            <w:pPr>
              <w:divId w:val="774249128"/>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tcMar>
              <w:top w:w="30" w:type="dxa"/>
              <w:left w:w="20" w:type="dxa"/>
              <w:bottom w:w="30" w:type="dxa"/>
              <w:right w:w="20" w:type="dxa"/>
            </w:tcMar>
            <w:vAlign w:val="bottom"/>
            <w:hideMark/>
          </w:tcPr>
          <w:p w:rsidR="00000000" w:rsidRDefault="000C147A">
            <w:pPr>
              <w:divId w:val="1064059079"/>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42509165"/>
          <w:jc w:val="center"/>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Proceeds from sales</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1,433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3,849 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6,913 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b/>
                <w:bCs/>
                <w:color w:val="000000"/>
                <w:sz w:val="20"/>
                <w:szCs w:val="20"/>
              </w:rPr>
              <w:t>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4250916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42509165"/>
          <w:jc w:val="center"/>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Credit losses (1)</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1815371139"/>
        <w:rPr>
          <w:rFonts w:eastAsia="Times New Roman"/>
        </w:rPr>
      </w:pPr>
      <w:r>
        <w:rPr>
          <w:rFonts w:eastAsia="Times New Roman"/>
          <w:color w:val="000000"/>
          <w:sz w:val="18"/>
          <w:szCs w:val="18"/>
        </w:rPr>
        <w:t xml:space="preserve">______________ </w:t>
      </w:r>
    </w:p>
    <w:p w:rsidR="00000000" w:rsidRDefault="000C147A">
      <w:pPr>
        <w:divId w:val="314338558"/>
        <w:rPr>
          <w:rFonts w:eastAsia="Times New Roman"/>
        </w:rPr>
      </w:pPr>
      <w:r>
        <w:rPr>
          <w:rFonts w:eastAsia="Times New Roman"/>
          <w:color w:val="000000"/>
          <w:sz w:val="18"/>
          <w:szCs w:val="18"/>
        </w:rPr>
        <w:t>(1) Commencing with the Company’s adoption of ASU 2016-13 on January 1, 2020, credit loss</w:t>
      </w:r>
      <w:r>
        <w:rPr>
          <w:rFonts w:eastAsia="Times New Roman"/>
          <w:color w:val="000000"/>
          <w:sz w:val="18"/>
          <w:szCs w:val="18"/>
        </w:rPr>
        <w:t>es on AFS debt securities were recognized as an allowance for credit losses. Prior to this, credit losses on AFS fixed maturities were recognized as OTTI.</w:t>
      </w:r>
    </w:p>
    <w:p w:rsidR="00000000" w:rsidRDefault="000C147A">
      <w:pPr>
        <w:divId w:val="121928320"/>
        <w:rPr>
          <w:rFonts w:eastAsia="Times New Roman"/>
        </w:rPr>
      </w:pPr>
      <w:r>
        <w:rPr>
          <w:rFonts w:eastAsia="Times New Roman"/>
          <w:color w:val="000000"/>
          <w:sz w:val="20"/>
          <w:szCs w:val="20"/>
        </w:rPr>
        <w:t xml:space="preserve">The following table sets forth the amount of credit loss impairments on AFS fixed maturities held by </w:t>
      </w:r>
      <w:r>
        <w:rPr>
          <w:rFonts w:eastAsia="Times New Roman"/>
          <w:color w:val="000000"/>
          <w:sz w:val="20"/>
          <w:szCs w:val="20"/>
        </w:rPr>
        <w:t>the Company at the dates indicated and the corresponding changes in such amounts.</w:t>
      </w:r>
    </w:p>
    <w:p w:rsidR="00000000" w:rsidRDefault="000C147A">
      <w:pPr>
        <w:jc w:val="center"/>
        <w:divId w:val="649599414"/>
        <w:rPr>
          <w:rFonts w:eastAsia="Times New Roman"/>
        </w:rPr>
      </w:pPr>
    </w:p>
    <w:p w:rsidR="00000000" w:rsidRDefault="000C147A">
      <w:pPr>
        <w:jc w:val="center"/>
        <w:divId w:val="649599414"/>
        <w:rPr>
          <w:rFonts w:eastAsia="Times New Roman"/>
        </w:rPr>
      </w:pPr>
      <w:r>
        <w:rPr>
          <w:rFonts w:eastAsia="Times New Roman"/>
          <w:color w:val="000000"/>
          <w:sz w:val="20"/>
          <w:szCs w:val="20"/>
        </w:rPr>
        <w:t>21</w:t>
      </w:r>
    </w:p>
    <w:p w:rsidR="00000000" w:rsidRDefault="000C147A">
      <w:pPr>
        <w:rPr>
          <w:rFonts w:eastAsia="Times New Roman"/>
        </w:rPr>
      </w:pPr>
      <w:r>
        <w:rPr>
          <w:rFonts w:eastAsia="Times New Roman"/>
        </w:rPr>
        <w:pict>
          <v:rect id="_x0000_i1047" style="width:0;height:1.5pt" o:hralign="center" o:hrstd="t" o:hr="t" fillcolor="#a0a0a0" stroked="f"/>
        </w:pict>
      </w:r>
    </w:p>
    <w:p w:rsidR="00000000" w:rsidRDefault="000C147A">
      <w:pPr>
        <w:jc w:val="center"/>
        <w:divId w:val="618224609"/>
        <w:rPr>
          <w:rFonts w:eastAsia="Times New Roman"/>
        </w:rPr>
      </w:pPr>
      <w:r>
        <w:rPr>
          <w:rFonts w:eastAsia="Times New Roman"/>
          <w:b/>
          <w:bCs/>
          <w:color w:val="000000"/>
          <w:sz w:val="20"/>
          <w:szCs w:val="20"/>
        </w:rPr>
        <w:t>EQUITABLE HOLDINGS, INC.</w:t>
      </w:r>
    </w:p>
    <w:p w:rsidR="00000000" w:rsidRDefault="000C147A">
      <w:pPr>
        <w:jc w:val="center"/>
        <w:divId w:val="618224609"/>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AFS Fixed Maturities - Credit Loss Impairments</w:t>
      </w:r>
    </w:p>
    <w:tbl>
      <w:tblPr>
        <w:tblW w:w="4722" w:type="pct"/>
        <w:tblCellMar>
          <w:top w:w="15" w:type="dxa"/>
          <w:left w:w="15" w:type="dxa"/>
          <w:bottom w:w="15" w:type="dxa"/>
          <w:right w:w="15" w:type="dxa"/>
        </w:tblCellMar>
        <w:tblLook w:val="04A0" w:firstRow="1" w:lastRow="0" w:firstColumn="1" w:lastColumn="0" w:noHBand="0" w:noVBand="1"/>
      </w:tblPr>
      <w:tblGrid>
        <w:gridCol w:w="38"/>
        <w:gridCol w:w="3380"/>
        <w:gridCol w:w="37"/>
        <w:gridCol w:w="120"/>
        <w:gridCol w:w="885"/>
        <w:gridCol w:w="36"/>
        <w:gridCol w:w="36"/>
        <w:gridCol w:w="36"/>
        <w:gridCol w:w="36"/>
        <w:gridCol w:w="120"/>
        <w:gridCol w:w="834"/>
        <w:gridCol w:w="36"/>
        <w:gridCol w:w="36"/>
        <w:gridCol w:w="36"/>
        <w:gridCol w:w="36"/>
        <w:gridCol w:w="120"/>
        <w:gridCol w:w="886"/>
        <w:gridCol w:w="36"/>
        <w:gridCol w:w="36"/>
        <w:gridCol w:w="36"/>
        <w:gridCol w:w="36"/>
        <w:gridCol w:w="120"/>
        <w:gridCol w:w="836"/>
        <w:gridCol w:w="36"/>
      </w:tblGrid>
      <w:tr w:rsidR="00000000">
        <w:trPr>
          <w:divId w:val="1989046474"/>
        </w:trPr>
        <w:tc>
          <w:tcPr>
            <w:tcW w:w="50" w:type="pct"/>
            <w:vAlign w:val="center"/>
            <w:hideMark/>
          </w:tcPr>
          <w:p w:rsidR="00000000" w:rsidRDefault="000C147A">
            <w:pPr>
              <w:jc w:val="center"/>
              <w:rPr>
                <w:rFonts w:eastAsia="Times New Roman"/>
              </w:rPr>
            </w:pPr>
          </w:p>
        </w:tc>
        <w:tc>
          <w:tcPr>
            <w:tcW w:w="22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98904647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198904647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98904647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989046474"/>
        </w:trPr>
        <w:tc>
          <w:tcPr>
            <w:tcW w:w="0" w:type="auto"/>
            <w:gridSpan w:val="3"/>
            <w:tcMar>
              <w:top w:w="0" w:type="dxa"/>
              <w:left w:w="20" w:type="dxa"/>
              <w:bottom w:w="0" w:type="dxa"/>
              <w:right w:w="20" w:type="dxa"/>
            </w:tcMar>
            <w:vAlign w:val="center"/>
            <w:hideMark/>
          </w:tcPr>
          <w:p w:rsidR="00000000" w:rsidRDefault="000C147A">
            <w:pPr>
              <w:rPr>
                <w:rFonts w:eastAsia="Times New Roman"/>
              </w:rPr>
            </w:pPr>
            <w:r>
              <w:rPr>
                <w:rFonts w:eastAsia="Times New Roman"/>
                <w:sz w:val="20"/>
                <w:szCs w:val="20"/>
              </w:rPr>
              <w:t>Balance,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Recognized impairments on securities impaired to fair value this period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Additional credit losses this period on securities previously impaired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8904647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at September 30,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720"/>
        <w:divId w:val="375549710"/>
        <w:rPr>
          <w:rFonts w:eastAsia="Times New Roman"/>
        </w:rPr>
      </w:pPr>
      <w:r>
        <w:rPr>
          <w:rFonts w:eastAsia="Times New Roman"/>
          <w:color w:val="000000"/>
          <w:sz w:val="18"/>
          <w:szCs w:val="18"/>
        </w:rPr>
        <w:t>______________</w:t>
      </w:r>
    </w:p>
    <w:p w:rsidR="00000000" w:rsidRDefault="000C147A">
      <w:pPr>
        <w:ind w:hanging="360"/>
        <w:divId w:val="566652995"/>
        <w:rPr>
          <w:rFonts w:eastAsia="Times New Roman"/>
        </w:rPr>
      </w:pPr>
      <w:r>
        <w:rPr>
          <w:rFonts w:eastAsia="Times New Roman"/>
          <w:color w:val="000000"/>
          <w:sz w:val="18"/>
          <w:szCs w:val="18"/>
        </w:rPr>
        <w:t>(1)Represents circumstanc</w:t>
      </w:r>
      <w:r>
        <w:rPr>
          <w:rFonts w:eastAsia="Times New Roman"/>
          <w:color w:val="000000"/>
          <w:sz w:val="18"/>
          <w:szCs w:val="18"/>
        </w:rPr>
        <w:t>es where the Company determined in the current period that it intends to sell the security, or it is more likely than not that it will be required to sell the security before recovery of the security’s amortized cost.</w:t>
      </w:r>
    </w:p>
    <w:p w:rsidR="00000000" w:rsidRDefault="000C147A">
      <w:pPr>
        <w:divId w:val="1872836299"/>
        <w:rPr>
          <w:rFonts w:eastAsia="Times New Roman"/>
        </w:rPr>
      </w:pPr>
      <w:r>
        <w:rPr>
          <w:rFonts w:eastAsia="Times New Roman"/>
          <w:color w:val="000000"/>
          <w:sz w:val="20"/>
          <w:szCs w:val="20"/>
        </w:rPr>
        <w:t>The tables that follow below present a</w:t>
      </w:r>
      <w:r>
        <w:rPr>
          <w:rFonts w:eastAsia="Times New Roman"/>
          <w:color w:val="000000"/>
          <w:sz w:val="20"/>
          <w:szCs w:val="20"/>
        </w:rPr>
        <w:t xml:space="preserve"> roll-forward of net unrealized investment gains (losses) recognized in AOCI, split between amounts related to fixed maturities on which a credit loss has been recognized, and all other.</w:t>
      </w:r>
    </w:p>
    <w:p w:rsidR="00000000" w:rsidRDefault="000C147A">
      <w:pPr>
        <w:divId w:val="885600695"/>
        <w:rPr>
          <w:rFonts w:eastAsia="Times New Roman"/>
        </w:rPr>
      </w:pPr>
    </w:p>
    <w:p w:rsidR="00000000" w:rsidRDefault="000C147A">
      <w:pPr>
        <w:jc w:val="center"/>
        <w:rPr>
          <w:rFonts w:eastAsia="Times New Roman"/>
        </w:rPr>
      </w:pPr>
      <w:r>
        <w:rPr>
          <w:rFonts w:eastAsia="Times New Roman"/>
          <w:b/>
          <w:bCs/>
          <w:color w:val="000000"/>
          <w:sz w:val="20"/>
          <w:szCs w:val="20"/>
        </w:rPr>
        <w:t>Net Unrealized Gains (Losses) on AFS Fixed Maturities</w:t>
      </w:r>
    </w:p>
    <w:p w:rsidR="00000000" w:rsidRDefault="000C147A">
      <w:pPr>
        <w:divId w:val="1244532419"/>
        <w:rPr>
          <w:rFonts w:eastAsia="Times New Roman"/>
        </w:rPr>
      </w:pPr>
    </w:p>
    <w:tbl>
      <w:tblPr>
        <w:tblW w:w="4480" w:type="pct"/>
        <w:tblCellMar>
          <w:top w:w="15" w:type="dxa"/>
          <w:left w:w="15" w:type="dxa"/>
          <w:bottom w:w="15" w:type="dxa"/>
          <w:right w:w="15" w:type="dxa"/>
        </w:tblCellMar>
        <w:tblLook w:val="04A0" w:firstRow="1" w:lastRow="0" w:firstColumn="1" w:lastColumn="0" w:noHBand="0" w:noVBand="1"/>
      </w:tblPr>
      <w:tblGrid>
        <w:gridCol w:w="39"/>
        <w:gridCol w:w="2525"/>
        <w:gridCol w:w="38"/>
        <w:gridCol w:w="121"/>
        <w:gridCol w:w="794"/>
        <w:gridCol w:w="36"/>
        <w:gridCol w:w="36"/>
        <w:gridCol w:w="36"/>
        <w:gridCol w:w="36"/>
        <w:gridCol w:w="120"/>
        <w:gridCol w:w="584"/>
        <w:gridCol w:w="36"/>
        <w:gridCol w:w="36"/>
        <w:gridCol w:w="36"/>
        <w:gridCol w:w="36"/>
        <w:gridCol w:w="121"/>
        <w:gridCol w:w="926"/>
        <w:gridCol w:w="36"/>
        <w:gridCol w:w="36"/>
        <w:gridCol w:w="36"/>
        <w:gridCol w:w="36"/>
        <w:gridCol w:w="120"/>
        <w:gridCol w:w="584"/>
        <w:gridCol w:w="36"/>
        <w:gridCol w:w="36"/>
        <w:gridCol w:w="36"/>
        <w:gridCol w:w="36"/>
        <w:gridCol w:w="121"/>
        <w:gridCol w:w="737"/>
        <w:gridCol w:w="36"/>
      </w:tblGrid>
      <w:tr w:rsidR="00000000">
        <w:trPr>
          <w:divId w:val="450247785"/>
        </w:trPr>
        <w:tc>
          <w:tcPr>
            <w:tcW w:w="50" w:type="pct"/>
            <w:vAlign w:val="center"/>
            <w:hideMark/>
          </w:tcPr>
          <w:p w:rsidR="00000000" w:rsidRDefault="000C147A">
            <w:pPr>
              <w:rPr>
                <w:rFonts w:eastAsia="Times New Roman"/>
              </w:rPr>
            </w:pPr>
          </w:p>
        </w:tc>
        <w:tc>
          <w:tcPr>
            <w:tcW w:w="18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45024778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AOCI Gain (Loss) Related to Net Unrealized Investment Gains (Losses)</w:t>
            </w:r>
          </w:p>
        </w:tc>
      </w:tr>
      <w:tr w:rsidR="00000000">
        <w:trPr>
          <w:divId w:val="45024778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450247785"/>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July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8,728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(1,521)</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(1,297)</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4,876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5024778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502477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July 1, 2019</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5024778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502477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Impact of net unrealized investment gains (losses)</w:t>
            </w: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(645)</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543521336"/>
        <w:rPr>
          <w:rFonts w:eastAsia="Times New Roman"/>
        </w:rPr>
      </w:pPr>
    </w:p>
    <w:p w:rsidR="00000000" w:rsidRDefault="000C147A">
      <w:pPr>
        <w:jc w:val="center"/>
        <w:divId w:val="543521336"/>
        <w:rPr>
          <w:rFonts w:eastAsia="Times New Roman"/>
        </w:rPr>
      </w:pPr>
      <w:r>
        <w:rPr>
          <w:rFonts w:eastAsia="Times New Roman"/>
          <w:color w:val="000000"/>
          <w:sz w:val="20"/>
          <w:szCs w:val="20"/>
        </w:rPr>
        <w:t>22</w:t>
      </w:r>
    </w:p>
    <w:p w:rsidR="00000000" w:rsidRDefault="000C147A">
      <w:pPr>
        <w:rPr>
          <w:rFonts w:eastAsia="Times New Roman"/>
        </w:rPr>
      </w:pPr>
      <w:r>
        <w:rPr>
          <w:rFonts w:eastAsia="Times New Roman"/>
        </w:rPr>
        <w:pict>
          <v:rect id="_x0000_i1048" style="width:0;height:1.5pt" o:hralign="center" o:hrstd="t" o:hr="t" fillcolor="#a0a0a0" stroked="f"/>
        </w:pict>
      </w:r>
    </w:p>
    <w:p w:rsidR="00000000" w:rsidRDefault="000C147A">
      <w:pPr>
        <w:jc w:val="center"/>
        <w:divId w:val="34354151"/>
        <w:rPr>
          <w:rFonts w:eastAsia="Times New Roman"/>
        </w:rPr>
      </w:pPr>
      <w:r>
        <w:rPr>
          <w:rFonts w:eastAsia="Times New Roman"/>
          <w:b/>
          <w:bCs/>
          <w:color w:val="000000"/>
          <w:sz w:val="20"/>
          <w:szCs w:val="20"/>
        </w:rPr>
        <w:t>EQUITABLE HOLDINGS, INC.</w:t>
      </w:r>
    </w:p>
    <w:p w:rsidR="00000000" w:rsidRDefault="000C147A">
      <w:pPr>
        <w:jc w:val="center"/>
        <w:divId w:val="34354151"/>
        <w:rPr>
          <w:rFonts w:eastAsia="Times New Roman"/>
        </w:rPr>
      </w:pPr>
      <w:r>
        <w:rPr>
          <w:rFonts w:eastAsia="Times New Roman"/>
          <w:b/>
          <w:bCs/>
          <w:color w:val="000000"/>
          <w:sz w:val="20"/>
          <w:szCs w:val="20"/>
        </w:rPr>
        <w:t>Notes to Consolidated Financial Statements (Unaudited), Continued</w:t>
      </w:r>
    </w:p>
    <w:tbl>
      <w:tblPr>
        <w:tblW w:w="4480" w:type="pct"/>
        <w:tblCellMar>
          <w:top w:w="15" w:type="dxa"/>
          <w:left w:w="15" w:type="dxa"/>
          <w:bottom w:w="15" w:type="dxa"/>
          <w:right w:w="15" w:type="dxa"/>
        </w:tblCellMar>
        <w:tblLook w:val="04A0" w:firstRow="1" w:lastRow="0" w:firstColumn="1" w:lastColumn="0" w:noHBand="0" w:noVBand="1"/>
      </w:tblPr>
      <w:tblGrid>
        <w:gridCol w:w="37"/>
        <w:gridCol w:w="2445"/>
        <w:gridCol w:w="36"/>
        <w:gridCol w:w="121"/>
        <w:gridCol w:w="794"/>
        <w:gridCol w:w="36"/>
        <w:gridCol w:w="36"/>
        <w:gridCol w:w="36"/>
        <w:gridCol w:w="36"/>
        <w:gridCol w:w="120"/>
        <w:gridCol w:w="584"/>
        <w:gridCol w:w="36"/>
        <w:gridCol w:w="36"/>
        <w:gridCol w:w="36"/>
        <w:gridCol w:w="36"/>
        <w:gridCol w:w="121"/>
        <w:gridCol w:w="926"/>
        <w:gridCol w:w="36"/>
        <w:gridCol w:w="36"/>
        <w:gridCol w:w="36"/>
        <w:gridCol w:w="36"/>
        <w:gridCol w:w="121"/>
        <w:gridCol w:w="667"/>
        <w:gridCol w:w="36"/>
        <w:gridCol w:w="36"/>
        <w:gridCol w:w="36"/>
        <w:gridCol w:w="36"/>
        <w:gridCol w:w="121"/>
        <w:gridCol w:w="737"/>
        <w:gridCol w:w="36"/>
      </w:tblGrid>
      <w:tr w:rsidR="00000000">
        <w:trPr>
          <w:divId w:val="1806505679"/>
        </w:trPr>
        <w:tc>
          <w:tcPr>
            <w:tcW w:w="50" w:type="pct"/>
            <w:vAlign w:val="center"/>
            <w:hideMark/>
          </w:tcPr>
          <w:p w:rsidR="00000000" w:rsidRDefault="000C147A">
            <w:pPr>
              <w:jc w:val="center"/>
              <w:rPr>
                <w:rFonts w:eastAsia="Times New Roman"/>
              </w:rPr>
            </w:pPr>
          </w:p>
        </w:tc>
        <w:tc>
          <w:tcPr>
            <w:tcW w:w="18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0650567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80650567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80650567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650567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with credit losses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650567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500201446"/>
        <w:rPr>
          <w:rFonts w:eastAsia="Times New Roman"/>
        </w:rPr>
      </w:pPr>
    </w:p>
    <w:tbl>
      <w:tblPr>
        <w:tblW w:w="4641" w:type="pct"/>
        <w:tblCellMar>
          <w:top w:w="15" w:type="dxa"/>
          <w:left w:w="15" w:type="dxa"/>
          <w:bottom w:w="15" w:type="dxa"/>
          <w:right w:w="15" w:type="dxa"/>
        </w:tblCellMar>
        <w:tblLook w:val="04A0" w:firstRow="1" w:lastRow="0" w:firstColumn="1" w:lastColumn="0" w:noHBand="0" w:noVBand="1"/>
      </w:tblPr>
      <w:tblGrid>
        <w:gridCol w:w="39"/>
        <w:gridCol w:w="2535"/>
        <w:gridCol w:w="38"/>
        <w:gridCol w:w="121"/>
        <w:gridCol w:w="792"/>
        <w:gridCol w:w="36"/>
        <w:gridCol w:w="36"/>
        <w:gridCol w:w="36"/>
        <w:gridCol w:w="36"/>
        <w:gridCol w:w="120"/>
        <w:gridCol w:w="639"/>
        <w:gridCol w:w="36"/>
        <w:gridCol w:w="36"/>
        <w:gridCol w:w="36"/>
        <w:gridCol w:w="36"/>
        <w:gridCol w:w="121"/>
        <w:gridCol w:w="926"/>
        <w:gridCol w:w="36"/>
        <w:gridCol w:w="36"/>
        <w:gridCol w:w="36"/>
        <w:gridCol w:w="36"/>
        <w:gridCol w:w="120"/>
        <w:gridCol w:w="584"/>
        <w:gridCol w:w="36"/>
        <w:gridCol w:w="36"/>
        <w:gridCol w:w="36"/>
        <w:gridCol w:w="36"/>
        <w:gridCol w:w="121"/>
        <w:gridCol w:w="942"/>
        <w:gridCol w:w="36"/>
      </w:tblGrid>
      <w:tr w:rsidR="00000000">
        <w:trPr>
          <w:divId w:val="1767338306"/>
        </w:trPr>
        <w:tc>
          <w:tcPr>
            <w:tcW w:w="50" w:type="pct"/>
            <w:vAlign w:val="center"/>
            <w:hideMark/>
          </w:tcPr>
          <w:p w:rsidR="00000000" w:rsidRDefault="000C147A">
            <w:pPr>
              <w:rPr>
                <w:rFonts w:eastAsia="Times New Roman"/>
              </w:rPr>
            </w:pPr>
          </w:p>
        </w:tc>
        <w:tc>
          <w:tcPr>
            <w:tcW w:w="174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7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6733830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176733830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767338306"/>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January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3,453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(189)</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(497)</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1,873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67338306"/>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(859)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(2,340)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January 1, 2019</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67338306"/>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unrealized investment gains (losses) with credit losses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6733830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251360058"/>
        <w:rPr>
          <w:rFonts w:eastAsia="Times New Roman"/>
        </w:rPr>
      </w:pPr>
      <w:r>
        <w:rPr>
          <w:rFonts w:eastAsia="Times New Roman"/>
          <w:color w:val="000000"/>
          <w:sz w:val="18"/>
          <w:szCs w:val="18"/>
        </w:rPr>
        <w:t>_____________</w:t>
      </w:r>
    </w:p>
    <w:p w:rsidR="00000000" w:rsidRDefault="000C147A">
      <w:pPr>
        <w:ind w:hanging="360"/>
        <w:divId w:val="865412413"/>
        <w:rPr>
          <w:rFonts w:eastAsia="Times New Roman"/>
        </w:rPr>
      </w:pPr>
      <w:r>
        <w:rPr>
          <w:rFonts w:eastAsia="Times New Roman"/>
          <w:color w:val="000000"/>
          <w:sz w:val="18"/>
          <w:szCs w:val="18"/>
        </w:rPr>
        <w:t xml:space="preserve">(1)Credit losses for 2019 were OTTI losses. </w:t>
      </w:r>
    </w:p>
    <w:p w:rsidR="00000000" w:rsidRDefault="000C147A">
      <w:pPr>
        <w:divId w:val="390273557"/>
        <w:rPr>
          <w:rFonts w:eastAsia="Times New Roman"/>
        </w:rPr>
      </w:pPr>
      <w:r>
        <w:rPr>
          <w:rFonts w:eastAsia="Times New Roman"/>
          <w:color w:val="000000"/>
          <w:sz w:val="20"/>
          <w:szCs w:val="20"/>
        </w:rPr>
        <w:t>The following tables disclose the fair values and gross unrealized losses of the 729 issues at Septemb</w:t>
      </w:r>
      <w:r>
        <w:rPr>
          <w:rFonts w:eastAsia="Times New Roman"/>
          <w:color w:val="000000"/>
          <w:sz w:val="20"/>
          <w:szCs w:val="20"/>
        </w:rPr>
        <w:t>er 30, 2020 and the 413 issues at December 31, 2019 that are not deemed to have credit losses, aggregated by investment category and length of time that individual securities have been in a continuous unrealized loss position for the specified periods at t</w:t>
      </w:r>
      <w:r>
        <w:rPr>
          <w:rFonts w:eastAsia="Times New Roman"/>
          <w:color w:val="000000"/>
          <w:sz w:val="20"/>
          <w:szCs w:val="20"/>
        </w:rPr>
        <w:t xml:space="preserve">he dates indicated. </w:t>
      </w:r>
    </w:p>
    <w:p w:rsidR="00000000" w:rsidRDefault="000C147A">
      <w:pPr>
        <w:jc w:val="center"/>
        <w:divId w:val="859314259"/>
        <w:rPr>
          <w:rFonts w:eastAsia="Times New Roman"/>
        </w:rPr>
      </w:pPr>
    </w:p>
    <w:p w:rsidR="00000000" w:rsidRDefault="000C147A">
      <w:pPr>
        <w:jc w:val="center"/>
        <w:divId w:val="859314259"/>
        <w:rPr>
          <w:rFonts w:eastAsia="Times New Roman"/>
        </w:rPr>
      </w:pPr>
      <w:r>
        <w:rPr>
          <w:rFonts w:eastAsia="Times New Roman"/>
          <w:color w:val="000000"/>
          <w:sz w:val="20"/>
          <w:szCs w:val="20"/>
        </w:rPr>
        <w:t>23</w:t>
      </w:r>
    </w:p>
    <w:p w:rsidR="00000000" w:rsidRDefault="000C147A">
      <w:pPr>
        <w:rPr>
          <w:rFonts w:eastAsia="Times New Roman"/>
        </w:rPr>
      </w:pPr>
      <w:r>
        <w:rPr>
          <w:rFonts w:eastAsia="Times New Roman"/>
        </w:rPr>
        <w:pict>
          <v:rect id="_x0000_i1049" style="width:0;height:1.5pt" o:hralign="center" o:hrstd="t" o:hr="t" fillcolor="#a0a0a0" stroked="f"/>
        </w:pict>
      </w:r>
    </w:p>
    <w:p w:rsidR="00000000" w:rsidRDefault="000C147A">
      <w:pPr>
        <w:jc w:val="center"/>
        <w:divId w:val="29770169"/>
        <w:rPr>
          <w:rFonts w:eastAsia="Times New Roman"/>
        </w:rPr>
      </w:pPr>
      <w:r>
        <w:rPr>
          <w:rFonts w:eastAsia="Times New Roman"/>
          <w:b/>
          <w:bCs/>
          <w:color w:val="000000"/>
          <w:sz w:val="20"/>
          <w:szCs w:val="20"/>
        </w:rPr>
        <w:t>EQUITABLE HOLDINGS, INC.</w:t>
      </w:r>
    </w:p>
    <w:p w:rsidR="00000000" w:rsidRDefault="000C147A">
      <w:pPr>
        <w:jc w:val="center"/>
        <w:divId w:val="29770169"/>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p>
    <w:p w:rsidR="00000000" w:rsidRDefault="000C147A">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4649" w:type="pct"/>
        <w:tblCellMar>
          <w:top w:w="15" w:type="dxa"/>
          <w:left w:w="15" w:type="dxa"/>
          <w:bottom w:w="15" w:type="dxa"/>
          <w:right w:w="15" w:type="dxa"/>
        </w:tblCellMar>
        <w:tblLook w:val="04A0" w:firstRow="1" w:lastRow="0" w:firstColumn="1" w:lastColumn="0" w:noHBand="0" w:noVBand="1"/>
      </w:tblPr>
      <w:tblGrid>
        <w:gridCol w:w="39"/>
        <w:gridCol w:w="2350"/>
        <w:gridCol w:w="38"/>
        <w:gridCol w:w="121"/>
        <w:gridCol w:w="653"/>
        <w:gridCol w:w="37"/>
        <w:gridCol w:w="37"/>
        <w:gridCol w:w="41"/>
        <w:gridCol w:w="37"/>
        <w:gridCol w:w="120"/>
        <w:gridCol w:w="652"/>
        <w:gridCol w:w="36"/>
        <w:gridCol w:w="36"/>
        <w:gridCol w:w="36"/>
        <w:gridCol w:w="36"/>
        <w:gridCol w:w="121"/>
        <w:gridCol w:w="645"/>
        <w:gridCol w:w="37"/>
        <w:gridCol w:w="37"/>
        <w:gridCol w:w="40"/>
        <w:gridCol w:w="37"/>
        <w:gridCol w:w="121"/>
        <w:gridCol w:w="644"/>
        <w:gridCol w:w="36"/>
        <w:gridCol w:w="36"/>
        <w:gridCol w:w="36"/>
        <w:gridCol w:w="36"/>
        <w:gridCol w:w="120"/>
        <w:gridCol w:w="502"/>
        <w:gridCol w:w="36"/>
        <w:gridCol w:w="36"/>
        <w:gridCol w:w="36"/>
        <w:gridCol w:w="36"/>
        <w:gridCol w:w="121"/>
        <w:gridCol w:w="705"/>
        <w:gridCol w:w="36"/>
      </w:tblGrid>
      <w:tr w:rsidR="00000000">
        <w:trPr>
          <w:divId w:val="613101707"/>
        </w:trPr>
        <w:tc>
          <w:tcPr>
            <w:tcW w:w="50" w:type="pct"/>
            <w:vAlign w:val="center"/>
            <w:hideMark/>
          </w:tcPr>
          <w:p w:rsidR="00000000" w:rsidRDefault="000C147A">
            <w:pPr>
              <w:jc w:val="center"/>
              <w:rPr>
                <w:rFonts w:eastAsia="Times New Roman"/>
              </w:rPr>
            </w:pPr>
          </w:p>
        </w:tc>
        <w:tc>
          <w:tcPr>
            <w:tcW w:w="1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1310170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61310170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Losses</w:t>
            </w:r>
          </w:p>
        </w:tc>
      </w:tr>
      <w:tr w:rsidR="00000000">
        <w:trPr>
          <w:divId w:val="61310170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13101707"/>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 at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December 31, 2019: (1) (2)</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1310170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310170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at 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7,553 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540"/>
        <w:divId w:val="1668970973"/>
        <w:rPr>
          <w:rFonts w:eastAsia="Times New Roman"/>
        </w:rPr>
      </w:pPr>
      <w:r>
        <w:rPr>
          <w:rFonts w:eastAsia="Times New Roman"/>
          <w:color w:val="000000"/>
          <w:sz w:val="18"/>
          <w:szCs w:val="18"/>
        </w:rPr>
        <w:t>______________</w:t>
      </w:r>
    </w:p>
    <w:p w:rsidR="00000000" w:rsidRDefault="000C147A">
      <w:pPr>
        <w:ind w:hanging="360"/>
        <w:divId w:val="838279060"/>
        <w:rPr>
          <w:rFonts w:eastAsia="Times New Roman"/>
        </w:rPr>
      </w:pPr>
      <w:r>
        <w:rPr>
          <w:rFonts w:eastAsia="Times New Roman"/>
          <w:color w:val="000000"/>
          <w:sz w:val="18"/>
          <w:szCs w:val="18"/>
        </w:rPr>
        <w:t>(1)Amounts represents fixed</w:t>
      </w:r>
      <w:r>
        <w:rPr>
          <w:rFonts w:eastAsia="Times New Roman"/>
          <w:color w:val="000000"/>
          <w:sz w:val="18"/>
          <w:szCs w:val="18"/>
        </w:rPr>
        <w:t xml:space="preserve"> maturities in an unrealized loss position that are not deemed to be OTTI for 2019.</w:t>
      </w:r>
    </w:p>
    <w:p w:rsidR="00000000" w:rsidRDefault="000C147A">
      <w:pPr>
        <w:ind w:hanging="360"/>
        <w:divId w:val="90859910"/>
        <w:rPr>
          <w:rFonts w:eastAsia="Times New Roman"/>
        </w:rPr>
      </w:pPr>
      <w:r>
        <w:rPr>
          <w:rFonts w:eastAsia="Times New Roman"/>
          <w:color w:val="000000"/>
          <w:sz w:val="18"/>
          <w:szCs w:val="18"/>
        </w:rPr>
        <w:t>(2)Excludes amounts reclassified as HFS.</w:t>
      </w:r>
    </w:p>
    <w:p w:rsidR="00000000" w:rsidRDefault="000C147A">
      <w:pPr>
        <w:divId w:val="1698851939"/>
        <w:rPr>
          <w:rFonts w:eastAsia="Times New Roman"/>
        </w:rPr>
      </w:pPr>
      <w:r>
        <w:rPr>
          <w:rFonts w:eastAsia="Times New Roman"/>
          <w:color w:val="000000"/>
          <w:sz w:val="20"/>
          <w:szCs w:val="20"/>
        </w:rPr>
        <w:t>The Company’s investments in fixed maturities do not include concentrations of credit risk of any single issuer greater than 10% of</w:t>
      </w:r>
      <w:r>
        <w:rPr>
          <w:rFonts w:eastAsia="Times New Roman"/>
          <w:color w:val="000000"/>
          <w:sz w:val="20"/>
          <w:szCs w:val="20"/>
        </w:rPr>
        <w:t xml:space="preserve"> the consolidated equity of the Company, other than securities of the U.S. government, U.S. government agencies, and certain securities guaranteed by the U.S. government. The Company maintains a diversified portfolio of corporate securities across industri</w:t>
      </w:r>
      <w:r>
        <w:rPr>
          <w:rFonts w:eastAsia="Times New Roman"/>
          <w:color w:val="000000"/>
          <w:sz w:val="20"/>
          <w:szCs w:val="20"/>
        </w:rPr>
        <w:t>es and issuers and does not have exposure to any single issuer in excess of 0.7% of total corporate securities. The largest exposures to a single issuer of corporate securities held at September 30, 2020 and December 31, 2019 were $373 million and $309 mil</w:t>
      </w:r>
      <w:r>
        <w:rPr>
          <w:rFonts w:eastAsia="Times New Roman"/>
          <w:color w:val="000000"/>
          <w:sz w:val="20"/>
          <w:szCs w:val="20"/>
        </w:rPr>
        <w:t>lion, respectively, representing 2.0% and 2.1% of the consolidated equity of the Company.</w:t>
      </w:r>
    </w:p>
    <w:p w:rsidR="00000000" w:rsidRDefault="000C147A">
      <w:pPr>
        <w:divId w:val="810630460"/>
        <w:rPr>
          <w:rFonts w:eastAsia="Times New Roman"/>
        </w:rPr>
      </w:pPr>
      <w:r>
        <w:rPr>
          <w:rFonts w:eastAsia="Times New Roman"/>
          <w:color w:val="000000"/>
          <w:sz w:val="20"/>
          <w:szCs w:val="20"/>
        </w:rPr>
        <w:t xml:space="preserve">Corporate high yield securities, consisting primarily of public high yield bonds, are classified as other than investment grade by the various rating agencies, i.e., </w:t>
      </w:r>
      <w:r>
        <w:rPr>
          <w:rFonts w:eastAsia="Times New Roman"/>
          <w:color w:val="000000"/>
          <w:sz w:val="20"/>
          <w:szCs w:val="20"/>
        </w:rPr>
        <w:t>a rating below Baa3/BBB- or the National Association of Insurance Commissioners (“NAIC”) designation of 3 (medium investment grade), 4 or 5 (below investment grade) or 6 (in or near default). At September 30, 2020 and December 31, 2019, respectively, appro</w:t>
      </w:r>
      <w:r>
        <w:rPr>
          <w:rFonts w:eastAsia="Times New Roman"/>
          <w:color w:val="000000"/>
          <w:sz w:val="20"/>
          <w:szCs w:val="20"/>
        </w:rPr>
        <w:t>ximately $2.0 billion and $1.4 billion, or 2.9% and 2.3%, of the $70.3 billion and $62.9 billion aggregate amortized cost of fixed maturities held by the Company were considered to be other than investment grade. These securities had gross unrealized losse</w:t>
      </w:r>
      <w:r>
        <w:rPr>
          <w:rFonts w:eastAsia="Times New Roman"/>
          <w:color w:val="000000"/>
          <w:sz w:val="20"/>
          <w:szCs w:val="20"/>
        </w:rPr>
        <w:t>s of $83 million and $21 million at September 30, 2020 and December 31, 2019, respectively.</w:t>
      </w:r>
    </w:p>
    <w:p w:rsidR="00000000" w:rsidRDefault="000C147A">
      <w:pPr>
        <w:divId w:val="1174493748"/>
        <w:rPr>
          <w:rFonts w:eastAsia="Times New Roman"/>
        </w:rPr>
      </w:pPr>
      <w:r>
        <w:rPr>
          <w:rFonts w:eastAsia="Times New Roman"/>
          <w:color w:val="000000"/>
          <w:sz w:val="20"/>
          <w:szCs w:val="20"/>
        </w:rPr>
        <w:t>At September 30, 2020 and December 31, 2019, respectively, the $59 million and $32 million of gross unrealized losses of twelve months or more were primarily concen</w:t>
      </w:r>
      <w:r>
        <w:rPr>
          <w:rFonts w:eastAsia="Times New Roman"/>
          <w:color w:val="000000"/>
          <w:sz w:val="20"/>
          <w:szCs w:val="20"/>
        </w:rPr>
        <w:t>trated in corporate securities, as applicable. In accordance with the policy described in Note 2, the Company concluded that an adjustment to income for OTTI (prior to January 1, 2020) nor an allowance for credit losses (after January 1, 2020) for these se</w:t>
      </w:r>
      <w:r>
        <w:rPr>
          <w:rFonts w:eastAsia="Times New Roman"/>
          <w:color w:val="000000"/>
          <w:sz w:val="20"/>
          <w:szCs w:val="20"/>
        </w:rPr>
        <w:t xml:space="preserve">curities was not warranted at either September 30, 2020 or December 31, 2019. At September 30, 2020 and December 31, 2019, the Company did not intend to sell the securities nor will it likely be required to dispose of the securities before the anticipated </w:t>
      </w:r>
      <w:r>
        <w:rPr>
          <w:rFonts w:eastAsia="Times New Roman"/>
          <w:color w:val="000000"/>
          <w:sz w:val="20"/>
          <w:szCs w:val="20"/>
        </w:rPr>
        <w:t xml:space="preserve">recovery of their remaining amortized cost basis. </w:t>
      </w:r>
    </w:p>
    <w:p w:rsidR="00000000" w:rsidRDefault="000C147A">
      <w:pPr>
        <w:divId w:val="629285407"/>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September 30, 2020, the Company determined that the un</w:t>
      </w:r>
      <w:r>
        <w:rPr>
          <w:rFonts w:eastAsia="Times New Roman"/>
          <w:color w:val="000000"/>
          <w:sz w:val="20"/>
          <w:szCs w:val="20"/>
        </w:rPr>
        <w:t xml:space="preserve">realized loss was primarily due </w:t>
      </w:r>
    </w:p>
    <w:p w:rsidR="00000000" w:rsidRDefault="000C147A">
      <w:pPr>
        <w:jc w:val="center"/>
        <w:divId w:val="376051781"/>
        <w:rPr>
          <w:rFonts w:eastAsia="Times New Roman"/>
        </w:rPr>
      </w:pPr>
    </w:p>
    <w:p w:rsidR="00000000" w:rsidRDefault="000C147A">
      <w:pPr>
        <w:jc w:val="center"/>
        <w:divId w:val="376051781"/>
        <w:rPr>
          <w:rFonts w:eastAsia="Times New Roman"/>
        </w:rPr>
      </w:pPr>
      <w:r>
        <w:rPr>
          <w:rFonts w:eastAsia="Times New Roman"/>
          <w:color w:val="000000"/>
          <w:sz w:val="20"/>
          <w:szCs w:val="20"/>
        </w:rPr>
        <w:t>24</w:t>
      </w:r>
    </w:p>
    <w:p w:rsidR="00000000" w:rsidRDefault="000C147A">
      <w:pPr>
        <w:rPr>
          <w:rFonts w:eastAsia="Times New Roman"/>
        </w:rPr>
      </w:pPr>
      <w:r>
        <w:rPr>
          <w:rFonts w:eastAsia="Times New Roman"/>
        </w:rPr>
        <w:pict>
          <v:rect id="_x0000_i1050" style="width:0;height:1.5pt" o:hralign="center" o:hrstd="t" o:hr="t" fillcolor="#a0a0a0" stroked="f"/>
        </w:pict>
      </w:r>
    </w:p>
    <w:p w:rsidR="00000000" w:rsidRDefault="000C147A">
      <w:pPr>
        <w:jc w:val="center"/>
        <w:divId w:val="487790854"/>
        <w:rPr>
          <w:rFonts w:eastAsia="Times New Roman"/>
        </w:rPr>
      </w:pPr>
      <w:r>
        <w:rPr>
          <w:rFonts w:eastAsia="Times New Roman"/>
          <w:b/>
          <w:bCs/>
          <w:color w:val="000000"/>
          <w:sz w:val="20"/>
          <w:szCs w:val="20"/>
        </w:rPr>
        <w:t>EQUITABLE HOLDINGS, INC.</w:t>
      </w:r>
    </w:p>
    <w:p w:rsidR="00000000" w:rsidRDefault="000C147A">
      <w:pPr>
        <w:jc w:val="center"/>
        <w:divId w:val="487790854"/>
        <w:rPr>
          <w:rFonts w:eastAsia="Times New Roman"/>
        </w:rPr>
      </w:pPr>
      <w:r>
        <w:rPr>
          <w:rFonts w:eastAsia="Times New Roman"/>
          <w:b/>
          <w:bCs/>
          <w:color w:val="000000"/>
          <w:sz w:val="20"/>
          <w:szCs w:val="20"/>
        </w:rPr>
        <w:t>Notes to Consolidated Financial Statements (Unaudited), Continued</w:t>
      </w:r>
    </w:p>
    <w:p w:rsidR="00000000" w:rsidRDefault="000C147A">
      <w:pPr>
        <w:divId w:val="389233130"/>
        <w:rPr>
          <w:rFonts w:eastAsia="Times New Roman"/>
        </w:rPr>
      </w:pPr>
      <w:r>
        <w:rPr>
          <w:rFonts w:eastAsia="Times New Roman"/>
          <w:color w:val="000000"/>
          <w:sz w:val="20"/>
          <w:szCs w:val="20"/>
        </w:rPr>
        <w:t xml:space="preserve">to increases in credit spreads and changes in credit ratings due to the impact of the COVID-19 pandemic on financial markets and assessments of fundamental risks. </w:t>
      </w:r>
    </w:p>
    <w:p w:rsidR="00000000" w:rsidRDefault="000C147A">
      <w:pPr>
        <w:divId w:val="1648364192"/>
        <w:rPr>
          <w:rFonts w:eastAsia="Times New Roman"/>
        </w:rPr>
      </w:pPr>
      <w:r>
        <w:rPr>
          <w:rFonts w:eastAsia="Times New Roman"/>
          <w:color w:val="000000"/>
          <w:sz w:val="20"/>
          <w:szCs w:val="20"/>
          <w:u w:val="single"/>
        </w:rPr>
        <w:t>Mortgage Loans on Real Estate</w:t>
      </w:r>
    </w:p>
    <w:p w:rsidR="00000000" w:rsidRDefault="000C147A">
      <w:pPr>
        <w:divId w:val="929047313"/>
        <w:rPr>
          <w:rFonts w:eastAsia="Times New Roman"/>
        </w:rPr>
      </w:pPr>
      <w:r>
        <w:rPr>
          <w:rFonts w:eastAsia="Times New Roman"/>
          <w:color w:val="000000"/>
          <w:sz w:val="20"/>
          <w:szCs w:val="20"/>
        </w:rPr>
        <w:t>Accrued interest receivable on commercial and agricultural mor</w:t>
      </w:r>
      <w:r>
        <w:rPr>
          <w:rFonts w:eastAsia="Times New Roman"/>
          <w:color w:val="000000"/>
          <w:sz w:val="20"/>
          <w:szCs w:val="20"/>
        </w:rPr>
        <w:t>tgage loans at September 30, 2020 was $29 million and $32 million, respectively. There was no accrued interest written off for commercial and agricultural mortgage loans for the three and nine months ended September 30, 2020.</w:t>
      </w:r>
    </w:p>
    <w:p w:rsidR="00000000" w:rsidRDefault="000C147A">
      <w:pPr>
        <w:divId w:val="1623414980"/>
        <w:rPr>
          <w:rFonts w:eastAsia="Times New Roman"/>
        </w:rPr>
      </w:pPr>
      <w:r>
        <w:rPr>
          <w:rFonts w:eastAsia="Times New Roman"/>
          <w:color w:val="000000"/>
          <w:sz w:val="20"/>
          <w:szCs w:val="20"/>
        </w:rPr>
        <w:t>At September 30, 2020, the Com</w:t>
      </w:r>
      <w:r>
        <w:rPr>
          <w:rFonts w:eastAsia="Times New Roman"/>
          <w:color w:val="000000"/>
          <w:sz w:val="20"/>
          <w:szCs w:val="20"/>
        </w:rPr>
        <w:t>pany had no loans for which foreclosure was probable included within the individually assessed mortgage loans, and accordingly had no associated allowance for credit losses.</w:t>
      </w:r>
    </w:p>
    <w:p w:rsidR="00000000" w:rsidRDefault="000C147A">
      <w:pPr>
        <w:divId w:val="1857502185"/>
        <w:rPr>
          <w:rFonts w:eastAsia="Times New Roman"/>
        </w:rPr>
      </w:pPr>
      <w:r>
        <w:rPr>
          <w:rFonts w:eastAsia="Times New Roman"/>
          <w:color w:val="000000"/>
          <w:sz w:val="20"/>
          <w:szCs w:val="20"/>
          <w:u w:val="single"/>
        </w:rPr>
        <w:t>Allowance for Credit Losses on Mortgage Loans</w:t>
      </w:r>
    </w:p>
    <w:p w:rsidR="00000000" w:rsidRDefault="000C147A">
      <w:pPr>
        <w:divId w:val="89084897"/>
        <w:rPr>
          <w:rFonts w:eastAsia="Times New Roman"/>
        </w:rPr>
      </w:pPr>
      <w:r>
        <w:rPr>
          <w:rFonts w:eastAsia="Times New Roman"/>
          <w:color w:val="000000"/>
          <w:sz w:val="20"/>
          <w:szCs w:val="20"/>
        </w:rPr>
        <w:t>The change in the allowance for cred</w:t>
      </w:r>
      <w:r>
        <w:rPr>
          <w:rFonts w:eastAsia="Times New Roman"/>
          <w:color w:val="000000"/>
          <w:sz w:val="20"/>
          <w:szCs w:val="20"/>
        </w:rPr>
        <w:t>it losses for commercial mortgage loans and agricultural mortgage loans during the three and nine months ended September 30, 2020 was as follows:</w:t>
      </w:r>
    </w:p>
    <w:tbl>
      <w:tblPr>
        <w:tblW w:w="4692" w:type="pct"/>
        <w:tblCellMar>
          <w:top w:w="15" w:type="dxa"/>
          <w:left w:w="15" w:type="dxa"/>
          <w:bottom w:w="15" w:type="dxa"/>
          <w:right w:w="15" w:type="dxa"/>
        </w:tblCellMar>
        <w:tblLook w:val="04A0" w:firstRow="1" w:lastRow="0" w:firstColumn="1" w:lastColumn="0" w:noHBand="0" w:noVBand="1"/>
      </w:tblPr>
      <w:tblGrid>
        <w:gridCol w:w="38"/>
        <w:gridCol w:w="4808"/>
        <w:gridCol w:w="37"/>
        <w:gridCol w:w="121"/>
        <w:gridCol w:w="1156"/>
        <w:gridCol w:w="36"/>
        <w:gridCol w:w="36"/>
        <w:gridCol w:w="36"/>
        <w:gridCol w:w="36"/>
        <w:gridCol w:w="121"/>
        <w:gridCol w:w="1117"/>
        <w:gridCol w:w="36"/>
        <w:gridCol w:w="36"/>
        <w:gridCol w:w="36"/>
        <w:gridCol w:w="36"/>
        <w:gridCol w:w="36"/>
        <w:gridCol w:w="36"/>
        <w:gridCol w:w="36"/>
      </w:tblGrid>
      <w:tr w:rsidR="00000000">
        <w:trPr>
          <w:divId w:val="1914849595"/>
        </w:trPr>
        <w:tc>
          <w:tcPr>
            <w:tcW w:w="50" w:type="pct"/>
            <w:vAlign w:val="center"/>
            <w:hideMark/>
          </w:tcPr>
          <w:p w:rsidR="00000000" w:rsidRDefault="000C147A">
            <w:pPr>
              <w:rPr>
                <w:rFonts w:eastAsia="Times New Roman"/>
              </w:rPr>
            </w:pPr>
          </w:p>
        </w:tc>
        <w:tc>
          <w:tcPr>
            <w:tcW w:w="32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9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2020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91484959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Allowance for credit losses on mortgage loans (1):</w:t>
            </w:r>
          </w:p>
        </w:tc>
        <w:tc>
          <w:tcPr>
            <w:tcW w:w="0" w:type="auto"/>
            <w:gridSpan w:val="9"/>
            <w:tcMar>
              <w:top w:w="0" w:type="dxa"/>
              <w:left w:w="20" w:type="dxa"/>
              <w:bottom w:w="0" w:type="dxa"/>
              <w:right w:w="20" w:type="dxa"/>
            </w:tcMar>
            <w:vAlign w:val="center"/>
            <w:hideMark/>
          </w:tcPr>
          <w:p w:rsidR="00000000" w:rsidRDefault="000C147A">
            <w:pP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Commercial mortgages: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r>
              <w:rPr>
                <w:rFonts w:eastAsia="Times New Roman"/>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change in allowance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Ending Balance, September 30,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Agricultural mortgages: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r>
              <w:rPr>
                <w:rFonts w:eastAsia="Times New Roman"/>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change in allowance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Ending Balance, September 30,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148495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allowance for credit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988314470"/>
        <w:rPr>
          <w:rFonts w:eastAsia="Times New Roman"/>
        </w:rPr>
      </w:pPr>
      <w:r>
        <w:rPr>
          <w:rFonts w:eastAsia="Times New Roman"/>
          <w:color w:val="000000"/>
          <w:sz w:val="20"/>
          <w:szCs w:val="20"/>
        </w:rPr>
        <w:t>_______________</w:t>
      </w:r>
    </w:p>
    <w:p w:rsidR="00000000" w:rsidRDefault="000C147A">
      <w:pPr>
        <w:ind w:hanging="360"/>
        <w:divId w:val="114492012"/>
        <w:rPr>
          <w:rFonts w:eastAsia="Times New Roman"/>
        </w:rPr>
      </w:pPr>
      <w:r>
        <w:rPr>
          <w:rFonts w:eastAsia="Times New Roman"/>
          <w:color w:val="000000"/>
          <w:sz w:val="18"/>
          <w:szCs w:val="18"/>
        </w:rPr>
        <w:t>(1)</w:t>
      </w:r>
      <w:r>
        <w:rPr>
          <w:rFonts w:eastAsia="Times New Roman"/>
          <w:color w:val="000000"/>
          <w:sz w:val="18"/>
          <w:szCs w:val="18"/>
        </w:rPr>
        <w:t>See Note 2 for discussion of the allowance of credit losses transition balance, which is included in the Balance, beginning of period.</w:t>
      </w:r>
    </w:p>
    <w:p w:rsidR="00000000" w:rsidRDefault="000C147A">
      <w:pPr>
        <w:divId w:val="2088067259"/>
        <w:rPr>
          <w:rFonts w:eastAsia="Times New Roman"/>
        </w:rPr>
      </w:pPr>
      <w:r>
        <w:rPr>
          <w:rFonts w:eastAsia="Times New Roman"/>
          <w:color w:val="000000"/>
          <w:sz w:val="20"/>
          <w:szCs w:val="20"/>
        </w:rPr>
        <w:t>The change in the allowance for credit losses is attributable to:</w:t>
      </w:r>
    </w:p>
    <w:p w:rsidR="00000000" w:rsidRDefault="000C147A">
      <w:pPr>
        <w:ind w:hanging="360"/>
        <w:divId w:val="367225354"/>
        <w:rPr>
          <w:rFonts w:eastAsia="Times New Roman"/>
        </w:rPr>
      </w:pPr>
      <w:r>
        <w:rPr>
          <w:rFonts w:eastAsia="Times New Roman"/>
          <w:color w:val="000000"/>
          <w:sz w:val="20"/>
          <w:szCs w:val="20"/>
        </w:rPr>
        <w:t>•increases/decreases in the loan balance due to new ori</w:t>
      </w:r>
      <w:r>
        <w:rPr>
          <w:rFonts w:eastAsia="Times New Roman"/>
          <w:color w:val="000000"/>
          <w:sz w:val="20"/>
          <w:szCs w:val="20"/>
        </w:rPr>
        <w:t>ginations, maturing mortgages, and loan amortization;</w:t>
      </w:r>
    </w:p>
    <w:p w:rsidR="00000000" w:rsidRDefault="000C147A">
      <w:pPr>
        <w:ind w:hanging="360"/>
        <w:divId w:val="766772753"/>
        <w:rPr>
          <w:rFonts w:eastAsia="Times New Roman"/>
        </w:rPr>
      </w:pPr>
      <w:r>
        <w:rPr>
          <w:rFonts w:eastAsia="Times New Roman"/>
          <w:color w:val="000000"/>
          <w:sz w:val="20"/>
          <w:szCs w:val="20"/>
        </w:rPr>
        <w:t>•changes in credit quality; and</w:t>
      </w:r>
    </w:p>
    <w:p w:rsidR="00000000" w:rsidRDefault="000C147A">
      <w:pPr>
        <w:ind w:hanging="360"/>
        <w:divId w:val="1168138316"/>
        <w:rPr>
          <w:rFonts w:eastAsia="Times New Roman"/>
        </w:rPr>
      </w:pPr>
      <w:r>
        <w:rPr>
          <w:rFonts w:eastAsia="Times New Roman"/>
          <w:color w:val="000000"/>
          <w:sz w:val="20"/>
          <w:szCs w:val="20"/>
        </w:rPr>
        <w:t>•changes in market assumptions primarily related to COVID-19 driven economic changes.</w:t>
      </w:r>
    </w:p>
    <w:p w:rsidR="00000000" w:rsidRDefault="000C147A">
      <w:pPr>
        <w:divId w:val="1989162680"/>
        <w:rPr>
          <w:rFonts w:eastAsia="Times New Roman"/>
        </w:rPr>
      </w:pPr>
      <w:r>
        <w:rPr>
          <w:rFonts w:eastAsia="Times New Roman"/>
          <w:color w:val="000000"/>
          <w:sz w:val="20"/>
          <w:szCs w:val="20"/>
          <w:u w:val="single"/>
        </w:rPr>
        <w:t>Credit Quality Information</w:t>
      </w:r>
    </w:p>
    <w:p w:rsidR="00000000" w:rsidRDefault="000C147A">
      <w:pPr>
        <w:divId w:val="1361390595"/>
        <w:rPr>
          <w:rFonts w:eastAsia="Times New Roman"/>
        </w:rPr>
      </w:pPr>
      <w:r>
        <w:rPr>
          <w:rFonts w:eastAsia="Times New Roman"/>
          <w:color w:val="000000"/>
          <w:sz w:val="20"/>
          <w:szCs w:val="20"/>
        </w:rPr>
        <w:t>The following tables summarize the Company’s mortgage loa</w:t>
      </w:r>
      <w:r>
        <w:rPr>
          <w:rFonts w:eastAsia="Times New Roman"/>
          <w:color w:val="000000"/>
          <w:sz w:val="20"/>
          <w:szCs w:val="20"/>
        </w:rPr>
        <w:t>ns segregated by risk rating exposure at September 30, 2020.</w:t>
      </w:r>
    </w:p>
    <w:p w:rsidR="00000000" w:rsidRDefault="000C147A">
      <w:pPr>
        <w:jc w:val="center"/>
        <w:divId w:val="345206263"/>
        <w:rPr>
          <w:rFonts w:eastAsia="Times New Roman"/>
        </w:rPr>
      </w:pPr>
    </w:p>
    <w:p w:rsidR="00000000" w:rsidRDefault="000C147A">
      <w:pPr>
        <w:jc w:val="center"/>
        <w:divId w:val="345206263"/>
        <w:rPr>
          <w:rFonts w:eastAsia="Times New Roman"/>
        </w:rPr>
      </w:pPr>
      <w:r>
        <w:rPr>
          <w:rFonts w:eastAsia="Times New Roman"/>
          <w:color w:val="000000"/>
          <w:sz w:val="20"/>
          <w:szCs w:val="20"/>
        </w:rPr>
        <w:t>25</w:t>
      </w:r>
    </w:p>
    <w:p w:rsidR="00000000" w:rsidRDefault="000C147A">
      <w:pPr>
        <w:rPr>
          <w:rFonts w:eastAsia="Times New Roman"/>
        </w:rPr>
      </w:pPr>
      <w:r>
        <w:rPr>
          <w:rFonts w:eastAsia="Times New Roman"/>
        </w:rPr>
        <w:pict>
          <v:rect id="_x0000_i1051" style="width:0;height:1.5pt" o:hralign="center" o:hrstd="t" o:hr="t" fillcolor="#a0a0a0" stroked="f"/>
        </w:pict>
      </w:r>
    </w:p>
    <w:p w:rsidR="00000000" w:rsidRDefault="000C147A">
      <w:pPr>
        <w:jc w:val="center"/>
        <w:divId w:val="1944410649"/>
        <w:rPr>
          <w:rFonts w:eastAsia="Times New Roman"/>
        </w:rPr>
      </w:pPr>
      <w:r>
        <w:rPr>
          <w:rFonts w:eastAsia="Times New Roman"/>
          <w:b/>
          <w:bCs/>
          <w:color w:val="000000"/>
          <w:sz w:val="20"/>
          <w:szCs w:val="20"/>
        </w:rPr>
        <w:t>EQUITABLE HOLDINGS, INC.</w:t>
      </w:r>
    </w:p>
    <w:p w:rsidR="00000000" w:rsidRDefault="000C147A">
      <w:pPr>
        <w:jc w:val="center"/>
        <w:divId w:val="1944410649"/>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LTV Ratios (1)</w:t>
      </w:r>
    </w:p>
    <w:tbl>
      <w:tblPr>
        <w:tblW w:w="4853" w:type="pct"/>
        <w:jc w:val="center"/>
        <w:tblCellMar>
          <w:top w:w="15" w:type="dxa"/>
          <w:left w:w="15" w:type="dxa"/>
          <w:bottom w:w="15" w:type="dxa"/>
          <w:right w:w="15" w:type="dxa"/>
        </w:tblCellMar>
        <w:tblLook w:val="04A0" w:firstRow="1" w:lastRow="0" w:firstColumn="1" w:lastColumn="0" w:noHBand="0" w:noVBand="1"/>
      </w:tblPr>
      <w:tblGrid>
        <w:gridCol w:w="45"/>
        <w:gridCol w:w="2009"/>
        <w:gridCol w:w="38"/>
        <w:gridCol w:w="120"/>
        <w:gridCol w:w="645"/>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835755150"/>
          <w:jc w:val="center"/>
        </w:trPr>
        <w:tc>
          <w:tcPr>
            <w:tcW w:w="50" w:type="pct"/>
            <w:vAlign w:val="center"/>
            <w:hideMark/>
          </w:tcPr>
          <w:p w:rsidR="00000000" w:rsidRDefault="000C147A">
            <w:pPr>
              <w:jc w:val="center"/>
              <w:rPr>
                <w:rFonts w:eastAsia="Times New Roman"/>
              </w:rPr>
            </w:pPr>
          </w:p>
        </w:tc>
        <w:tc>
          <w:tcPr>
            <w:tcW w:w="129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35755150"/>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At September 30, 2020</w:t>
            </w:r>
          </w:p>
        </w:tc>
      </w:tr>
      <w:tr w:rsidR="00000000">
        <w:trPr>
          <w:divId w:val="183575515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 Cost Basis by Origination Year</w:t>
            </w:r>
          </w:p>
        </w:tc>
      </w:tr>
      <w:tr w:rsidR="00000000">
        <w:trPr>
          <w:divId w:val="183575515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83575515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835755150"/>
          <w:jc w:val="center"/>
        </w:trPr>
        <w:tc>
          <w:tcPr>
            <w:tcW w:w="0" w:type="auto"/>
            <w:gridSpan w:val="3"/>
            <w:tcMar>
              <w:top w:w="30" w:type="dxa"/>
              <w:left w:w="20" w:type="dxa"/>
              <w:bottom w:w="30" w:type="dxa"/>
              <w:right w:w="20" w:type="dxa"/>
            </w:tcMar>
            <w:vAlign w:val="bottom"/>
            <w:hideMark/>
          </w:tcPr>
          <w:p w:rsidR="00000000" w:rsidRDefault="000C147A">
            <w:pPr>
              <w:divId w:val="156266714"/>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35755150"/>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2,432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7,031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1835755150"/>
          <w:jc w:val="center"/>
        </w:trPr>
        <w:tc>
          <w:tcPr>
            <w:tcW w:w="0" w:type="auto"/>
            <w:gridSpan w:val="3"/>
            <w:shd w:val="clear" w:color="auto" w:fill="FFFFFF"/>
            <w:tcMar>
              <w:top w:w="30" w:type="dxa"/>
              <w:left w:w="240" w:type="dxa"/>
              <w:bottom w:w="30" w:type="dxa"/>
              <w:right w:w="20" w:type="dxa"/>
            </w:tcMar>
            <w:hideMark/>
          </w:tcPr>
          <w:p w:rsidR="00000000" w:rsidRDefault="000C147A">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35755150"/>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35755150"/>
          <w:jc w:val="center"/>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1835755150"/>
          <w:jc w:val="center"/>
        </w:trPr>
        <w:tc>
          <w:tcPr>
            <w:tcW w:w="0" w:type="auto"/>
            <w:gridSpan w:val="3"/>
            <w:shd w:val="clear" w:color="auto" w:fill="CCEEFF"/>
            <w:tcMar>
              <w:top w:w="30" w:type="dxa"/>
              <w:left w:w="240" w:type="dxa"/>
              <w:bottom w:w="30" w:type="dxa"/>
              <w:right w:w="20" w:type="dxa"/>
            </w:tcMar>
            <w:hideMark/>
          </w:tcPr>
          <w:p w:rsidR="00000000" w:rsidRDefault="000C147A">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35755150"/>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2,568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1,980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8,205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1835755150"/>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1835755150"/>
          <w:jc w:val="center"/>
        </w:trPr>
        <w:tc>
          <w:tcPr>
            <w:tcW w:w="0" w:type="auto"/>
            <w:gridSpan w:val="3"/>
            <w:shd w:val="clear" w:color="auto" w:fill="FFFFFF"/>
            <w:tcMar>
              <w:top w:w="30" w:type="dxa"/>
              <w:left w:w="240" w:type="dxa"/>
              <w:bottom w:w="30" w:type="dxa"/>
              <w:right w:w="20" w:type="dxa"/>
            </w:tcMar>
            <w:hideMark/>
          </w:tcPr>
          <w:p w:rsidR="00000000" w:rsidRDefault="000C147A">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3,140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bl>
    <w:p w:rsidR="00000000" w:rsidRDefault="000C147A">
      <w:pPr>
        <w:jc w:val="center"/>
        <w:rPr>
          <w:rFonts w:eastAsia="Times New Roman"/>
        </w:rPr>
      </w:pPr>
    </w:p>
    <w:p w:rsidR="00000000" w:rsidRDefault="000C147A">
      <w:pPr>
        <w:jc w:val="center"/>
        <w:divId w:val="1917745329"/>
        <w:rPr>
          <w:rFonts w:eastAsia="Times New Roman"/>
        </w:rPr>
      </w:pPr>
    </w:p>
    <w:p w:rsidR="00000000" w:rsidRDefault="000C147A">
      <w:pPr>
        <w:jc w:val="center"/>
        <w:divId w:val="1917745329"/>
        <w:rPr>
          <w:rFonts w:eastAsia="Times New Roman"/>
        </w:rPr>
      </w:pPr>
      <w:r>
        <w:rPr>
          <w:rFonts w:eastAsia="Times New Roman"/>
          <w:color w:val="000000"/>
          <w:sz w:val="20"/>
          <w:szCs w:val="20"/>
        </w:rPr>
        <w:t>26</w:t>
      </w:r>
    </w:p>
    <w:p w:rsidR="00000000" w:rsidRDefault="000C147A">
      <w:pPr>
        <w:rPr>
          <w:rFonts w:eastAsia="Times New Roman"/>
        </w:rPr>
      </w:pPr>
      <w:r>
        <w:rPr>
          <w:rFonts w:eastAsia="Times New Roman"/>
        </w:rPr>
        <w:pict>
          <v:rect id="_x0000_i1052" style="width:0;height:1.5pt" o:hralign="center" o:hrstd="t" o:hr="t" fillcolor="#a0a0a0" stroked="f"/>
        </w:pict>
      </w:r>
    </w:p>
    <w:p w:rsidR="00000000" w:rsidRDefault="000C147A">
      <w:pPr>
        <w:jc w:val="center"/>
        <w:divId w:val="1401514819"/>
        <w:rPr>
          <w:rFonts w:eastAsia="Times New Roman"/>
        </w:rPr>
      </w:pPr>
      <w:r>
        <w:rPr>
          <w:rFonts w:eastAsia="Times New Roman"/>
          <w:b/>
          <w:bCs/>
          <w:color w:val="000000"/>
          <w:sz w:val="20"/>
          <w:szCs w:val="20"/>
        </w:rPr>
        <w:t>EQUITABLE HOLDINGS, INC.</w:t>
      </w:r>
    </w:p>
    <w:p w:rsidR="00000000" w:rsidRDefault="000C147A">
      <w:pPr>
        <w:jc w:val="center"/>
        <w:divId w:val="1401514819"/>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Debt Service Coverage Ratios (2)</w:t>
      </w:r>
    </w:p>
    <w:tbl>
      <w:tblPr>
        <w:tblW w:w="4729" w:type="pct"/>
        <w:jc w:val="center"/>
        <w:tblCellMar>
          <w:top w:w="15" w:type="dxa"/>
          <w:left w:w="15" w:type="dxa"/>
          <w:bottom w:w="15" w:type="dxa"/>
          <w:right w:w="15" w:type="dxa"/>
        </w:tblCellMar>
        <w:tblLook w:val="04A0" w:firstRow="1" w:lastRow="0" w:firstColumn="1" w:lastColumn="0" w:noHBand="0" w:noVBand="1"/>
      </w:tblPr>
      <w:tblGrid>
        <w:gridCol w:w="45"/>
        <w:gridCol w:w="1958"/>
        <w:gridCol w:w="38"/>
        <w:gridCol w:w="120"/>
        <w:gridCol w:w="62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600"/>
        <w:gridCol w:w="36"/>
      </w:tblGrid>
      <w:tr w:rsidR="00000000">
        <w:trPr>
          <w:divId w:val="670106901"/>
          <w:jc w:val="center"/>
        </w:trPr>
        <w:tc>
          <w:tcPr>
            <w:tcW w:w="50" w:type="pct"/>
            <w:vAlign w:val="center"/>
            <w:hideMark/>
          </w:tcPr>
          <w:p w:rsidR="00000000" w:rsidRDefault="000C147A">
            <w:pPr>
              <w:jc w:val="center"/>
              <w:rPr>
                <w:rFonts w:eastAsia="Times New Roman"/>
              </w:rPr>
            </w:pPr>
          </w:p>
        </w:tc>
        <w:tc>
          <w:tcPr>
            <w:tcW w:w="12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70106901"/>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At September 30, 2020</w:t>
            </w:r>
          </w:p>
        </w:tc>
      </w:tr>
      <w:tr w:rsidR="00000000">
        <w:trPr>
          <w:divId w:val="670106901"/>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 Cost Basis by Origination Year</w:t>
            </w:r>
          </w:p>
        </w:tc>
      </w:tr>
      <w:tr w:rsidR="00000000">
        <w:trPr>
          <w:divId w:val="670106901"/>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670106901"/>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70106901"/>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70106901"/>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670106901"/>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2,053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5,602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05" w:type="dxa"/>
              <w:bottom w:w="30" w:type="dxa"/>
              <w:right w:w="20" w:type="dxa"/>
            </w:tcMar>
            <w:hideMark/>
          </w:tcPr>
          <w:p w:rsidR="00000000" w:rsidRDefault="000C147A">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05" w:type="dxa"/>
              <w:bottom w:w="30" w:type="dxa"/>
              <w:right w:w="20" w:type="dxa"/>
            </w:tcMar>
            <w:vAlign w:val="center"/>
            <w:hideMark/>
          </w:tcPr>
          <w:p w:rsidR="00000000" w:rsidRDefault="000C147A">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05" w:type="dxa"/>
              <w:bottom w:w="30" w:type="dxa"/>
              <w:right w:w="20" w:type="dxa"/>
            </w:tcMar>
            <w:vAlign w:val="center"/>
            <w:hideMark/>
          </w:tcPr>
          <w:p w:rsidR="00000000" w:rsidRDefault="000C147A">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670106901"/>
          <w:jc w:val="center"/>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3,048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70106901"/>
          <w:jc w:val="center"/>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670106901"/>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BFE4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BFE4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BFE4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BFE4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BFE4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20" w:type="dxa"/>
              <w:bottom w:w="30" w:type="dxa"/>
              <w:right w:w="20" w:type="dxa"/>
            </w:tcMar>
            <w:vAlign w:val="center"/>
            <w:hideMark/>
          </w:tcPr>
          <w:p w:rsidR="00000000" w:rsidRDefault="000C147A">
            <w:pPr>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vAlign w:val="center"/>
            <w:hideMark/>
          </w:tcPr>
          <w:p w:rsidR="00000000" w:rsidRDefault="000C147A">
            <w:pPr>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670106901"/>
          <w:jc w:val="center"/>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BFE4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BFE4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1,069</w:t>
            </w:r>
            <w:r>
              <w:rPr>
                <w:rFonts w:eastAsia="Times New Roman"/>
                <w:color w:val="000000"/>
                <w:sz w:val="20"/>
                <w:szCs w:val="20"/>
              </w:rPr>
              <w:t> </w:t>
            </w:r>
          </w:p>
        </w:tc>
        <w:tc>
          <w:tcPr>
            <w:tcW w:w="0" w:type="auto"/>
            <w:tcBorders>
              <w:top w:val="single" w:sz="8" w:space="0" w:color="000000"/>
            </w:tcBorders>
            <w:shd w:val="clear" w:color="auto" w:fill="BFE4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70106901"/>
          <w:jc w:val="center"/>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670106901"/>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5,989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hideMark/>
          </w:tcPr>
          <w:p w:rsidR="00000000" w:rsidRDefault="000C147A">
            <w:pPr>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CCEEFF"/>
            <w:tcMar>
              <w:top w:w="30" w:type="dxa"/>
              <w:left w:w="120" w:type="dxa"/>
              <w:bottom w:w="30" w:type="dxa"/>
              <w:right w:w="20" w:type="dxa"/>
            </w:tcMar>
            <w:vAlign w:val="center"/>
            <w:hideMark/>
          </w:tcPr>
          <w:p w:rsidR="00000000" w:rsidRDefault="000C147A">
            <w:pPr>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r w:rsidR="00000000">
        <w:trPr>
          <w:divId w:val="670106901"/>
          <w:jc w:val="center"/>
        </w:trPr>
        <w:tc>
          <w:tcPr>
            <w:tcW w:w="0" w:type="auto"/>
            <w:gridSpan w:val="3"/>
            <w:shd w:val="clear" w:color="auto" w:fill="FFFFFF"/>
            <w:tcMar>
              <w:top w:w="30" w:type="dxa"/>
              <w:left w:w="120" w:type="dxa"/>
              <w:bottom w:w="30" w:type="dxa"/>
              <w:right w:w="20" w:type="dxa"/>
            </w:tcMar>
            <w:vAlign w:val="center"/>
            <w:hideMark/>
          </w:tcPr>
          <w:p w:rsidR="00000000" w:rsidRDefault="000C147A">
            <w:pPr>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r>
      <w:tr w:rsidR="000C147A">
        <w:trPr>
          <w:divId w:val="670106901"/>
          <w:jc w:val="center"/>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1,475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3,140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BFE4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BFE4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BFE4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r>
    </w:tbl>
    <w:p w:rsidR="00000000" w:rsidRDefault="000C147A">
      <w:pPr>
        <w:ind w:hanging="630"/>
        <w:divId w:val="264771502"/>
        <w:rPr>
          <w:rFonts w:eastAsia="Times New Roman"/>
        </w:rPr>
      </w:pPr>
      <w:r>
        <w:rPr>
          <w:rFonts w:eastAsia="Times New Roman"/>
          <w:color w:val="000000"/>
          <w:sz w:val="18"/>
          <w:szCs w:val="18"/>
        </w:rPr>
        <w:t xml:space="preserve">______________ </w:t>
      </w:r>
    </w:p>
    <w:p w:rsidR="00000000" w:rsidRDefault="000C147A">
      <w:pPr>
        <w:ind w:hanging="360"/>
        <w:divId w:val="2018313962"/>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0C147A">
      <w:pPr>
        <w:ind w:hanging="360"/>
        <w:divId w:val="986514899"/>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0C147A">
      <w:pPr>
        <w:ind w:firstLine="360"/>
        <w:divId w:val="66420126"/>
        <w:rPr>
          <w:rFonts w:eastAsia="Times New Roman"/>
        </w:rPr>
      </w:pPr>
    </w:p>
    <w:p w:rsidR="00000000" w:rsidRDefault="000C147A">
      <w:pPr>
        <w:divId w:val="1139567928"/>
        <w:rPr>
          <w:rFonts w:eastAsia="Times New Roman"/>
        </w:rPr>
      </w:pPr>
      <w:r>
        <w:rPr>
          <w:rFonts w:eastAsia="Times New Roman"/>
          <w:color w:val="000000"/>
          <w:sz w:val="20"/>
          <w:szCs w:val="20"/>
        </w:rPr>
        <w:t>The following tables provide information relating to the LTV and DSC ratios for commercial and agricultural mortgage loans at September 30, 2020 a</w:t>
      </w:r>
      <w:r>
        <w:rPr>
          <w:rFonts w:eastAsia="Times New Roman"/>
          <w:color w:val="000000"/>
          <w:sz w:val="20"/>
          <w:szCs w:val="20"/>
        </w:rPr>
        <w:t>nd December 31, 2019. The values used in these ratio calculations were developed as part of the periodic review of the commercial and agricultural mortgage loan portfolio, which includes an evaluation of the underlying collateral value.</w:t>
      </w:r>
    </w:p>
    <w:p w:rsidR="00000000" w:rsidRDefault="000C147A">
      <w:pPr>
        <w:jc w:val="center"/>
        <w:rPr>
          <w:rFonts w:eastAsia="Times New Roman"/>
        </w:rPr>
      </w:pPr>
      <w:r>
        <w:rPr>
          <w:rFonts w:eastAsia="Times New Roman"/>
          <w:b/>
          <w:bCs/>
          <w:color w:val="000000"/>
          <w:sz w:val="20"/>
          <w:szCs w:val="20"/>
        </w:rPr>
        <w:t>Mortgage Loans by L</w:t>
      </w:r>
      <w:r>
        <w:rPr>
          <w:rFonts w:eastAsia="Times New Roman"/>
          <w:b/>
          <w:bCs/>
          <w:color w:val="000000"/>
          <w:sz w:val="20"/>
          <w:szCs w:val="20"/>
        </w:rPr>
        <w:t>TV and DSC Ratios</w:t>
      </w:r>
    </w:p>
    <w:tbl>
      <w:tblPr>
        <w:tblW w:w="4656" w:type="pct"/>
        <w:jc w:val="center"/>
        <w:tblCellMar>
          <w:top w:w="15" w:type="dxa"/>
          <w:left w:w="15" w:type="dxa"/>
          <w:bottom w:w="15" w:type="dxa"/>
          <w:right w:w="15" w:type="dxa"/>
        </w:tblCellMar>
        <w:tblLook w:val="04A0" w:firstRow="1" w:lastRow="0" w:firstColumn="1" w:lastColumn="0" w:noHBand="0" w:noVBand="1"/>
      </w:tblPr>
      <w:tblGrid>
        <w:gridCol w:w="51"/>
        <w:gridCol w:w="1672"/>
        <w:gridCol w:w="38"/>
        <w:gridCol w:w="121"/>
        <w:gridCol w:w="646"/>
        <w:gridCol w:w="36"/>
        <w:gridCol w:w="36"/>
        <w:gridCol w:w="36"/>
        <w:gridCol w:w="36"/>
        <w:gridCol w:w="121"/>
        <w:gridCol w:w="597"/>
        <w:gridCol w:w="36"/>
        <w:gridCol w:w="36"/>
        <w:gridCol w:w="36"/>
        <w:gridCol w:w="36"/>
        <w:gridCol w:w="121"/>
        <w:gridCol w:w="597"/>
        <w:gridCol w:w="36"/>
        <w:gridCol w:w="36"/>
        <w:gridCol w:w="36"/>
        <w:gridCol w:w="36"/>
        <w:gridCol w:w="121"/>
        <w:gridCol w:w="597"/>
        <w:gridCol w:w="36"/>
        <w:gridCol w:w="36"/>
        <w:gridCol w:w="36"/>
        <w:gridCol w:w="36"/>
        <w:gridCol w:w="121"/>
        <w:gridCol w:w="597"/>
        <w:gridCol w:w="36"/>
        <w:gridCol w:w="36"/>
        <w:gridCol w:w="36"/>
        <w:gridCol w:w="36"/>
        <w:gridCol w:w="120"/>
        <w:gridCol w:w="597"/>
        <w:gridCol w:w="36"/>
        <w:gridCol w:w="36"/>
        <w:gridCol w:w="36"/>
        <w:gridCol w:w="36"/>
        <w:gridCol w:w="120"/>
        <w:gridCol w:w="598"/>
        <w:gridCol w:w="36"/>
      </w:tblGrid>
      <w:tr w:rsidR="00000000">
        <w:trPr>
          <w:divId w:val="1485972097"/>
          <w:jc w:val="center"/>
        </w:trPr>
        <w:tc>
          <w:tcPr>
            <w:tcW w:w="50" w:type="pct"/>
            <w:vAlign w:val="center"/>
            <w:hideMark/>
          </w:tcPr>
          <w:p w:rsidR="00000000" w:rsidRDefault="000C147A">
            <w:pPr>
              <w:jc w:val="center"/>
              <w:rPr>
                <w:rFonts w:eastAsia="Times New Roman"/>
              </w:rPr>
            </w:pPr>
          </w:p>
        </w:tc>
        <w:tc>
          <w:tcPr>
            <w:tcW w:w="11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485972097"/>
          <w:jc w:val="center"/>
        </w:trPr>
        <w:tc>
          <w:tcPr>
            <w:tcW w:w="0" w:type="auto"/>
            <w:gridSpan w:val="3"/>
            <w:tcMar>
              <w:top w:w="30" w:type="dxa"/>
              <w:left w:w="20" w:type="dxa"/>
              <w:bottom w:w="30" w:type="dxa"/>
              <w:right w:w="20" w:type="dxa"/>
            </w:tcMar>
            <w:vAlign w:val="bottom"/>
            <w:hideMark/>
          </w:tcPr>
          <w:p w:rsidR="00000000" w:rsidRDefault="000C147A">
            <w:pPr>
              <w:divId w:val="928585320"/>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85972097"/>
          <w:jc w:val="center"/>
        </w:trPr>
        <w:tc>
          <w:tcPr>
            <w:tcW w:w="0" w:type="auto"/>
            <w:gridSpan w:val="3"/>
            <w:tcMar>
              <w:top w:w="30" w:type="dxa"/>
              <w:left w:w="20" w:type="dxa"/>
              <w:bottom w:w="30" w:type="dxa"/>
              <w:right w:w="20" w:type="dxa"/>
            </w:tcMar>
            <w:vAlign w:val="bottom"/>
            <w:hideMark/>
          </w:tcPr>
          <w:p w:rsidR="00000000" w:rsidRDefault="000C147A">
            <w:pPr>
              <w:divId w:val="663627731"/>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485972097"/>
          <w:jc w:val="center"/>
        </w:trPr>
        <w:tc>
          <w:tcPr>
            <w:tcW w:w="0" w:type="auto"/>
            <w:gridSpan w:val="3"/>
            <w:tcMar>
              <w:top w:w="30" w:type="dxa"/>
              <w:left w:w="20" w:type="dxa"/>
              <w:bottom w:w="30" w:type="dxa"/>
              <w:right w:w="20" w:type="dxa"/>
            </w:tcMar>
            <w:vAlign w:val="bottom"/>
            <w:hideMark/>
          </w:tcPr>
          <w:p w:rsidR="00000000" w:rsidRDefault="000C147A">
            <w:pPr>
              <w:divId w:val="1424954937"/>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485972097"/>
          <w:jc w:val="center"/>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85972097"/>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Mortgage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85972097"/>
          <w:jc w:val="center"/>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485972097"/>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85972097"/>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1019697185"/>
        <w:rPr>
          <w:rFonts w:eastAsia="Times New Roman"/>
        </w:rPr>
      </w:pPr>
    </w:p>
    <w:p w:rsidR="00000000" w:rsidRDefault="000C147A">
      <w:pPr>
        <w:jc w:val="center"/>
        <w:divId w:val="1019697185"/>
        <w:rPr>
          <w:rFonts w:eastAsia="Times New Roman"/>
        </w:rPr>
      </w:pPr>
      <w:r>
        <w:rPr>
          <w:rFonts w:eastAsia="Times New Roman"/>
          <w:color w:val="000000"/>
          <w:sz w:val="20"/>
          <w:szCs w:val="20"/>
        </w:rPr>
        <w:t>27</w:t>
      </w:r>
    </w:p>
    <w:p w:rsidR="00000000" w:rsidRDefault="000C147A">
      <w:pPr>
        <w:rPr>
          <w:rFonts w:eastAsia="Times New Roman"/>
        </w:rPr>
      </w:pPr>
      <w:r>
        <w:rPr>
          <w:rFonts w:eastAsia="Times New Roman"/>
        </w:rPr>
        <w:pict>
          <v:rect id="_x0000_i1053" style="width:0;height:1.5pt" o:hralign="center" o:hrstd="t" o:hr="t" fillcolor="#a0a0a0" stroked="f"/>
        </w:pict>
      </w:r>
    </w:p>
    <w:p w:rsidR="00000000" w:rsidRDefault="000C147A">
      <w:pPr>
        <w:jc w:val="center"/>
        <w:divId w:val="899556524"/>
        <w:rPr>
          <w:rFonts w:eastAsia="Times New Roman"/>
        </w:rPr>
      </w:pPr>
      <w:r>
        <w:rPr>
          <w:rFonts w:eastAsia="Times New Roman"/>
          <w:b/>
          <w:bCs/>
          <w:color w:val="000000"/>
          <w:sz w:val="20"/>
          <w:szCs w:val="20"/>
        </w:rPr>
        <w:t>EQUITABLE HOLDINGS, INC.</w:t>
      </w:r>
    </w:p>
    <w:p w:rsidR="00000000" w:rsidRDefault="000C147A">
      <w:pPr>
        <w:jc w:val="center"/>
        <w:divId w:val="899556524"/>
        <w:rPr>
          <w:rFonts w:eastAsia="Times New Roman"/>
        </w:rPr>
      </w:pPr>
      <w:r>
        <w:rPr>
          <w:rFonts w:eastAsia="Times New Roman"/>
          <w:b/>
          <w:bCs/>
          <w:color w:val="000000"/>
          <w:sz w:val="20"/>
          <w:szCs w:val="20"/>
        </w:rPr>
        <w:t>Notes to Consolidated Financial Statements (Unaudited), Continued</w:t>
      </w:r>
    </w:p>
    <w:tbl>
      <w:tblPr>
        <w:tblW w:w="4656" w:type="pct"/>
        <w:jc w:val="center"/>
        <w:tblCellMar>
          <w:top w:w="15" w:type="dxa"/>
          <w:left w:w="15" w:type="dxa"/>
          <w:bottom w:w="15" w:type="dxa"/>
          <w:right w:w="15" w:type="dxa"/>
        </w:tblCellMar>
        <w:tblLook w:val="04A0" w:firstRow="1" w:lastRow="0" w:firstColumn="1" w:lastColumn="0" w:noHBand="0" w:noVBand="1"/>
      </w:tblPr>
      <w:tblGrid>
        <w:gridCol w:w="56"/>
        <w:gridCol w:w="1666"/>
        <w:gridCol w:w="37"/>
        <w:gridCol w:w="121"/>
        <w:gridCol w:w="646"/>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9"/>
        <w:gridCol w:w="36"/>
        <w:gridCol w:w="36"/>
        <w:gridCol w:w="36"/>
        <w:gridCol w:w="36"/>
        <w:gridCol w:w="120"/>
        <w:gridCol w:w="599"/>
        <w:gridCol w:w="36"/>
        <w:gridCol w:w="36"/>
        <w:gridCol w:w="36"/>
        <w:gridCol w:w="36"/>
        <w:gridCol w:w="120"/>
        <w:gridCol w:w="600"/>
        <w:gridCol w:w="36"/>
      </w:tblGrid>
      <w:tr w:rsidR="00000000">
        <w:trPr>
          <w:divId w:val="135489975"/>
          <w:jc w:val="center"/>
        </w:trPr>
        <w:tc>
          <w:tcPr>
            <w:tcW w:w="50" w:type="pct"/>
            <w:vAlign w:val="center"/>
            <w:hideMark/>
          </w:tcPr>
          <w:p w:rsidR="00000000" w:rsidRDefault="000C147A">
            <w:pPr>
              <w:jc w:val="center"/>
              <w:rPr>
                <w:rFonts w:eastAsia="Times New Roman"/>
              </w:rPr>
            </w:pPr>
          </w:p>
        </w:tc>
        <w:tc>
          <w:tcPr>
            <w:tcW w:w="11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5489975"/>
          <w:jc w:val="center"/>
        </w:trPr>
        <w:tc>
          <w:tcPr>
            <w:tcW w:w="0" w:type="auto"/>
            <w:gridSpan w:val="3"/>
            <w:tcMar>
              <w:top w:w="30" w:type="dxa"/>
              <w:left w:w="20" w:type="dxa"/>
              <w:bottom w:w="30" w:type="dxa"/>
              <w:right w:w="20" w:type="dxa"/>
            </w:tcMar>
            <w:vAlign w:val="bottom"/>
            <w:hideMark/>
          </w:tcPr>
          <w:p w:rsidR="00000000" w:rsidRDefault="000C147A">
            <w:pPr>
              <w:divId w:val="1899824279"/>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tcMar>
              <w:top w:w="30" w:type="dxa"/>
              <w:left w:w="20" w:type="dxa"/>
              <w:bottom w:w="30" w:type="dxa"/>
              <w:right w:w="20" w:type="dxa"/>
            </w:tcMar>
            <w:vAlign w:val="bottom"/>
            <w:hideMark/>
          </w:tcPr>
          <w:p w:rsidR="00000000" w:rsidRDefault="000C147A">
            <w:pPr>
              <w:divId w:val="752943602"/>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35489975"/>
          <w:jc w:val="center"/>
        </w:trPr>
        <w:tc>
          <w:tcPr>
            <w:tcW w:w="0" w:type="auto"/>
            <w:gridSpan w:val="3"/>
            <w:tcMar>
              <w:top w:w="30" w:type="dxa"/>
              <w:left w:w="20" w:type="dxa"/>
              <w:bottom w:w="30" w:type="dxa"/>
              <w:right w:w="20" w:type="dxa"/>
            </w:tcMar>
            <w:vAlign w:val="bottom"/>
            <w:hideMark/>
          </w:tcPr>
          <w:p w:rsidR="00000000" w:rsidRDefault="000C147A">
            <w:pPr>
              <w:divId w:val="978800793"/>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35489975"/>
          <w:jc w:val="center"/>
        </w:trPr>
        <w:tc>
          <w:tcPr>
            <w:tcW w:w="0" w:type="auto"/>
            <w:gridSpan w:val="3"/>
            <w:shd w:val="clear" w:color="auto" w:fill="FFFFFF"/>
            <w:tcMar>
              <w:top w:w="30" w:type="dxa"/>
              <w:left w:w="20" w:type="dxa"/>
              <w:bottom w:w="30" w:type="dxa"/>
              <w:right w:w="20" w:type="dxa"/>
            </w:tcMar>
            <w:hideMark/>
          </w:tcPr>
          <w:p w:rsidR="00000000" w:rsidRDefault="000C147A">
            <w:pPr>
              <w:divId w:val="54829795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0" w:type="dxa"/>
              <w:bottom w:w="30" w:type="dxa"/>
              <w:right w:w="20" w:type="dxa"/>
            </w:tcMar>
            <w:hideMark/>
          </w:tcPr>
          <w:p w:rsidR="00000000" w:rsidRDefault="000C147A">
            <w:pPr>
              <w:divId w:val="1611280986"/>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0" w:type="dxa"/>
              <w:bottom w:w="30" w:type="dxa"/>
              <w:right w:w="20" w:type="dxa"/>
            </w:tcMar>
            <w:hideMark/>
          </w:tcPr>
          <w:p w:rsidR="00000000" w:rsidRDefault="000C147A">
            <w:pPr>
              <w:divId w:val="926499921"/>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0" w:type="dxa"/>
              <w:bottom w:w="30" w:type="dxa"/>
              <w:right w:w="20" w:type="dxa"/>
            </w:tcMar>
            <w:hideMark/>
          </w:tcPr>
          <w:p w:rsidR="00000000" w:rsidRDefault="000C147A">
            <w:pPr>
              <w:divId w:val="7517724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1,583 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5489975"/>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35489975"/>
          <w:jc w:val="center"/>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2,763 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1,354 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5489975"/>
          <w:jc w:val="center"/>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35489975"/>
          <w:jc w:val="center"/>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firstLine="720"/>
        <w:divId w:val="1111320428"/>
        <w:rPr>
          <w:rFonts w:eastAsia="Times New Roman"/>
        </w:rPr>
      </w:pPr>
      <w:r>
        <w:rPr>
          <w:rFonts w:eastAsia="Times New Roman"/>
          <w:color w:val="000000"/>
          <w:sz w:val="18"/>
          <w:szCs w:val="18"/>
        </w:rPr>
        <w:t>______________</w:t>
      </w:r>
    </w:p>
    <w:p w:rsidR="00000000" w:rsidRDefault="000C147A">
      <w:pPr>
        <w:ind w:hanging="360"/>
        <w:divId w:val="927929089"/>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0C147A">
      <w:pPr>
        <w:ind w:hanging="360"/>
        <w:divId w:val="324864590"/>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0C147A">
      <w:pPr>
        <w:ind w:hanging="360"/>
        <w:divId w:val="1369136714"/>
        <w:rPr>
          <w:rFonts w:eastAsia="Times New Roman"/>
        </w:rPr>
      </w:pPr>
      <w:r>
        <w:rPr>
          <w:rFonts w:eastAsia="Times New Roman"/>
          <w:color w:val="000000"/>
          <w:sz w:val="18"/>
          <w:szCs w:val="18"/>
        </w:rPr>
        <w:t xml:space="preserve">(3)Amounts presented at amortized cost basis. </w:t>
      </w:r>
    </w:p>
    <w:p w:rsidR="00000000" w:rsidRDefault="000C147A">
      <w:pPr>
        <w:jc w:val="center"/>
        <w:divId w:val="1320771679"/>
        <w:rPr>
          <w:rFonts w:eastAsia="Times New Roman"/>
        </w:rPr>
      </w:pPr>
    </w:p>
    <w:p w:rsidR="00000000" w:rsidRDefault="000C147A">
      <w:pPr>
        <w:jc w:val="center"/>
        <w:divId w:val="1320771679"/>
        <w:rPr>
          <w:rFonts w:eastAsia="Times New Roman"/>
        </w:rPr>
      </w:pPr>
      <w:r>
        <w:rPr>
          <w:rFonts w:eastAsia="Times New Roman"/>
          <w:color w:val="000000"/>
          <w:sz w:val="20"/>
          <w:szCs w:val="20"/>
        </w:rPr>
        <w:t>28</w:t>
      </w:r>
    </w:p>
    <w:p w:rsidR="00000000" w:rsidRDefault="000C147A">
      <w:pPr>
        <w:rPr>
          <w:rFonts w:eastAsia="Times New Roman"/>
        </w:rPr>
      </w:pPr>
      <w:r>
        <w:rPr>
          <w:rFonts w:eastAsia="Times New Roman"/>
        </w:rPr>
        <w:pict>
          <v:rect id="_x0000_i1054" style="width:0;height:1.5pt" o:hralign="center" o:hrstd="t" o:hr="t" fillcolor="#a0a0a0" stroked="f"/>
        </w:pict>
      </w:r>
    </w:p>
    <w:p w:rsidR="00000000" w:rsidRDefault="000C147A">
      <w:pPr>
        <w:jc w:val="center"/>
        <w:divId w:val="36318958"/>
        <w:rPr>
          <w:rFonts w:eastAsia="Times New Roman"/>
        </w:rPr>
      </w:pPr>
      <w:r>
        <w:rPr>
          <w:rFonts w:eastAsia="Times New Roman"/>
          <w:b/>
          <w:bCs/>
          <w:color w:val="000000"/>
          <w:sz w:val="20"/>
          <w:szCs w:val="20"/>
        </w:rPr>
        <w:t>EQUITABLE HOLDINGS, INC.</w:t>
      </w:r>
    </w:p>
    <w:p w:rsidR="00000000" w:rsidRDefault="000C147A">
      <w:pPr>
        <w:jc w:val="center"/>
        <w:divId w:val="36318958"/>
        <w:rPr>
          <w:rFonts w:eastAsia="Times New Roman"/>
        </w:rPr>
      </w:pPr>
      <w:r>
        <w:rPr>
          <w:rFonts w:eastAsia="Times New Roman"/>
          <w:b/>
          <w:bCs/>
          <w:color w:val="000000"/>
          <w:sz w:val="20"/>
          <w:szCs w:val="20"/>
        </w:rPr>
        <w:t>Notes to Consolidated Financial Statements (Unaudited), Con</w:t>
      </w:r>
      <w:r>
        <w:rPr>
          <w:rFonts w:eastAsia="Times New Roman"/>
          <w:b/>
          <w:bCs/>
          <w:color w:val="000000"/>
          <w:sz w:val="20"/>
          <w:szCs w:val="20"/>
        </w:rPr>
        <w:t>tinued</w:t>
      </w:r>
    </w:p>
    <w:p w:rsidR="00000000" w:rsidRDefault="000C147A">
      <w:pPr>
        <w:divId w:val="123542710"/>
        <w:rPr>
          <w:rFonts w:eastAsia="Times New Roman"/>
        </w:rPr>
      </w:pPr>
      <w:r>
        <w:rPr>
          <w:rFonts w:eastAsia="Times New Roman"/>
          <w:color w:val="000000"/>
          <w:sz w:val="20"/>
          <w:szCs w:val="20"/>
          <w:u w:val="single"/>
        </w:rPr>
        <w:t>Past-Due and Nonaccrual Mortgage Loan Status</w:t>
      </w:r>
    </w:p>
    <w:p w:rsidR="00000000" w:rsidRDefault="000C147A">
      <w:pPr>
        <w:divId w:val="123475388"/>
        <w:rPr>
          <w:rFonts w:eastAsia="Times New Roman"/>
        </w:rPr>
      </w:pPr>
      <w:r>
        <w:rPr>
          <w:rFonts w:eastAsia="Times New Roman"/>
          <w:color w:val="000000"/>
          <w:sz w:val="20"/>
          <w:szCs w:val="20"/>
        </w:rPr>
        <w:t>The following table provides information relating to the aging analysis of past-due mortgage loans at September 30, 2020 and December 31, 2019, respectively.</w:t>
      </w:r>
    </w:p>
    <w:p w:rsidR="00000000" w:rsidRDefault="000C147A">
      <w:pPr>
        <w:jc w:val="center"/>
        <w:rPr>
          <w:rFonts w:eastAsia="Times New Roman"/>
        </w:rPr>
      </w:pPr>
      <w:r>
        <w:rPr>
          <w:rFonts w:eastAsia="Times New Roman"/>
          <w:b/>
          <w:bCs/>
          <w:color w:val="000000"/>
          <w:sz w:val="20"/>
          <w:szCs w:val="20"/>
        </w:rPr>
        <w:t>Age Analysis of Past Due Mortgage Loans (1)</w:t>
      </w:r>
    </w:p>
    <w:tbl>
      <w:tblPr>
        <w:tblW w:w="4634" w:type="pct"/>
        <w:tblCellMar>
          <w:top w:w="15" w:type="dxa"/>
          <w:left w:w="15" w:type="dxa"/>
          <w:bottom w:w="15" w:type="dxa"/>
          <w:right w:w="15" w:type="dxa"/>
        </w:tblCellMar>
        <w:tblLook w:val="04A0" w:firstRow="1" w:lastRow="0" w:firstColumn="1" w:lastColumn="0" w:noHBand="0" w:noVBand="1"/>
      </w:tblPr>
      <w:tblGrid>
        <w:gridCol w:w="59"/>
        <w:gridCol w:w="1080"/>
        <w:gridCol w:w="37"/>
        <w:gridCol w:w="120"/>
        <w:gridCol w:w="250"/>
        <w:gridCol w:w="36"/>
        <w:gridCol w:w="36"/>
        <w:gridCol w:w="36"/>
        <w:gridCol w:w="36"/>
        <w:gridCol w:w="120"/>
        <w:gridCol w:w="250"/>
        <w:gridCol w:w="36"/>
        <w:gridCol w:w="36"/>
        <w:gridCol w:w="36"/>
        <w:gridCol w:w="36"/>
        <w:gridCol w:w="120"/>
        <w:gridCol w:w="350"/>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1"/>
        <w:gridCol w:w="543"/>
        <w:gridCol w:w="36"/>
        <w:gridCol w:w="36"/>
        <w:gridCol w:w="36"/>
        <w:gridCol w:w="36"/>
        <w:gridCol w:w="120"/>
        <w:gridCol w:w="600"/>
        <w:gridCol w:w="36"/>
        <w:gridCol w:w="36"/>
        <w:gridCol w:w="36"/>
        <w:gridCol w:w="36"/>
        <w:gridCol w:w="121"/>
        <w:gridCol w:w="658"/>
        <w:gridCol w:w="36"/>
        <w:gridCol w:w="36"/>
        <w:gridCol w:w="36"/>
        <w:gridCol w:w="36"/>
        <w:gridCol w:w="121"/>
        <w:gridCol w:w="552"/>
        <w:gridCol w:w="36"/>
      </w:tblGrid>
      <w:tr w:rsidR="00000000">
        <w:trPr>
          <w:divId w:val="518813458"/>
        </w:trPr>
        <w:tc>
          <w:tcPr>
            <w:tcW w:w="50" w:type="pct"/>
            <w:vAlign w:val="center"/>
            <w:hideMark/>
          </w:tcPr>
          <w:p w:rsidR="00000000" w:rsidRDefault="000C147A">
            <w:pPr>
              <w:jc w:val="center"/>
              <w:rPr>
                <w:rFonts w:eastAsia="Times New Roman"/>
              </w:rPr>
            </w:pPr>
          </w:p>
        </w:tc>
        <w:tc>
          <w:tcPr>
            <w:tcW w:w="9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7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7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2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7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8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6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518813458"/>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Interest Income on Non-accruing Loans (2)</w:t>
            </w:r>
          </w:p>
        </w:tc>
      </w:tr>
      <w:tr w:rsidR="00000000">
        <w:trPr>
          <w:divId w:val="518813458"/>
          <w:trHeight w:val="24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Past Due</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Current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r>
      <w:tr w:rsidR="00000000">
        <w:trPr>
          <w:divId w:val="518813458"/>
          <w:trHeight w:val="76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30-59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60-89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90 Days or More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c>
          <w:tcPr>
            <w:tcW w:w="0" w:type="auto"/>
            <w:gridSpan w:val="3"/>
            <w:vMerge/>
            <w:tcBorders>
              <w:top w:val="single" w:sz="8" w:space="0" w:color="000000"/>
            </w:tcBorders>
            <w:vAlign w:val="center"/>
            <w:hideMark/>
          </w:tcPr>
          <w:p w:rsidR="00000000" w:rsidRDefault="000C147A">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0C147A">
            <w:pPr>
              <w:rPr>
                <w:rFonts w:eastAsia="Times New Roman"/>
              </w:rPr>
            </w:pPr>
          </w:p>
        </w:tc>
        <w:tc>
          <w:tcPr>
            <w:tcW w:w="0" w:type="auto"/>
            <w:gridSpan w:val="3"/>
            <w:vMerge/>
            <w:tcBorders>
              <w:top w:val="single" w:sz="8" w:space="0" w:color="000000"/>
            </w:tcBorders>
            <w:vAlign w:val="center"/>
            <w:hideMark/>
          </w:tcPr>
          <w:p w:rsidR="00000000" w:rsidRDefault="000C147A">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vMerge/>
            <w:tcBorders>
              <w:bottom w:val="single" w:sz="8" w:space="0" w:color="000000"/>
            </w:tcBorders>
            <w:vAlign w:val="center"/>
            <w:hideMark/>
          </w:tcPr>
          <w:p w:rsidR="00000000" w:rsidRDefault="000C147A">
            <w:pPr>
              <w:rPr>
                <w:rFonts w:eastAsia="Times New Roman"/>
              </w:rPr>
            </w:pPr>
          </w:p>
        </w:tc>
      </w:tr>
      <w:tr w:rsidR="00000000">
        <w:trPr>
          <w:divId w:val="51881345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51881345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51881345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Mortgage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518813458"/>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Commercial</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51881345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Agricultural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51881345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12,707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518813458"/>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51881345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51881345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Mortgage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518813458"/>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Commercial</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51881345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Agricultural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51881345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339507133"/>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0C147A">
      <w:pPr>
        <w:ind w:hanging="360"/>
        <w:divId w:val="979844029"/>
        <w:rPr>
          <w:rFonts w:eastAsia="Times New Roman"/>
        </w:rPr>
      </w:pPr>
      <w:r>
        <w:rPr>
          <w:rFonts w:eastAsia="Times New Roman"/>
          <w:color w:val="000000"/>
          <w:sz w:val="18"/>
          <w:szCs w:val="18"/>
        </w:rPr>
        <w:t xml:space="preserve">(1) Amounts presented at amortized cost basis. </w:t>
      </w:r>
    </w:p>
    <w:p w:rsidR="00000000" w:rsidRDefault="000C147A">
      <w:pPr>
        <w:ind w:hanging="360"/>
        <w:divId w:val="1264653609"/>
        <w:rPr>
          <w:rFonts w:eastAsia="Times New Roman"/>
        </w:rPr>
      </w:pPr>
      <w:r>
        <w:rPr>
          <w:rFonts w:eastAsia="Times New Roman"/>
          <w:color w:val="000000"/>
          <w:sz w:val="18"/>
          <w:szCs w:val="18"/>
        </w:rPr>
        <w:t>(2) Amounts for 2020 represent results for both the three and nine months ended September 30, 2020.</w:t>
      </w:r>
    </w:p>
    <w:p w:rsidR="00000000" w:rsidRDefault="000C147A">
      <w:pPr>
        <w:divId w:val="1456101737"/>
        <w:rPr>
          <w:rFonts w:eastAsia="Times New Roman"/>
        </w:rPr>
      </w:pPr>
      <w:r>
        <w:rPr>
          <w:rFonts w:eastAsia="Times New Roman"/>
          <w:color w:val="000000"/>
          <w:sz w:val="20"/>
          <w:szCs w:val="20"/>
        </w:rPr>
        <w:t>At September 30, 2020 and December 31, 2019, the carrying values of problem mortgage loans that had been classified as non-accrual loans were $0 million and $0 million, respectively.</w:t>
      </w:r>
    </w:p>
    <w:p w:rsidR="00000000" w:rsidRDefault="000C147A">
      <w:pPr>
        <w:divId w:val="1013187157"/>
        <w:rPr>
          <w:rFonts w:eastAsia="Times New Roman"/>
        </w:rPr>
      </w:pPr>
      <w:r>
        <w:rPr>
          <w:rFonts w:eastAsia="Times New Roman"/>
          <w:color w:val="000000"/>
          <w:sz w:val="20"/>
          <w:szCs w:val="20"/>
          <w:u w:val="single"/>
        </w:rPr>
        <w:t>Troubled Debt Restructuring</w:t>
      </w:r>
    </w:p>
    <w:p w:rsidR="00000000" w:rsidRDefault="000C147A">
      <w:pPr>
        <w:divId w:val="216285355"/>
        <w:rPr>
          <w:rFonts w:eastAsia="Times New Roman"/>
        </w:rPr>
      </w:pPr>
      <w:r>
        <w:rPr>
          <w:rFonts w:eastAsia="Times New Roman"/>
          <w:color w:val="000000"/>
          <w:sz w:val="20"/>
          <w:szCs w:val="20"/>
        </w:rPr>
        <w:t xml:space="preserve">For the nine months ended September 30, 2020 </w:t>
      </w:r>
      <w:r>
        <w:rPr>
          <w:rFonts w:eastAsia="Times New Roman"/>
          <w:color w:val="000000"/>
          <w:sz w:val="20"/>
          <w:szCs w:val="20"/>
        </w:rPr>
        <w:t>, the Company had one commercial mortgage loan on real estate accounted for as a TDR with a pre-modification cost basis of $75 million and post-modification carrying value of $75 million. The one commercial mortgage loan TDR is 0.07% of the Company’s total</w:t>
      </w:r>
      <w:r>
        <w:rPr>
          <w:rFonts w:eastAsia="Times New Roman"/>
          <w:color w:val="000000"/>
          <w:sz w:val="20"/>
          <w:szCs w:val="20"/>
        </w:rPr>
        <w:t xml:space="preserve"> invested assets. For the nine months ended September 30, 2020, the Company had six new privately negotiated fixed maturity TDRs with a pre-modification cost basis of $50 million and post-modification carrying value of $44 million. These TDRs did not have </w:t>
      </w:r>
      <w:r>
        <w:rPr>
          <w:rFonts w:eastAsia="Times New Roman"/>
          <w:color w:val="000000"/>
          <w:sz w:val="20"/>
          <w:szCs w:val="20"/>
        </w:rPr>
        <w:t>subsequent payment defaults nor additional commitments to lend. The six privately negotiated fixed maturity TDRs a</w:t>
      </w:r>
      <w:r>
        <w:rPr>
          <w:rFonts w:eastAsia="Times New Roman"/>
          <w:color w:val="000000"/>
          <w:sz w:val="20"/>
          <w:szCs w:val="20"/>
          <w:shd w:val="clear" w:color="auto" w:fill="FFFFFF"/>
        </w:rPr>
        <w:t xml:space="preserve">re 0.04% </w:t>
      </w:r>
      <w:r>
        <w:rPr>
          <w:rFonts w:eastAsia="Times New Roman"/>
          <w:color w:val="000000"/>
          <w:sz w:val="20"/>
          <w:szCs w:val="20"/>
        </w:rPr>
        <w:t xml:space="preserve">of the Company’s total invested assets. There were no mortgage loan on real estate or fixed maturities accounted for as a TDR during </w:t>
      </w:r>
      <w:r>
        <w:rPr>
          <w:rFonts w:eastAsia="Times New Roman"/>
          <w:color w:val="000000"/>
          <w:sz w:val="20"/>
          <w:szCs w:val="20"/>
        </w:rPr>
        <w:t>2019.</w:t>
      </w:r>
    </w:p>
    <w:p w:rsidR="00000000" w:rsidRDefault="000C147A">
      <w:pPr>
        <w:divId w:val="6910200"/>
        <w:rPr>
          <w:rFonts w:eastAsia="Times New Roman"/>
        </w:rPr>
      </w:pPr>
      <w:r>
        <w:rPr>
          <w:rFonts w:eastAsia="Times New Roman"/>
          <w:color w:val="000000"/>
          <w:sz w:val="20"/>
          <w:szCs w:val="20"/>
          <w:u w:val="single"/>
        </w:rPr>
        <w:t>Trading Securities</w:t>
      </w:r>
    </w:p>
    <w:p w:rsidR="00000000" w:rsidRDefault="000C147A">
      <w:pPr>
        <w:divId w:val="670838"/>
        <w:rPr>
          <w:rFonts w:eastAsia="Times New Roman"/>
        </w:rPr>
      </w:pPr>
      <w:r>
        <w:rPr>
          <w:rFonts w:eastAsia="Times New Roman"/>
          <w:color w:val="000000"/>
          <w:sz w:val="20"/>
          <w:szCs w:val="20"/>
        </w:rPr>
        <w:t>At September 30, 2020 and December 31, 2019, respectively, the fair value of the Company’s trading securities was $6.2 billion and $7.0 billion. At September 30, 2020 and December 31, 2019, respectively, trading securities included</w:t>
      </w:r>
      <w:r>
        <w:rPr>
          <w:rFonts w:eastAsia="Times New Roman"/>
          <w:color w:val="000000"/>
          <w:sz w:val="20"/>
          <w:szCs w:val="20"/>
        </w:rPr>
        <w:t xml:space="preserve"> the General Account’s investment in Separate Accounts which had carrying values of</w:t>
      </w:r>
      <w:r>
        <w:rPr>
          <w:rFonts w:eastAsia="Times New Roman"/>
          <w:color w:val="000000"/>
          <w:sz w:val="20"/>
          <w:szCs w:val="20"/>
          <w:shd w:val="clear" w:color="auto" w:fill="FFFFFF"/>
        </w:rPr>
        <w:t xml:space="preserve"> $38 million and</w:t>
      </w:r>
      <w:r>
        <w:rPr>
          <w:rFonts w:eastAsia="Times New Roman"/>
          <w:color w:val="000000"/>
          <w:sz w:val="20"/>
          <w:szCs w:val="20"/>
        </w:rPr>
        <w:t xml:space="preserve"> $58 million.</w:t>
      </w:r>
    </w:p>
    <w:p w:rsidR="00000000" w:rsidRDefault="000C147A">
      <w:pPr>
        <w:divId w:val="592129823"/>
        <w:rPr>
          <w:rFonts w:eastAsia="Times New Roman"/>
        </w:rPr>
      </w:pPr>
      <w:r>
        <w:rPr>
          <w:rFonts w:eastAsia="Times New Roman"/>
          <w:color w:val="000000"/>
          <w:sz w:val="20"/>
          <w:szCs w:val="20"/>
        </w:rPr>
        <w:t xml:space="preserve">The table below shows a breakdown of Net investment income (loss) from trading securities during the three and nine months ended September 30, </w:t>
      </w:r>
      <w:r>
        <w:rPr>
          <w:rFonts w:eastAsia="Times New Roman"/>
          <w:color w:val="000000"/>
          <w:sz w:val="20"/>
          <w:szCs w:val="20"/>
        </w:rPr>
        <w:t>2020 and 2019.</w:t>
      </w:r>
    </w:p>
    <w:p w:rsidR="00000000" w:rsidRDefault="000C147A">
      <w:pPr>
        <w:jc w:val="center"/>
        <w:divId w:val="1109010600"/>
        <w:rPr>
          <w:rFonts w:eastAsia="Times New Roman"/>
        </w:rPr>
      </w:pPr>
    </w:p>
    <w:p w:rsidR="00000000" w:rsidRDefault="000C147A">
      <w:pPr>
        <w:jc w:val="center"/>
        <w:divId w:val="1109010600"/>
        <w:rPr>
          <w:rFonts w:eastAsia="Times New Roman"/>
        </w:rPr>
      </w:pPr>
      <w:r>
        <w:rPr>
          <w:rFonts w:eastAsia="Times New Roman"/>
          <w:color w:val="000000"/>
          <w:sz w:val="20"/>
          <w:szCs w:val="20"/>
        </w:rPr>
        <w:t>29</w:t>
      </w:r>
    </w:p>
    <w:p w:rsidR="00000000" w:rsidRDefault="000C147A">
      <w:pPr>
        <w:rPr>
          <w:rFonts w:eastAsia="Times New Roman"/>
        </w:rPr>
      </w:pPr>
      <w:r>
        <w:rPr>
          <w:rFonts w:eastAsia="Times New Roman"/>
        </w:rPr>
        <w:pict>
          <v:rect id="_x0000_i1055" style="width:0;height:1.5pt" o:hralign="center" o:hrstd="t" o:hr="t" fillcolor="#a0a0a0" stroked="f"/>
        </w:pict>
      </w:r>
    </w:p>
    <w:p w:rsidR="00000000" w:rsidRDefault="000C147A">
      <w:pPr>
        <w:jc w:val="center"/>
        <w:divId w:val="1192765266"/>
        <w:rPr>
          <w:rFonts w:eastAsia="Times New Roman"/>
        </w:rPr>
      </w:pPr>
      <w:r>
        <w:rPr>
          <w:rFonts w:eastAsia="Times New Roman"/>
          <w:b/>
          <w:bCs/>
          <w:color w:val="000000"/>
          <w:sz w:val="20"/>
          <w:szCs w:val="20"/>
        </w:rPr>
        <w:t>EQUITABLE HOLDINGS, INC.</w:t>
      </w:r>
    </w:p>
    <w:p w:rsidR="00000000" w:rsidRDefault="000C147A">
      <w:pPr>
        <w:jc w:val="center"/>
        <w:divId w:val="1192765266"/>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Net Investment Income (Loss) from Trading Securities</w:t>
      </w:r>
    </w:p>
    <w:tbl>
      <w:tblPr>
        <w:tblW w:w="4641" w:type="pct"/>
        <w:tblCellMar>
          <w:top w:w="15" w:type="dxa"/>
          <w:left w:w="15" w:type="dxa"/>
          <w:bottom w:w="15" w:type="dxa"/>
          <w:right w:w="15" w:type="dxa"/>
        </w:tblCellMar>
        <w:tblLook w:val="04A0" w:firstRow="1" w:lastRow="0" w:firstColumn="1" w:lastColumn="0" w:noHBand="0" w:noVBand="1"/>
      </w:tblPr>
      <w:tblGrid>
        <w:gridCol w:w="37"/>
        <w:gridCol w:w="3235"/>
        <w:gridCol w:w="36"/>
        <w:gridCol w:w="120"/>
        <w:gridCol w:w="893"/>
        <w:gridCol w:w="36"/>
        <w:gridCol w:w="36"/>
        <w:gridCol w:w="36"/>
        <w:gridCol w:w="36"/>
        <w:gridCol w:w="120"/>
        <w:gridCol w:w="849"/>
        <w:gridCol w:w="36"/>
        <w:gridCol w:w="36"/>
        <w:gridCol w:w="36"/>
        <w:gridCol w:w="36"/>
        <w:gridCol w:w="120"/>
        <w:gridCol w:w="935"/>
        <w:gridCol w:w="36"/>
        <w:gridCol w:w="36"/>
        <w:gridCol w:w="36"/>
        <w:gridCol w:w="36"/>
        <w:gridCol w:w="120"/>
        <w:gridCol w:w="777"/>
        <w:gridCol w:w="36"/>
      </w:tblGrid>
      <w:tr w:rsidR="00000000">
        <w:trPr>
          <w:divId w:val="723025859"/>
        </w:trPr>
        <w:tc>
          <w:tcPr>
            <w:tcW w:w="50" w:type="pct"/>
            <w:vAlign w:val="center"/>
            <w:hideMark/>
          </w:tcPr>
          <w:p w:rsidR="00000000" w:rsidRDefault="000C147A">
            <w:pPr>
              <w:jc w:val="center"/>
              <w:rPr>
                <w:rFonts w:eastAsia="Times New Roman"/>
              </w:rPr>
            </w:pPr>
          </w:p>
        </w:tc>
        <w:tc>
          <w:tcPr>
            <w:tcW w:w="21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7230258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7230258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7230258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0C147A">
            <w:pPr>
              <w:jc w:val="right"/>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72302585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492 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230258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230258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Unrealized and realized gains (losses) on trading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230258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Interest and dividend income from trading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230258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 from trading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40597752"/>
        <w:rPr>
          <w:rFonts w:eastAsia="Times New Roman"/>
        </w:rPr>
      </w:pPr>
    </w:p>
    <w:p w:rsidR="00000000" w:rsidRDefault="000C147A">
      <w:pPr>
        <w:divId w:val="2035038434"/>
        <w:rPr>
          <w:rFonts w:eastAsia="Times New Roman"/>
        </w:rPr>
      </w:pPr>
      <w:r>
        <w:rPr>
          <w:rFonts w:eastAsia="Times New Roman"/>
          <w:b/>
          <w:bCs/>
          <w:color w:val="000000"/>
          <w:sz w:val="20"/>
          <w:szCs w:val="20"/>
        </w:rPr>
        <w:t>4)     DERIVATIVES</w:t>
      </w:r>
    </w:p>
    <w:p w:rsidR="00000000" w:rsidRDefault="000C147A">
      <w:pPr>
        <w:divId w:val="1500078355"/>
        <w:rPr>
          <w:rFonts w:eastAsia="Times New Roman"/>
        </w:rPr>
      </w:pPr>
      <w:r>
        <w:rPr>
          <w:rFonts w:eastAsia="Times New Roman"/>
          <w:color w:val="000000"/>
          <w:sz w:val="20"/>
          <w:szCs w:val="20"/>
        </w:rPr>
        <w:t>The Company uses derivatives as part of its overall asset/liability risk management primarily to reduce exposures to equity marke</w:t>
      </w:r>
      <w:r>
        <w:rPr>
          <w:rFonts w:eastAsia="Times New Roman"/>
          <w:color w:val="000000"/>
          <w:sz w:val="20"/>
          <w:szCs w:val="20"/>
        </w:rPr>
        <w:t>t and interest rate risks. Derivative hedging strategies are designed to reduce these risks from an economic perspective and are all executed within the framework of a “Derivative Use Plan” approved by applicable states’ insurance law. Derivatives are gene</w:t>
      </w:r>
      <w:r>
        <w:rPr>
          <w:rFonts w:eastAsia="Times New Roman"/>
          <w:color w:val="000000"/>
          <w:sz w:val="20"/>
          <w:szCs w:val="20"/>
        </w:rPr>
        <w:t>rally not accounted for using hedge accounting, with the exception of Treasury Inflation-Protected Securities (“TIPS”), which is discussed further below. Operation of these hedging programs is based on models involving numerous estimates and assumptions, i</w:t>
      </w:r>
      <w:r>
        <w:rPr>
          <w:rFonts w:eastAsia="Times New Roman"/>
          <w:color w:val="000000"/>
          <w:sz w:val="20"/>
          <w:szCs w:val="20"/>
        </w:rPr>
        <w:t>ncluding, among others, mortality, lapse, surrender and withdrawal rates, election rates, fund performance, market volatility and interest rates. A wide range of derivative contracts are used in these hedging programs, including exchange traded equity, cur</w:t>
      </w:r>
      <w:r>
        <w:rPr>
          <w:rFonts w:eastAsia="Times New Roman"/>
          <w:color w:val="000000"/>
          <w:sz w:val="20"/>
          <w:szCs w:val="20"/>
        </w:rPr>
        <w:t>rency and interest rate futures contracts, total return and/or other equity swaps, interest rate swap and floor contracts, bond and bond-index total return swaps, swaptions, variance swaps and equity options, credit and foreign exchange derivatives, as wel</w:t>
      </w:r>
      <w:r>
        <w:rPr>
          <w:rFonts w:eastAsia="Times New Roman"/>
          <w:color w:val="000000"/>
          <w:sz w:val="20"/>
          <w:szCs w:val="20"/>
        </w:rPr>
        <w:t>l as bond and repo transactions to support the hedging. The derivative contracts are collectively managed in an effort to reduce the economic impact of unfavorable changes in guaranteed benefits’ exposures attributable to movements in capital markets. In a</w:t>
      </w:r>
      <w:r>
        <w:rPr>
          <w:rFonts w:eastAsia="Times New Roman"/>
          <w:color w:val="000000"/>
          <w:sz w:val="20"/>
          <w:szCs w:val="20"/>
        </w:rPr>
        <w:t>ddition, as part of its hedging strategy, the Company targets an asset level for all variable annuity products at or above a CTE98 level under most economic scenarios (Conditional Tail Expectation, or “CTE”, is a statistical measure of tail risk which quan</w:t>
      </w:r>
      <w:r>
        <w:rPr>
          <w:rFonts w:eastAsia="Times New Roman"/>
          <w:color w:val="000000"/>
          <w:sz w:val="20"/>
          <w:szCs w:val="20"/>
        </w:rPr>
        <w:t xml:space="preserve">tifies the total asset requirement to sustain a loss if an event outside a given probability level has occurred. CTE98 denotes the financial resources a company would need to cover the average of the worst 2% of scenarios.) </w:t>
      </w:r>
    </w:p>
    <w:p w:rsidR="00000000" w:rsidRDefault="000C147A">
      <w:pPr>
        <w:divId w:val="1129973300"/>
        <w:rPr>
          <w:rFonts w:eastAsia="Times New Roman"/>
        </w:rPr>
      </w:pPr>
      <w:r>
        <w:rPr>
          <w:rFonts w:eastAsia="Times New Roman"/>
          <w:color w:val="000000"/>
          <w:sz w:val="20"/>
          <w:szCs w:val="20"/>
          <w:u w:val="single"/>
        </w:rPr>
        <w:t>Derivatives Utilized to Hedge E</w:t>
      </w:r>
      <w:r>
        <w:rPr>
          <w:rFonts w:eastAsia="Times New Roman"/>
          <w:color w:val="000000"/>
          <w:sz w:val="20"/>
          <w:szCs w:val="20"/>
          <w:u w:val="single"/>
        </w:rPr>
        <w:t xml:space="preserve">xposure to Variable Annuities with Guarantee Features </w:t>
      </w:r>
    </w:p>
    <w:p w:rsidR="00000000" w:rsidRDefault="000C147A">
      <w:pPr>
        <w:divId w:val="250625966"/>
        <w:rPr>
          <w:rFonts w:eastAsia="Times New Roman"/>
        </w:rPr>
      </w:pPr>
      <w:r>
        <w:rPr>
          <w:rFonts w:eastAsia="Times New Roman"/>
          <w:color w:val="000000"/>
          <w:sz w:val="20"/>
          <w:szCs w:val="20"/>
        </w:rPr>
        <w:t xml:space="preserve">The Company has issued and continues to offer variable annuity products with GMxB features. The risk associated with the GMDB feature is that under-performance of the financial markets could result in </w:t>
      </w:r>
      <w:r>
        <w:rPr>
          <w:rFonts w:eastAsia="Times New Roman"/>
          <w:color w:val="000000"/>
          <w:sz w:val="20"/>
          <w:szCs w:val="20"/>
        </w:rPr>
        <w:t xml:space="preserve">GMDB benefits, in the event of death, being higher than what accumulated policyholders’ account balances would support. The risk associated with the GMIB feature is that under-performance of the financial markets could result in the present value of GMIB, </w:t>
      </w:r>
      <w:r>
        <w:rPr>
          <w:rFonts w:eastAsia="Times New Roman"/>
          <w:color w:val="000000"/>
          <w:sz w:val="20"/>
          <w:szCs w:val="20"/>
        </w:rPr>
        <w:t>in the event of annuitization, being higher than what accumulated policyholders’ account balances would support, taking into account the relationship between current annuity purchase rates and the GMIB guaranteed annuity purchase rates. The risk associated</w:t>
      </w:r>
      <w:r>
        <w:rPr>
          <w:rFonts w:eastAsia="Times New Roman"/>
          <w:color w:val="000000"/>
          <w:sz w:val="20"/>
          <w:szCs w:val="20"/>
        </w:rPr>
        <w:t xml:space="preserve"> with products that have a GMxB derivative features liability is that under-performance of the financial markets could result in the GMxB derivative features’ benefits being higher than what accumulated policyholders’ account balances would support. </w:t>
      </w:r>
    </w:p>
    <w:p w:rsidR="00000000" w:rsidRDefault="000C147A">
      <w:pPr>
        <w:divId w:val="327026654"/>
        <w:rPr>
          <w:rFonts w:eastAsia="Times New Roman"/>
        </w:rPr>
      </w:pPr>
      <w:r>
        <w:rPr>
          <w:rFonts w:eastAsia="Times New Roman"/>
          <w:color w:val="000000"/>
          <w:sz w:val="20"/>
          <w:szCs w:val="20"/>
        </w:rPr>
        <w:t>For G</w:t>
      </w:r>
      <w:r>
        <w:rPr>
          <w:rFonts w:eastAsia="Times New Roman"/>
          <w:color w:val="000000"/>
          <w:sz w:val="20"/>
          <w:szCs w:val="20"/>
        </w:rPr>
        <w:t>MxB features, the Company retains certain risks including basis, credit spread and some volatility risk and risk associated with actual versus expected actuarial assumptions for mortality, lapse and surrender, withdrawal and policyholder election rates, am</w:t>
      </w:r>
      <w:r>
        <w:rPr>
          <w:rFonts w:eastAsia="Times New Roman"/>
          <w:color w:val="000000"/>
          <w:sz w:val="20"/>
          <w:szCs w:val="20"/>
        </w:rPr>
        <w:t>ong other things. The derivative contracts are managed to correlate with changes in the value of the GMxB features that result from financial markets movements. A portion of exposure to realized equity volatility is hedged using equity options and variance</w:t>
      </w:r>
      <w:r>
        <w:rPr>
          <w:rFonts w:eastAsia="Times New Roman"/>
          <w:color w:val="000000"/>
          <w:sz w:val="20"/>
          <w:szCs w:val="20"/>
        </w:rPr>
        <w:t xml:space="preserve"> swaps and a portion of exposure to credit risk is hedged using total return swaps on fixed income indices. Additionally, the Company is party to total return swaps for which the reference U.S. Treasury securities are contemporaneously purchased from the m</w:t>
      </w:r>
      <w:r>
        <w:rPr>
          <w:rFonts w:eastAsia="Times New Roman"/>
          <w:color w:val="000000"/>
          <w:sz w:val="20"/>
          <w:szCs w:val="20"/>
        </w:rPr>
        <w:t>arket and sold to the swap counterparty. As these transactions result in a transfer of control of the U.S. Treasury securities to the swap counterparty, the Company derecognizes these securities with consequent gain or loss from the sale. The Company has a</w:t>
      </w:r>
      <w:r>
        <w:rPr>
          <w:rFonts w:eastAsia="Times New Roman"/>
          <w:color w:val="000000"/>
          <w:sz w:val="20"/>
          <w:szCs w:val="20"/>
        </w:rPr>
        <w:t xml:space="preserve">lso purchased reinsurance contracts to mitigate the risks associated with GMDB features and the impact of potential </w:t>
      </w:r>
    </w:p>
    <w:p w:rsidR="00000000" w:rsidRDefault="000C147A">
      <w:pPr>
        <w:jc w:val="center"/>
        <w:divId w:val="1595670577"/>
        <w:rPr>
          <w:rFonts w:eastAsia="Times New Roman"/>
        </w:rPr>
      </w:pPr>
    </w:p>
    <w:p w:rsidR="00000000" w:rsidRDefault="000C147A">
      <w:pPr>
        <w:jc w:val="center"/>
        <w:divId w:val="1595670577"/>
        <w:rPr>
          <w:rFonts w:eastAsia="Times New Roman"/>
        </w:rPr>
      </w:pPr>
      <w:r>
        <w:rPr>
          <w:rFonts w:eastAsia="Times New Roman"/>
          <w:color w:val="000000"/>
          <w:sz w:val="20"/>
          <w:szCs w:val="20"/>
        </w:rPr>
        <w:t>30</w:t>
      </w:r>
    </w:p>
    <w:p w:rsidR="00000000" w:rsidRDefault="000C147A">
      <w:pPr>
        <w:rPr>
          <w:rFonts w:eastAsia="Times New Roman"/>
        </w:rPr>
      </w:pPr>
      <w:r>
        <w:rPr>
          <w:rFonts w:eastAsia="Times New Roman"/>
        </w:rPr>
        <w:pict>
          <v:rect id="_x0000_i1056" style="width:0;height:1.5pt" o:hralign="center" o:hrstd="t" o:hr="t" fillcolor="#a0a0a0" stroked="f"/>
        </w:pict>
      </w:r>
    </w:p>
    <w:p w:rsidR="00000000" w:rsidRDefault="000C147A">
      <w:pPr>
        <w:jc w:val="center"/>
        <w:divId w:val="1358653677"/>
        <w:rPr>
          <w:rFonts w:eastAsia="Times New Roman"/>
        </w:rPr>
      </w:pPr>
      <w:r>
        <w:rPr>
          <w:rFonts w:eastAsia="Times New Roman"/>
          <w:b/>
          <w:bCs/>
          <w:color w:val="000000"/>
          <w:sz w:val="20"/>
          <w:szCs w:val="20"/>
        </w:rPr>
        <w:t>EQUITABLE HOLDINGS, INC.</w:t>
      </w:r>
    </w:p>
    <w:p w:rsidR="00000000" w:rsidRDefault="000C147A">
      <w:pPr>
        <w:jc w:val="center"/>
        <w:divId w:val="1358653677"/>
        <w:rPr>
          <w:rFonts w:eastAsia="Times New Roman"/>
        </w:rPr>
      </w:pPr>
      <w:r>
        <w:rPr>
          <w:rFonts w:eastAsia="Times New Roman"/>
          <w:b/>
          <w:bCs/>
          <w:color w:val="000000"/>
          <w:sz w:val="20"/>
          <w:szCs w:val="20"/>
        </w:rPr>
        <w:t>Notes to Consolidated Financial Statements (Unaudited), Continued</w:t>
      </w:r>
    </w:p>
    <w:p w:rsidR="00000000" w:rsidRDefault="000C147A">
      <w:pPr>
        <w:divId w:val="1640302790"/>
        <w:rPr>
          <w:rFonts w:eastAsia="Times New Roman"/>
        </w:rPr>
      </w:pPr>
      <w:r>
        <w:rPr>
          <w:rFonts w:eastAsia="Times New Roman"/>
          <w:color w:val="000000"/>
          <w:sz w:val="20"/>
          <w:szCs w:val="20"/>
        </w:rPr>
        <w:t>market fluctuations on future policyholder elections of GMIB features contained in certain annuity contracts issued by the Compan</w:t>
      </w:r>
      <w:r>
        <w:rPr>
          <w:rFonts w:eastAsia="Times New Roman"/>
          <w:color w:val="000000"/>
          <w:sz w:val="20"/>
          <w:szCs w:val="20"/>
        </w:rPr>
        <w:t>y. The reinsurance of the GMIB features is accounted for as a derivative.</w:t>
      </w:r>
    </w:p>
    <w:p w:rsidR="00000000" w:rsidRDefault="000C147A">
      <w:pPr>
        <w:divId w:val="541594303"/>
        <w:rPr>
          <w:rFonts w:eastAsia="Times New Roman"/>
        </w:rPr>
      </w:pPr>
      <w:r>
        <w:rPr>
          <w:rFonts w:eastAsia="Times New Roman"/>
          <w:color w:val="000000"/>
          <w:sz w:val="20"/>
          <w:szCs w:val="20"/>
        </w:rPr>
        <w:t>The Company has in place an economic hedge program using interest rate swaps and U.S. Treasury futures to partially protect the overall profitability of future variable annuity sales</w:t>
      </w:r>
      <w:r>
        <w:rPr>
          <w:rFonts w:eastAsia="Times New Roman"/>
          <w:color w:val="000000"/>
          <w:sz w:val="20"/>
          <w:szCs w:val="20"/>
        </w:rPr>
        <w:t xml:space="preserve"> against declining interest rates.</w:t>
      </w:r>
    </w:p>
    <w:p w:rsidR="00000000" w:rsidRDefault="000C147A">
      <w:pPr>
        <w:divId w:val="1099331006"/>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rsidR="00000000" w:rsidRDefault="000C147A">
      <w:pPr>
        <w:divId w:val="424497151"/>
        <w:rPr>
          <w:rFonts w:eastAsia="Times New Roman"/>
        </w:rPr>
      </w:pPr>
      <w:r>
        <w:rPr>
          <w:rFonts w:eastAsia="Times New Roman"/>
          <w:color w:val="000000"/>
          <w:sz w:val="20"/>
          <w:szCs w:val="20"/>
        </w:rPr>
        <w:t>The Company hedges crediting rates in the Structured Capital Strategies (“SCS”) variable annuity, Structured Inve</w:t>
      </w:r>
      <w:r>
        <w:rPr>
          <w:rFonts w:eastAsia="Times New Roman"/>
          <w:color w:val="000000"/>
          <w:sz w:val="20"/>
          <w:szCs w:val="20"/>
        </w:rPr>
        <w:t>stment Option in the EQUI-VEST variable annuity series (“SIO”), Market Stabilizer Option (“MSO”) in the variable life insurance products and Indexed Universal Life (“IUL”) insurance products. These products permit the contract owner to participate in the p</w:t>
      </w:r>
      <w:r>
        <w:rPr>
          <w:rFonts w:eastAsia="Times New Roman"/>
          <w:color w:val="000000"/>
          <w:sz w:val="20"/>
          <w:szCs w:val="20"/>
        </w:rPr>
        <w:t>erformance of an index, Exchange Traded Funds (“ETF”) or commodity price movement up to a cap for a set period of time. They also contain a protection feature, in which the Company will absorb, up to a certain percentage, the loss of value in an index, ETF</w:t>
      </w:r>
      <w:r>
        <w:rPr>
          <w:rFonts w:eastAsia="Times New Roman"/>
          <w:color w:val="000000"/>
          <w:sz w:val="20"/>
          <w:szCs w:val="20"/>
        </w:rPr>
        <w:t xml:space="preserve"> or commodity price, which varies by product segment. </w:t>
      </w:r>
    </w:p>
    <w:p w:rsidR="00000000" w:rsidRDefault="000C147A">
      <w:pPr>
        <w:divId w:val="463236001"/>
        <w:rPr>
          <w:rFonts w:eastAsia="Times New Roman"/>
        </w:rPr>
      </w:pPr>
      <w:r>
        <w:rPr>
          <w:rFonts w:eastAsia="Times New Roman"/>
          <w:color w:val="000000"/>
          <w:sz w:val="20"/>
          <w:szCs w:val="20"/>
        </w:rPr>
        <w:t>In order to support the returns associated with these features, the Company enters into derivative contracts whose payouts, in combination with fixed income investments, emulate those of the index, ETF</w:t>
      </w:r>
      <w:r>
        <w:rPr>
          <w:rFonts w:eastAsia="Times New Roman"/>
          <w:color w:val="000000"/>
          <w:sz w:val="20"/>
          <w:szCs w:val="20"/>
        </w:rPr>
        <w:t xml:space="preserve"> or commodity price, subject to caps and buffers, thereby substantially reducing any exposure to market-related earnings volatility.</w:t>
      </w:r>
    </w:p>
    <w:p w:rsidR="00000000" w:rsidRDefault="000C147A">
      <w:pPr>
        <w:divId w:val="842235209"/>
        <w:rPr>
          <w:rFonts w:eastAsia="Times New Roman"/>
        </w:rPr>
      </w:pPr>
      <w:r>
        <w:rPr>
          <w:rFonts w:eastAsia="Times New Roman"/>
          <w:color w:val="000000"/>
          <w:sz w:val="20"/>
          <w:szCs w:val="20"/>
          <w:u w:val="single"/>
        </w:rPr>
        <w:t>Derivatives Used to Hedge Equity Market Risks Associated with the General Account’s Seed Money Investments in Retail Mutual</w:t>
      </w:r>
      <w:r>
        <w:rPr>
          <w:rFonts w:eastAsia="Times New Roman"/>
          <w:color w:val="000000"/>
          <w:sz w:val="20"/>
          <w:szCs w:val="20"/>
          <w:u w:val="single"/>
        </w:rPr>
        <w:t xml:space="preserve"> Funds</w:t>
      </w:r>
    </w:p>
    <w:p w:rsidR="00000000" w:rsidRDefault="000C147A">
      <w:pPr>
        <w:divId w:val="289357748"/>
        <w:rPr>
          <w:rFonts w:eastAsia="Times New Roman"/>
        </w:rPr>
      </w:pPr>
      <w:r>
        <w:rPr>
          <w:rFonts w:eastAsia="Times New Roman"/>
          <w:color w:val="000000"/>
          <w:sz w:val="20"/>
          <w:szCs w:val="20"/>
        </w:rPr>
        <w:t>The Company’s General Account seed money investments in retail mutual funds expose us to market risk, including equity market risk which is partially hedged through equity-index futures contracts to minimize such risk.</w:t>
      </w:r>
    </w:p>
    <w:p w:rsidR="00000000" w:rsidRDefault="000C147A">
      <w:pPr>
        <w:divId w:val="1941062345"/>
        <w:rPr>
          <w:rFonts w:eastAsia="Times New Roman"/>
        </w:rPr>
      </w:pPr>
      <w:r>
        <w:rPr>
          <w:rFonts w:eastAsia="Times New Roman"/>
          <w:color w:val="000000"/>
          <w:sz w:val="20"/>
          <w:szCs w:val="20"/>
          <w:u w:val="single"/>
        </w:rPr>
        <w:t>Derivatives Used to Hedge Univ</w:t>
      </w:r>
      <w:r>
        <w:rPr>
          <w:rFonts w:eastAsia="Times New Roman"/>
          <w:color w:val="000000"/>
          <w:sz w:val="20"/>
          <w:szCs w:val="20"/>
          <w:u w:val="single"/>
        </w:rPr>
        <w:t>ersal Life Products with Secondary Guarantee (“ULSG”) Policy</w:t>
      </w:r>
    </w:p>
    <w:p w:rsidR="00000000" w:rsidRDefault="000C147A">
      <w:pPr>
        <w:divId w:val="953824878"/>
        <w:rPr>
          <w:rFonts w:eastAsia="Times New Roman"/>
        </w:rPr>
      </w:pPr>
      <w:r>
        <w:rPr>
          <w:rFonts w:eastAsia="Times New Roman"/>
          <w:color w:val="000000"/>
          <w:sz w:val="20"/>
          <w:szCs w:val="20"/>
        </w:rPr>
        <w:t>The Company implemented a hedge program using fixed income total return swaps to mitigate the interest rate exposure in the ULSG policy statutory liability.</w:t>
      </w:r>
    </w:p>
    <w:p w:rsidR="00000000" w:rsidRDefault="000C147A">
      <w:pPr>
        <w:divId w:val="990132680"/>
        <w:rPr>
          <w:rFonts w:eastAsia="Times New Roman"/>
        </w:rPr>
      </w:pPr>
      <w:r>
        <w:rPr>
          <w:rFonts w:eastAsia="Times New Roman"/>
          <w:color w:val="000000"/>
          <w:sz w:val="20"/>
          <w:szCs w:val="20"/>
          <w:u w:val="single"/>
        </w:rPr>
        <w:t>Derivatives Used for General Account I</w:t>
      </w:r>
      <w:r>
        <w:rPr>
          <w:rFonts w:eastAsia="Times New Roman"/>
          <w:color w:val="000000"/>
          <w:sz w:val="20"/>
          <w:szCs w:val="20"/>
          <w:u w:val="single"/>
        </w:rPr>
        <w:t xml:space="preserve">nvestment Portfolio </w:t>
      </w:r>
    </w:p>
    <w:p w:rsidR="00000000" w:rsidRDefault="000C147A">
      <w:pPr>
        <w:divId w:val="1062605689"/>
        <w:rPr>
          <w:rFonts w:eastAsia="Times New Roman"/>
        </w:rPr>
      </w:pPr>
      <w:r>
        <w:rPr>
          <w:rFonts w:eastAsia="Times New Roman"/>
          <w:color w:val="000000"/>
          <w:sz w:val="20"/>
          <w:szCs w:val="20"/>
        </w:rPr>
        <w:t xml:space="preserve">The Company maintains a strategy in its General Account investment portfolio to replicate the credit exposure of fixed maturity securities otherwise permissible for investment under its investment guidelines through the sale of credit </w:t>
      </w:r>
      <w:r>
        <w:rPr>
          <w:rFonts w:eastAsia="Times New Roman"/>
          <w:color w:val="000000"/>
          <w:sz w:val="20"/>
          <w:szCs w:val="20"/>
        </w:rPr>
        <w:t>default swaps (“CDS”). Under the terms of these swaps, the Company receives quarterly fixed premiums that, together with any initial amount paid or received at trade inception, replicate the credit spread otherwise currently obtainable by purchasing the re</w:t>
      </w:r>
      <w:r>
        <w:rPr>
          <w:rFonts w:eastAsia="Times New Roman"/>
          <w:color w:val="000000"/>
          <w:sz w:val="20"/>
          <w:szCs w:val="20"/>
        </w:rPr>
        <w:t>ferenced entity’s bonds of similar maturity. These credit derivatives generally have remaining terms of five years or less and are recorded at fair value with changes in fair value, including the yield component that emerges from initial amounts paid or re</w:t>
      </w:r>
      <w:r>
        <w:rPr>
          <w:rFonts w:eastAsia="Times New Roman"/>
          <w:color w:val="000000"/>
          <w:sz w:val="20"/>
          <w:szCs w:val="20"/>
        </w:rPr>
        <w:t xml:space="preserve">ceived, reported in Net derivative gains (losses). </w:t>
      </w:r>
    </w:p>
    <w:p w:rsidR="00000000" w:rsidRDefault="000C147A">
      <w:pPr>
        <w:divId w:val="454829544"/>
        <w:rPr>
          <w:rFonts w:eastAsia="Times New Roman"/>
        </w:rPr>
      </w:pPr>
      <w:r>
        <w:rPr>
          <w:rFonts w:eastAsia="Times New Roman"/>
          <w:color w:val="000000"/>
          <w:sz w:val="20"/>
          <w:szCs w:val="20"/>
        </w:rPr>
        <w:t>The Company manages its credit exposure taking into consideration both cash and derivatives based positions and selects the reference entities in its replicated credit exposures in a manner consistent wit</w:t>
      </w:r>
      <w:r>
        <w:rPr>
          <w:rFonts w:eastAsia="Times New Roman"/>
          <w:color w:val="000000"/>
          <w:sz w:val="20"/>
          <w:szCs w:val="20"/>
        </w:rPr>
        <w:t xml:space="preserve">h its selection of fixed maturities. In addition, the Company generally transacts the sale of CDS in single name reference entities of investment grade credit quality and with counterparties subject to collateral posting requirements. If there is an event </w:t>
      </w:r>
      <w:r>
        <w:rPr>
          <w:rFonts w:eastAsia="Times New Roman"/>
          <w:color w:val="000000"/>
          <w:sz w:val="20"/>
          <w:szCs w:val="20"/>
        </w:rPr>
        <w:t>of default by the reference entity or other such credit event as defined under the terms of the swap contract, the Company is obligated to perform under the credit derivative and, at the counterparty’s option, either pay the referenced amount of the contra</w:t>
      </w:r>
      <w:r>
        <w:rPr>
          <w:rFonts w:eastAsia="Times New Roman"/>
          <w:color w:val="000000"/>
          <w:sz w:val="20"/>
          <w:szCs w:val="20"/>
        </w:rPr>
        <w:t>ct less an auction-determined recovery amount or pay the referenced amount of the contract and receive in return the defaulted or similar security of the reference entity for recovery by sale at the contract settlement auction. The Company purchased CDS to</w:t>
      </w:r>
      <w:r>
        <w:rPr>
          <w:rFonts w:eastAsia="Times New Roman"/>
          <w:color w:val="000000"/>
          <w:sz w:val="20"/>
          <w:szCs w:val="20"/>
        </w:rPr>
        <w:t xml:space="preserve"> mitigate its exposure to a reference entity through cash positions. These positions do not replicate credit spreads.</w:t>
      </w:r>
    </w:p>
    <w:p w:rsidR="00000000" w:rsidRDefault="000C147A">
      <w:pPr>
        <w:divId w:val="1022436836"/>
        <w:rPr>
          <w:rFonts w:eastAsia="Times New Roman"/>
        </w:rPr>
      </w:pPr>
      <w:r>
        <w:rPr>
          <w:rFonts w:eastAsia="Times New Roman"/>
          <w:color w:val="000000"/>
          <w:sz w:val="20"/>
          <w:szCs w:val="20"/>
        </w:rPr>
        <w:t>To date, there have been no events of default or circumstances indicative of a deterioration in the credit quality of the named referenced</w:t>
      </w:r>
      <w:r>
        <w:rPr>
          <w:rFonts w:eastAsia="Times New Roman"/>
          <w:color w:val="000000"/>
          <w:sz w:val="20"/>
          <w:szCs w:val="20"/>
        </w:rPr>
        <w:t xml:space="preserve"> entities to require or suggest that the Company will have to perform under these CDS. The maximum potential amount of future payments the Company could be required to make under these credit derivatives is limited to the par value of the referenced securi</w:t>
      </w:r>
      <w:r>
        <w:rPr>
          <w:rFonts w:eastAsia="Times New Roman"/>
          <w:color w:val="000000"/>
          <w:sz w:val="20"/>
          <w:szCs w:val="20"/>
        </w:rPr>
        <w:t>ties which is the dollar or euro-equivalent of the derivative’s notional amount. The Standard North American CDS Contract (“SNAC”) or Standard European Corporate Contract (“STEC”) under which the Company executes these CDS sales transactions does not conta</w:t>
      </w:r>
      <w:r>
        <w:rPr>
          <w:rFonts w:eastAsia="Times New Roman"/>
          <w:color w:val="000000"/>
          <w:sz w:val="20"/>
          <w:szCs w:val="20"/>
        </w:rPr>
        <w:t xml:space="preserve">in recourse provisions for recovery of amounts paid under the credit derivative. </w:t>
      </w:r>
    </w:p>
    <w:p w:rsidR="00000000" w:rsidRDefault="000C147A">
      <w:pPr>
        <w:divId w:val="1053195016"/>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w:t>
      </w:r>
      <w:r>
        <w:rPr>
          <w:rFonts w:eastAsia="Times New Roman"/>
          <w:color w:val="000000"/>
          <w:sz w:val="20"/>
          <w:szCs w:val="20"/>
        </w:rPr>
        <w:t xml:space="preserve">rrency basis swaps, to result in payment of the given </w:t>
      </w:r>
    </w:p>
    <w:p w:rsidR="00000000" w:rsidRDefault="000C147A">
      <w:pPr>
        <w:jc w:val="center"/>
        <w:divId w:val="144862844"/>
        <w:rPr>
          <w:rFonts w:eastAsia="Times New Roman"/>
        </w:rPr>
      </w:pPr>
    </w:p>
    <w:p w:rsidR="00000000" w:rsidRDefault="000C147A">
      <w:pPr>
        <w:jc w:val="center"/>
        <w:divId w:val="144862844"/>
        <w:rPr>
          <w:rFonts w:eastAsia="Times New Roman"/>
        </w:rPr>
      </w:pPr>
      <w:r>
        <w:rPr>
          <w:rFonts w:eastAsia="Times New Roman"/>
          <w:color w:val="000000"/>
          <w:sz w:val="20"/>
          <w:szCs w:val="20"/>
        </w:rPr>
        <w:t>31</w:t>
      </w:r>
    </w:p>
    <w:p w:rsidR="00000000" w:rsidRDefault="000C147A">
      <w:pPr>
        <w:rPr>
          <w:rFonts w:eastAsia="Times New Roman"/>
        </w:rPr>
      </w:pPr>
      <w:r>
        <w:rPr>
          <w:rFonts w:eastAsia="Times New Roman"/>
        </w:rPr>
        <w:pict>
          <v:rect id="_x0000_i1057" style="width:0;height:1.5pt" o:hralign="center" o:hrstd="t" o:hr="t" fillcolor="#a0a0a0" stroked="f"/>
        </w:pict>
      </w:r>
    </w:p>
    <w:p w:rsidR="00000000" w:rsidRDefault="000C147A">
      <w:pPr>
        <w:jc w:val="center"/>
        <w:divId w:val="692614991"/>
        <w:rPr>
          <w:rFonts w:eastAsia="Times New Roman"/>
        </w:rPr>
      </w:pPr>
      <w:r>
        <w:rPr>
          <w:rFonts w:eastAsia="Times New Roman"/>
          <w:b/>
          <w:bCs/>
          <w:color w:val="000000"/>
          <w:sz w:val="20"/>
          <w:szCs w:val="20"/>
        </w:rPr>
        <w:t>EQUITABLE HOLDINGS, INC.</w:t>
      </w:r>
    </w:p>
    <w:p w:rsidR="00000000" w:rsidRDefault="000C147A">
      <w:pPr>
        <w:jc w:val="center"/>
        <w:divId w:val="692614991"/>
        <w:rPr>
          <w:rFonts w:eastAsia="Times New Roman"/>
        </w:rPr>
      </w:pPr>
      <w:r>
        <w:rPr>
          <w:rFonts w:eastAsia="Times New Roman"/>
          <w:b/>
          <w:bCs/>
          <w:color w:val="000000"/>
          <w:sz w:val="20"/>
          <w:szCs w:val="20"/>
        </w:rPr>
        <w:t>Notes to Consolidated Financial Statements (Unaudited), Continued</w:t>
      </w:r>
    </w:p>
    <w:p w:rsidR="00000000" w:rsidRDefault="000C147A">
      <w:pPr>
        <w:divId w:val="1299460513"/>
        <w:rPr>
          <w:rFonts w:eastAsia="Times New Roman"/>
        </w:rPr>
      </w:pPr>
      <w:r>
        <w:rPr>
          <w:rFonts w:eastAsia="Times New Roman"/>
          <w:color w:val="000000"/>
          <w:sz w:val="20"/>
          <w:szCs w:val="20"/>
        </w:rPr>
        <w:t>bond’s coupons and principal at maturity in the bond’s specified curr</w:t>
      </w:r>
      <w:r>
        <w:rPr>
          <w:rFonts w:eastAsia="Times New Roman"/>
          <w:color w:val="000000"/>
          <w:sz w:val="20"/>
          <w:szCs w:val="20"/>
        </w:rPr>
        <w:t>ency to the swap counterparty in return for fixed dollar amounts. These swaps, when considered in combination with the bonds, together result in a net position that is intended to replicate a dollar-denominated fixed-coupon cash bond with a yield higher th</w:t>
      </w:r>
      <w:r>
        <w:rPr>
          <w:rFonts w:eastAsia="Times New Roman"/>
          <w:color w:val="000000"/>
          <w:sz w:val="20"/>
          <w:szCs w:val="20"/>
        </w:rPr>
        <w:t xml:space="preserve">an a term-equivalent U.S. Treasury bond. </w:t>
      </w:r>
    </w:p>
    <w:p w:rsidR="00000000" w:rsidRDefault="000C147A">
      <w:pPr>
        <w:divId w:val="324018432"/>
        <w:rPr>
          <w:rFonts w:eastAsia="Times New Roman"/>
        </w:rPr>
      </w:pPr>
      <w:r>
        <w:rPr>
          <w:rFonts w:eastAsia="Times New Roman"/>
          <w:color w:val="000000"/>
          <w:sz w:val="20"/>
          <w:szCs w:val="20"/>
        </w:rPr>
        <w:t>The tables below present quantitative disclosures about the Company’s derivative instruments, including those embedded in other contracts required to be accounted for as derivative instruments.</w:t>
      </w:r>
    </w:p>
    <w:p w:rsidR="00000000" w:rsidRDefault="000C147A">
      <w:pPr>
        <w:jc w:val="center"/>
        <w:rPr>
          <w:rFonts w:eastAsia="Times New Roman"/>
        </w:rPr>
      </w:pPr>
      <w:r>
        <w:rPr>
          <w:rFonts w:eastAsia="Times New Roman"/>
          <w:b/>
          <w:bCs/>
          <w:color w:val="000000"/>
          <w:sz w:val="20"/>
          <w:szCs w:val="20"/>
        </w:rPr>
        <w:t>Derivative Instrumen</w:t>
      </w:r>
      <w:r>
        <w:rPr>
          <w:rFonts w:eastAsia="Times New Roman"/>
          <w:b/>
          <w:bCs/>
          <w:color w:val="000000"/>
          <w:sz w:val="20"/>
          <w:szCs w:val="20"/>
        </w:rPr>
        <w:t>ts by Category</w:t>
      </w:r>
    </w:p>
    <w:tbl>
      <w:tblPr>
        <w:tblW w:w="4554" w:type="pct"/>
        <w:tblCellMar>
          <w:top w:w="15" w:type="dxa"/>
          <w:left w:w="15" w:type="dxa"/>
          <w:bottom w:w="15" w:type="dxa"/>
          <w:right w:w="15" w:type="dxa"/>
        </w:tblCellMar>
        <w:tblLook w:val="04A0" w:firstRow="1" w:lastRow="0" w:firstColumn="1" w:lastColumn="0" w:noHBand="0" w:noVBand="1"/>
      </w:tblPr>
      <w:tblGrid>
        <w:gridCol w:w="39"/>
        <w:gridCol w:w="2989"/>
        <w:gridCol w:w="38"/>
        <w:gridCol w:w="120"/>
        <w:gridCol w:w="833"/>
        <w:gridCol w:w="36"/>
        <w:gridCol w:w="36"/>
        <w:gridCol w:w="36"/>
        <w:gridCol w:w="36"/>
        <w:gridCol w:w="121"/>
        <w:gridCol w:w="787"/>
        <w:gridCol w:w="36"/>
        <w:gridCol w:w="36"/>
        <w:gridCol w:w="36"/>
        <w:gridCol w:w="36"/>
        <w:gridCol w:w="121"/>
        <w:gridCol w:w="788"/>
        <w:gridCol w:w="36"/>
        <w:gridCol w:w="36"/>
        <w:gridCol w:w="36"/>
        <w:gridCol w:w="36"/>
        <w:gridCol w:w="121"/>
        <w:gridCol w:w="1140"/>
        <w:gridCol w:w="36"/>
      </w:tblGrid>
      <w:tr w:rsidR="00000000">
        <w:trPr>
          <w:divId w:val="495455958"/>
        </w:trPr>
        <w:tc>
          <w:tcPr>
            <w:tcW w:w="50" w:type="pct"/>
            <w:vAlign w:val="center"/>
            <w:hideMark/>
          </w:tcPr>
          <w:p w:rsidR="00000000" w:rsidRDefault="000C147A">
            <w:pPr>
              <w:jc w:val="center"/>
              <w:rPr>
                <w:rFonts w:eastAsia="Times New Roman"/>
              </w:rPr>
            </w:pPr>
          </w:p>
        </w:tc>
        <w:tc>
          <w:tcPr>
            <w:tcW w:w="202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495455958"/>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At 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2020</w:t>
            </w:r>
          </w:p>
        </w:tc>
      </w:tr>
      <w:tr w:rsidR="00000000">
        <w:trPr>
          <w:divId w:val="495455958"/>
          <w:trHeight w:val="24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divId w:val="350842842"/>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ign w:val="center"/>
            <w:hideMark/>
          </w:tcPr>
          <w:p w:rsidR="00000000" w:rsidRDefault="000C147A">
            <w:pPr>
              <w:rPr>
                <w:rFonts w:eastAsia="Times New Roman"/>
              </w:rPr>
            </w:pPr>
          </w:p>
        </w:tc>
      </w:tr>
      <w:tr w:rsidR="00000000">
        <w:trPr>
          <w:divId w:val="495455958"/>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Derivative Liabilities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Derivative Gains (Losses) (2)</w:t>
            </w:r>
          </w:p>
        </w:tc>
      </w:tr>
      <w:tr w:rsidR="00000000">
        <w:trPr>
          <w:divId w:val="49545595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49545595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Freestanding derivatives (1):</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20,718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31,750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19,922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GMxB derivative features liability (4)</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FFFFFF"/>
            <w:tcMar>
              <w:top w:w="30" w:type="dxa"/>
              <w:left w:w="225" w:type="dxa"/>
              <w:bottom w:w="30" w:type="dxa"/>
              <w:right w:w="20" w:type="dxa"/>
            </w:tcMar>
            <w:vAlign w:val="center"/>
            <w:hideMark/>
          </w:tcPr>
          <w:p w:rsidR="00000000" w:rsidRDefault="000C147A">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495455958"/>
        </w:trPr>
        <w:tc>
          <w:tcPr>
            <w:tcW w:w="0" w:type="auto"/>
            <w:gridSpan w:val="3"/>
            <w:shd w:val="clear" w:color="auto" w:fill="CCEEFF"/>
            <w:tcMar>
              <w:top w:w="30" w:type="dxa"/>
              <w:left w:w="20" w:type="dxa"/>
              <w:bottom w:w="30" w:type="dxa"/>
              <w:right w:w="20" w:type="dxa"/>
            </w:tcMar>
            <w:vAlign w:val="bottom"/>
            <w:hideMark/>
          </w:tcPr>
          <w:p w:rsidR="00000000" w:rsidRDefault="000C147A">
            <w:pPr>
              <w:divId w:val="726883122"/>
              <w:rPr>
                <w:rFonts w:eastAsia="Times New Roman"/>
              </w:rPr>
            </w:pPr>
            <w:r>
              <w:rPr>
                <w:rFonts w:eastAsia="Times New Roman"/>
                <w:b/>
                <w:bCs/>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102,844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10,217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23,085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9545595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720"/>
        <w:divId w:val="819735408"/>
        <w:rPr>
          <w:rFonts w:eastAsia="Times New Roman"/>
        </w:rPr>
      </w:pPr>
      <w:r>
        <w:rPr>
          <w:rFonts w:eastAsia="Times New Roman"/>
          <w:color w:val="000000"/>
          <w:sz w:val="18"/>
          <w:szCs w:val="18"/>
        </w:rPr>
        <w:t>______________</w:t>
      </w:r>
    </w:p>
    <w:p w:rsidR="00000000" w:rsidRDefault="000C147A">
      <w:pPr>
        <w:ind w:hanging="360"/>
        <w:divId w:val="182280587"/>
        <w:rPr>
          <w:rFonts w:eastAsia="Times New Roman"/>
        </w:rPr>
      </w:pPr>
      <w:r>
        <w:rPr>
          <w:rFonts w:eastAsia="Times New Roman"/>
          <w:color w:val="000000"/>
          <w:sz w:val="18"/>
          <w:szCs w:val="18"/>
        </w:rPr>
        <w:t>(1)Reported in Other invested assets in the consolidated balance sheets.</w:t>
      </w:r>
    </w:p>
    <w:p w:rsidR="00000000" w:rsidRDefault="000C147A">
      <w:pPr>
        <w:ind w:hanging="360"/>
        <w:divId w:val="997265303"/>
        <w:rPr>
          <w:rFonts w:eastAsia="Times New Roman"/>
        </w:rPr>
      </w:pPr>
      <w:r>
        <w:rPr>
          <w:rFonts w:eastAsia="Times New Roman"/>
          <w:color w:val="000000"/>
          <w:sz w:val="18"/>
          <w:szCs w:val="18"/>
        </w:rPr>
        <w:t>(2)</w:t>
      </w:r>
      <w:r>
        <w:rPr>
          <w:rFonts w:eastAsia="Times New Roman"/>
          <w:color w:val="000000"/>
          <w:sz w:val="18"/>
          <w:szCs w:val="18"/>
        </w:rPr>
        <w:t>Reported in Net derivative gains (losses) in the consolidated statements of income (loss).</w:t>
      </w:r>
    </w:p>
    <w:p w:rsidR="00000000" w:rsidRDefault="000C147A">
      <w:pPr>
        <w:ind w:hanging="360"/>
        <w:divId w:val="308168784"/>
        <w:rPr>
          <w:rFonts w:eastAsia="Times New Roman"/>
        </w:rPr>
      </w:pPr>
      <w:r>
        <w:rPr>
          <w:rFonts w:eastAsia="Times New Roman"/>
          <w:color w:val="000000"/>
          <w:sz w:val="18"/>
          <w:szCs w:val="18"/>
        </w:rPr>
        <w:t>(3)Reported in GMIB reinsurance contract asset in the consolidated balance sheets.</w:t>
      </w:r>
    </w:p>
    <w:p w:rsidR="00000000" w:rsidRDefault="000C147A">
      <w:pPr>
        <w:ind w:hanging="360"/>
        <w:divId w:val="927420578"/>
        <w:rPr>
          <w:rFonts w:eastAsia="Times New Roman"/>
        </w:rPr>
      </w:pPr>
      <w:r>
        <w:rPr>
          <w:rFonts w:eastAsia="Times New Roman"/>
          <w:color w:val="000000"/>
          <w:sz w:val="18"/>
          <w:szCs w:val="18"/>
        </w:rPr>
        <w:t xml:space="preserve">(4)Reported in Future policy benefits and other policyholders’ liabilities in the </w:t>
      </w:r>
      <w:r>
        <w:rPr>
          <w:rFonts w:eastAsia="Times New Roman"/>
          <w:color w:val="000000"/>
          <w:sz w:val="18"/>
          <w:szCs w:val="18"/>
        </w:rPr>
        <w:t>consolidated balance sheets.</w:t>
      </w:r>
    </w:p>
    <w:p w:rsidR="00000000" w:rsidRDefault="000C147A">
      <w:pPr>
        <w:ind w:hanging="360"/>
        <w:divId w:val="2016418092"/>
        <w:rPr>
          <w:rFonts w:eastAsia="Times New Roman"/>
        </w:rPr>
      </w:pPr>
      <w:r>
        <w:rPr>
          <w:rFonts w:eastAsia="Times New Roman"/>
          <w:color w:val="000000"/>
          <w:sz w:val="18"/>
          <w:szCs w:val="18"/>
        </w:rPr>
        <w:t>(5)Reported in Policyholders’ account balances in the consolidated balance sheets.</w:t>
      </w:r>
    </w:p>
    <w:p w:rsidR="00000000" w:rsidRDefault="000C147A">
      <w:pPr>
        <w:jc w:val="center"/>
        <w:divId w:val="720206592"/>
        <w:rPr>
          <w:rFonts w:eastAsia="Times New Roman"/>
        </w:rPr>
      </w:pPr>
    </w:p>
    <w:p w:rsidR="00000000" w:rsidRDefault="000C147A">
      <w:pPr>
        <w:jc w:val="center"/>
        <w:divId w:val="720206592"/>
        <w:rPr>
          <w:rFonts w:eastAsia="Times New Roman"/>
        </w:rPr>
      </w:pPr>
      <w:r>
        <w:rPr>
          <w:rFonts w:eastAsia="Times New Roman"/>
          <w:color w:val="000000"/>
          <w:sz w:val="20"/>
          <w:szCs w:val="20"/>
        </w:rPr>
        <w:t>32</w:t>
      </w:r>
    </w:p>
    <w:p w:rsidR="00000000" w:rsidRDefault="000C147A">
      <w:pPr>
        <w:rPr>
          <w:rFonts w:eastAsia="Times New Roman"/>
        </w:rPr>
      </w:pPr>
      <w:r>
        <w:rPr>
          <w:rFonts w:eastAsia="Times New Roman"/>
        </w:rPr>
        <w:pict>
          <v:rect id="_x0000_i1058" style="width:0;height:1.5pt" o:hralign="center" o:hrstd="t" o:hr="t" fillcolor="#a0a0a0" stroked="f"/>
        </w:pict>
      </w:r>
    </w:p>
    <w:p w:rsidR="00000000" w:rsidRDefault="000C147A">
      <w:pPr>
        <w:jc w:val="center"/>
        <w:divId w:val="972712176"/>
        <w:rPr>
          <w:rFonts w:eastAsia="Times New Roman"/>
        </w:rPr>
      </w:pPr>
      <w:r>
        <w:rPr>
          <w:rFonts w:eastAsia="Times New Roman"/>
          <w:b/>
          <w:bCs/>
          <w:color w:val="000000"/>
          <w:sz w:val="20"/>
          <w:szCs w:val="20"/>
        </w:rPr>
        <w:t>EQUITABLE HOLDINGS, INC.</w:t>
      </w:r>
    </w:p>
    <w:p w:rsidR="00000000" w:rsidRDefault="000C147A">
      <w:pPr>
        <w:jc w:val="center"/>
        <w:divId w:val="972712176"/>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Derivative Instruments by Category</w:t>
      </w:r>
    </w:p>
    <w:tbl>
      <w:tblPr>
        <w:tblW w:w="4554" w:type="pct"/>
        <w:tblCellMar>
          <w:top w:w="15" w:type="dxa"/>
          <w:left w:w="15" w:type="dxa"/>
          <w:bottom w:w="15" w:type="dxa"/>
          <w:right w:w="15" w:type="dxa"/>
        </w:tblCellMar>
        <w:tblLook w:val="04A0" w:firstRow="1" w:lastRow="0" w:firstColumn="1" w:lastColumn="0" w:noHBand="0" w:noVBand="1"/>
      </w:tblPr>
      <w:tblGrid>
        <w:gridCol w:w="40"/>
        <w:gridCol w:w="2988"/>
        <w:gridCol w:w="39"/>
        <w:gridCol w:w="120"/>
        <w:gridCol w:w="833"/>
        <w:gridCol w:w="36"/>
        <w:gridCol w:w="36"/>
        <w:gridCol w:w="36"/>
        <w:gridCol w:w="36"/>
        <w:gridCol w:w="121"/>
        <w:gridCol w:w="787"/>
        <w:gridCol w:w="36"/>
        <w:gridCol w:w="36"/>
        <w:gridCol w:w="36"/>
        <w:gridCol w:w="36"/>
        <w:gridCol w:w="120"/>
        <w:gridCol w:w="789"/>
        <w:gridCol w:w="36"/>
        <w:gridCol w:w="36"/>
        <w:gridCol w:w="36"/>
        <w:gridCol w:w="36"/>
        <w:gridCol w:w="120"/>
        <w:gridCol w:w="1140"/>
        <w:gridCol w:w="36"/>
      </w:tblGrid>
      <w:tr w:rsidR="00000000">
        <w:trPr>
          <w:divId w:val="871959800"/>
        </w:trPr>
        <w:tc>
          <w:tcPr>
            <w:tcW w:w="50" w:type="pct"/>
            <w:vAlign w:val="center"/>
            <w:hideMark/>
          </w:tcPr>
          <w:p w:rsidR="00000000" w:rsidRDefault="000C147A">
            <w:pPr>
              <w:jc w:val="center"/>
              <w:rPr>
                <w:rFonts w:eastAsia="Times New Roman"/>
              </w:rPr>
            </w:pPr>
          </w:p>
        </w:tc>
        <w:tc>
          <w:tcPr>
            <w:tcW w:w="202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71959800"/>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At December 31,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Nine Months Ended September 30, 2019</w:t>
            </w:r>
          </w:p>
        </w:tc>
      </w:tr>
      <w:tr w:rsidR="00000000">
        <w:trPr>
          <w:divId w:val="871959800"/>
          <w:trHeight w:val="240"/>
        </w:trPr>
        <w:tc>
          <w:tcPr>
            <w:tcW w:w="0" w:type="auto"/>
            <w:gridSpan w:val="3"/>
            <w:tcMar>
              <w:top w:w="30" w:type="dxa"/>
              <w:left w:w="20" w:type="dxa"/>
              <w:bottom w:w="30" w:type="dxa"/>
              <w:right w:w="20" w:type="dxa"/>
            </w:tcMar>
            <w:vAlign w:val="bottom"/>
            <w:hideMark/>
          </w:tcPr>
          <w:p w:rsidR="00000000" w:rsidRDefault="000C147A">
            <w:pPr>
              <w:divId w:val="1514103465"/>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r>
      <w:tr w:rsidR="00000000">
        <w:trPr>
          <w:divId w:val="871959800"/>
        </w:trPr>
        <w:tc>
          <w:tcPr>
            <w:tcW w:w="0" w:type="auto"/>
            <w:gridSpan w:val="3"/>
            <w:tcMar>
              <w:top w:w="30" w:type="dxa"/>
              <w:left w:w="20" w:type="dxa"/>
              <w:bottom w:w="30" w:type="dxa"/>
              <w:right w:w="20" w:type="dxa"/>
            </w:tcMar>
            <w:vAlign w:val="bottom"/>
            <w:hideMark/>
          </w:tcPr>
          <w:p w:rsidR="00000000" w:rsidRDefault="000C147A">
            <w:pPr>
              <w:divId w:val="66879099"/>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Derivative</w:t>
            </w:r>
            <w:r>
              <w:rPr>
                <w:rFonts w:eastAsia="Times New Roman"/>
                <w:color w:val="000000"/>
                <w:sz w:val="16"/>
                <w:szCs w:val="16"/>
              </w:rPr>
              <w:br/>
              <w:t>Liabilities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Net Derivative</w:t>
            </w:r>
            <w:r>
              <w:rPr>
                <w:rFonts w:eastAsia="Times New Roman"/>
                <w:color w:val="000000"/>
                <w:sz w:val="16"/>
                <w:szCs w:val="16"/>
              </w:rPr>
              <w:br/>
              <w:t>Gains (Losses) (2)</w:t>
            </w:r>
          </w:p>
        </w:tc>
      </w:tr>
      <w:tr w:rsidR="00000000">
        <w:trPr>
          <w:divId w:val="87195980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(in millions)</w:t>
            </w:r>
          </w:p>
        </w:tc>
      </w:tr>
      <w:tr w:rsidR="00000000">
        <w:trPr>
          <w:divId w:val="871959800"/>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Freestanding derivatives (1):</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17,156 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(1,279)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47,861 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23,793 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20,901 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GMxB derivative features liability (4)</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(3,677)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FFFFFF"/>
            <w:tcMar>
              <w:top w:w="30" w:type="dxa"/>
              <w:left w:w="225" w:type="dxa"/>
              <w:bottom w:w="30" w:type="dxa"/>
              <w:right w:w="20" w:type="dxa"/>
            </w:tcMar>
            <w:vAlign w:val="center"/>
            <w:hideMark/>
          </w:tcPr>
          <w:p w:rsidR="00000000" w:rsidRDefault="000C147A">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71959800"/>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119,128 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7195980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303971521"/>
        <w:rPr>
          <w:rFonts w:eastAsia="Times New Roman"/>
        </w:rPr>
      </w:pPr>
      <w:r>
        <w:rPr>
          <w:rFonts w:eastAsia="Times New Roman"/>
          <w:color w:val="000000"/>
          <w:sz w:val="18"/>
          <w:szCs w:val="18"/>
        </w:rPr>
        <w:t>______________</w:t>
      </w:r>
    </w:p>
    <w:p w:rsidR="00000000" w:rsidRDefault="000C147A">
      <w:pPr>
        <w:ind w:hanging="360"/>
        <w:divId w:val="1572734462"/>
        <w:rPr>
          <w:rFonts w:eastAsia="Times New Roman"/>
        </w:rPr>
      </w:pPr>
      <w:r>
        <w:rPr>
          <w:rFonts w:eastAsia="Times New Roman"/>
          <w:color w:val="000000"/>
          <w:sz w:val="18"/>
          <w:szCs w:val="18"/>
        </w:rPr>
        <w:t>(1)Reported in Other invested assets in the consolidated balance sheets.</w:t>
      </w:r>
    </w:p>
    <w:p w:rsidR="00000000" w:rsidRDefault="000C147A">
      <w:pPr>
        <w:ind w:hanging="360"/>
        <w:divId w:val="1700667231"/>
        <w:rPr>
          <w:rFonts w:eastAsia="Times New Roman"/>
        </w:rPr>
      </w:pPr>
      <w:r>
        <w:rPr>
          <w:rFonts w:eastAsia="Times New Roman"/>
          <w:color w:val="000000"/>
          <w:sz w:val="18"/>
          <w:szCs w:val="18"/>
        </w:rPr>
        <w:t>(2)Reported in Net derivative gains (losses) in the consolidated statements of income (loss).</w:t>
      </w:r>
    </w:p>
    <w:p w:rsidR="00000000" w:rsidRDefault="000C147A">
      <w:pPr>
        <w:ind w:hanging="360"/>
        <w:divId w:val="387873766"/>
        <w:rPr>
          <w:rFonts w:eastAsia="Times New Roman"/>
        </w:rPr>
      </w:pPr>
      <w:r>
        <w:rPr>
          <w:rFonts w:eastAsia="Times New Roman"/>
          <w:color w:val="000000"/>
          <w:sz w:val="18"/>
          <w:szCs w:val="18"/>
        </w:rPr>
        <w:t>(3)Reported in GMIB reinsurance contract asset in the consolidated balance</w:t>
      </w:r>
      <w:r>
        <w:rPr>
          <w:rFonts w:eastAsia="Times New Roman"/>
          <w:color w:val="000000"/>
          <w:sz w:val="18"/>
          <w:szCs w:val="18"/>
        </w:rPr>
        <w:t xml:space="preserve"> sheets.</w:t>
      </w:r>
    </w:p>
    <w:p w:rsidR="00000000" w:rsidRDefault="000C147A">
      <w:pPr>
        <w:ind w:hanging="360"/>
        <w:divId w:val="1585259392"/>
        <w:rPr>
          <w:rFonts w:eastAsia="Times New Roman"/>
        </w:rPr>
      </w:pPr>
      <w:r>
        <w:rPr>
          <w:rFonts w:eastAsia="Times New Roman"/>
          <w:color w:val="000000"/>
          <w:sz w:val="18"/>
          <w:szCs w:val="18"/>
        </w:rPr>
        <w:t xml:space="preserve">(4)Reported in Future policy benefits and other policyholders’ liabilities in the consolidated balance sheets. </w:t>
      </w:r>
    </w:p>
    <w:p w:rsidR="00000000" w:rsidRDefault="000C147A">
      <w:pPr>
        <w:ind w:hanging="360"/>
        <w:divId w:val="1977833952"/>
        <w:rPr>
          <w:rFonts w:eastAsia="Times New Roman"/>
        </w:rPr>
      </w:pPr>
      <w:r>
        <w:rPr>
          <w:rFonts w:eastAsia="Times New Roman"/>
          <w:color w:val="000000"/>
          <w:sz w:val="18"/>
          <w:szCs w:val="18"/>
        </w:rPr>
        <w:t>(5)Reported in Policyholders’ account balances in the consolidated balance sheets.</w:t>
      </w:r>
    </w:p>
    <w:p w:rsidR="00000000" w:rsidRDefault="000C147A">
      <w:pPr>
        <w:divId w:val="425734267"/>
        <w:rPr>
          <w:rFonts w:eastAsia="Times New Roman"/>
        </w:rPr>
      </w:pPr>
      <w:r>
        <w:rPr>
          <w:rFonts w:eastAsia="Times New Roman"/>
          <w:color w:val="000000"/>
          <w:sz w:val="20"/>
          <w:szCs w:val="20"/>
          <w:u w:val="single"/>
        </w:rPr>
        <w:t>Equity-Based and Treasury Futures Contracts Margin</w:t>
      </w:r>
    </w:p>
    <w:p w:rsidR="00000000" w:rsidRDefault="000C147A">
      <w:pPr>
        <w:divId w:val="1692148299"/>
        <w:rPr>
          <w:rFonts w:eastAsia="Times New Roman"/>
        </w:rPr>
      </w:pPr>
      <w:r>
        <w:rPr>
          <w:rFonts w:eastAsia="Times New Roman"/>
          <w:color w:val="000000"/>
          <w:sz w:val="20"/>
          <w:szCs w:val="20"/>
        </w:rPr>
        <w:t>All outstanding equity-based and treasury futures contracts at September 30, 2020 and December 31, 2019 are exchange-traded and net settled daily in cash. At September 30, 2020 and December 31, 2019, respe</w:t>
      </w:r>
      <w:r>
        <w:rPr>
          <w:rFonts w:eastAsia="Times New Roman"/>
          <w:color w:val="000000"/>
          <w:sz w:val="20"/>
          <w:szCs w:val="20"/>
        </w:rPr>
        <w:t>ctively, the Company had open exchange-traded futures positions on: (i) the S&amp;P 500, Russell 2000 and Emerging Market indices, having initial margin requirements of $381 million and $252 million, (ii) the 2-year, 5-year and 10-year U.S. Treasury Notes on U</w:t>
      </w:r>
      <w:r>
        <w:rPr>
          <w:rFonts w:eastAsia="Times New Roman"/>
          <w:color w:val="000000"/>
          <w:sz w:val="20"/>
          <w:szCs w:val="20"/>
        </w:rPr>
        <w:t>.S. Treasury bonds and ultra-long bonds, having initial margin requirements of $315 million and $166 million, and (iii) the Euro Stoxx, FTSE 100, Topix, ASX 200 and European, Australasia, and Far East (“EAFE”) indices as well as corresponding currency futu</w:t>
      </w:r>
      <w:r>
        <w:rPr>
          <w:rFonts w:eastAsia="Times New Roman"/>
          <w:color w:val="000000"/>
          <w:sz w:val="20"/>
          <w:szCs w:val="20"/>
        </w:rPr>
        <w:t>res on the Euro/U.S. dollar, Pound/U.S. dollar, Australian dollar/U.S. dollar, and Yen/U.S. dollar, having initial margin requirements of $40 million and $60 million.</w:t>
      </w:r>
    </w:p>
    <w:p w:rsidR="00000000" w:rsidRDefault="000C147A">
      <w:pPr>
        <w:divId w:val="626934524"/>
        <w:rPr>
          <w:rFonts w:eastAsia="Times New Roman"/>
        </w:rPr>
      </w:pPr>
      <w:r>
        <w:rPr>
          <w:rFonts w:eastAsia="Times New Roman"/>
          <w:color w:val="000000"/>
          <w:sz w:val="20"/>
          <w:szCs w:val="20"/>
          <w:u w:val="single"/>
        </w:rPr>
        <w:t>Collateral Arrangements</w:t>
      </w:r>
    </w:p>
    <w:p w:rsidR="00000000" w:rsidRDefault="000C147A">
      <w:pPr>
        <w:divId w:val="1442871484"/>
        <w:rPr>
          <w:rFonts w:eastAsia="Times New Roman"/>
        </w:rPr>
      </w:pPr>
      <w:r>
        <w:rPr>
          <w:rFonts w:eastAsia="Times New Roman"/>
          <w:color w:val="000000"/>
          <w:sz w:val="20"/>
          <w:szCs w:val="20"/>
        </w:rPr>
        <w:t>The Company generally has executed a Credit Support Annex (“CSA”)</w:t>
      </w:r>
      <w:r>
        <w:rPr>
          <w:rFonts w:eastAsia="Times New Roman"/>
          <w:color w:val="000000"/>
          <w:sz w:val="20"/>
          <w:szCs w:val="20"/>
        </w:rPr>
        <w:t xml:space="preserve"> under the International Swaps and Derivatives Association Master Agreement (“ISDA Master Agreement”) it maintains with each of its over-the-counter (“OTC”) derivative counterparties that requires both posting and accepting collateral either in the form of</w:t>
      </w:r>
      <w:r>
        <w:rPr>
          <w:rFonts w:eastAsia="Times New Roman"/>
          <w:color w:val="000000"/>
          <w:sz w:val="20"/>
          <w:szCs w:val="20"/>
        </w:rPr>
        <w:t xml:space="preserve"> cash or high-quality securities, such as U.S. Treasury securities, U.S. government and government agency securities and investment grade corporate bonds. The Company nets the fair value of all derivative financial instruments with counterparties for which</w:t>
      </w:r>
      <w:r>
        <w:rPr>
          <w:rFonts w:eastAsia="Times New Roman"/>
          <w:color w:val="000000"/>
          <w:sz w:val="20"/>
          <w:szCs w:val="20"/>
        </w:rPr>
        <w:t xml:space="preserve"> </w:t>
      </w:r>
    </w:p>
    <w:p w:rsidR="00000000" w:rsidRDefault="000C147A">
      <w:pPr>
        <w:jc w:val="center"/>
        <w:divId w:val="1904829550"/>
        <w:rPr>
          <w:rFonts w:eastAsia="Times New Roman"/>
        </w:rPr>
      </w:pPr>
    </w:p>
    <w:p w:rsidR="00000000" w:rsidRDefault="000C147A">
      <w:pPr>
        <w:jc w:val="center"/>
        <w:divId w:val="1904829550"/>
        <w:rPr>
          <w:rFonts w:eastAsia="Times New Roman"/>
        </w:rPr>
      </w:pPr>
      <w:r>
        <w:rPr>
          <w:rFonts w:eastAsia="Times New Roman"/>
          <w:color w:val="000000"/>
          <w:sz w:val="20"/>
          <w:szCs w:val="20"/>
        </w:rPr>
        <w:t>33</w:t>
      </w:r>
    </w:p>
    <w:p w:rsidR="00000000" w:rsidRDefault="000C147A">
      <w:pPr>
        <w:rPr>
          <w:rFonts w:eastAsia="Times New Roman"/>
        </w:rPr>
      </w:pPr>
      <w:r>
        <w:rPr>
          <w:rFonts w:eastAsia="Times New Roman"/>
        </w:rPr>
        <w:pict>
          <v:rect id="_x0000_i1059" style="width:0;height:1.5pt" o:hralign="center" o:hrstd="t" o:hr="t" fillcolor="#a0a0a0" stroked="f"/>
        </w:pict>
      </w:r>
    </w:p>
    <w:p w:rsidR="00000000" w:rsidRDefault="000C147A">
      <w:pPr>
        <w:jc w:val="center"/>
        <w:divId w:val="1396734927"/>
        <w:rPr>
          <w:rFonts w:eastAsia="Times New Roman"/>
        </w:rPr>
      </w:pPr>
      <w:r>
        <w:rPr>
          <w:rFonts w:eastAsia="Times New Roman"/>
          <w:b/>
          <w:bCs/>
          <w:color w:val="000000"/>
          <w:sz w:val="20"/>
          <w:szCs w:val="20"/>
        </w:rPr>
        <w:t>EQUITABLE HOLDINGS, INC.</w:t>
      </w:r>
    </w:p>
    <w:p w:rsidR="00000000" w:rsidRDefault="000C147A">
      <w:pPr>
        <w:jc w:val="center"/>
        <w:divId w:val="1396734927"/>
        <w:rPr>
          <w:rFonts w:eastAsia="Times New Roman"/>
        </w:rPr>
      </w:pPr>
      <w:r>
        <w:rPr>
          <w:rFonts w:eastAsia="Times New Roman"/>
          <w:b/>
          <w:bCs/>
          <w:color w:val="000000"/>
          <w:sz w:val="20"/>
          <w:szCs w:val="20"/>
        </w:rPr>
        <w:t>Notes to Consolidated Financial Statements (Unaudited), Continued</w:t>
      </w:r>
    </w:p>
    <w:p w:rsidR="00000000" w:rsidRDefault="000C147A">
      <w:pPr>
        <w:divId w:val="1773745867"/>
        <w:rPr>
          <w:rFonts w:eastAsia="Times New Roman"/>
        </w:rPr>
      </w:pPr>
      <w:r>
        <w:rPr>
          <w:rFonts w:eastAsia="Times New Roman"/>
          <w:color w:val="000000"/>
          <w:sz w:val="20"/>
          <w:szCs w:val="20"/>
        </w:rPr>
        <w:t>an ISDA Master Agreement and related CSA have been executed. At September 30, 2020 and December 31, 2019, respectively, t</w:t>
      </w:r>
      <w:r>
        <w:rPr>
          <w:rFonts w:eastAsia="Times New Roman"/>
          <w:color w:val="000000"/>
          <w:sz w:val="20"/>
          <w:szCs w:val="20"/>
        </w:rPr>
        <w:t xml:space="preserve">he Company held $5.0 billion and $3.0 billion in cash and securities collateral delivered by trade counterparties, representing the fair value of the related derivative agreements. The unrestricted cash collateral is reported in Other invested assets. The </w:t>
      </w:r>
      <w:r>
        <w:rPr>
          <w:rFonts w:eastAsia="Times New Roman"/>
          <w:color w:val="000000"/>
          <w:sz w:val="20"/>
          <w:szCs w:val="20"/>
        </w:rPr>
        <w:t xml:space="preserve">Company posted collateral of $14 million and $74 million at September 30, 2020 and December 31, 2019, respectively, in the normal operation of its collateral arrangements. </w:t>
      </w:r>
    </w:p>
    <w:p w:rsidR="00000000" w:rsidRDefault="000C147A">
      <w:pPr>
        <w:divId w:val="311259054"/>
        <w:rPr>
          <w:rFonts w:eastAsia="Times New Roman"/>
        </w:rPr>
      </w:pPr>
      <w:r>
        <w:rPr>
          <w:rFonts w:eastAsia="Times New Roman"/>
          <w:color w:val="000000"/>
          <w:sz w:val="20"/>
          <w:szCs w:val="20"/>
        </w:rPr>
        <w:t>The following table presents information about the Company’s offsetting of financia</w:t>
      </w:r>
      <w:r>
        <w:rPr>
          <w:rFonts w:eastAsia="Times New Roman"/>
          <w:color w:val="000000"/>
          <w:sz w:val="20"/>
          <w:szCs w:val="20"/>
        </w:rPr>
        <w:t>l assets and liabilities and derivative instruments at September 30, 2020:</w:t>
      </w:r>
    </w:p>
    <w:p w:rsidR="00000000" w:rsidRDefault="000C147A">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0C147A">
      <w:pPr>
        <w:jc w:val="center"/>
        <w:rPr>
          <w:rFonts w:eastAsia="Times New Roman"/>
        </w:rPr>
      </w:pPr>
      <w:r>
        <w:rPr>
          <w:rFonts w:eastAsia="Times New Roman"/>
          <w:b/>
          <w:bCs/>
          <w:color w:val="000000"/>
          <w:sz w:val="20"/>
          <w:szCs w:val="20"/>
        </w:rPr>
        <w:t xml:space="preserve">At September 30, 2020 </w:t>
      </w:r>
    </w:p>
    <w:tbl>
      <w:tblPr>
        <w:tblW w:w="4583" w:type="pct"/>
        <w:tblCellMar>
          <w:top w:w="15" w:type="dxa"/>
          <w:left w:w="15" w:type="dxa"/>
          <w:bottom w:w="15" w:type="dxa"/>
          <w:right w:w="15" w:type="dxa"/>
        </w:tblCellMar>
        <w:tblLook w:val="04A0" w:firstRow="1" w:lastRow="0" w:firstColumn="1" w:lastColumn="0" w:noHBand="0" w:noVBand="1"/>
      </w:tblPr>
      <w:tblGrid>
        <w:gridCol w:w="40"/>
        <w:gridCol w:w="2053"/>
        <w:gridCol w:w="38"/>
        <w:gridCol w:w="121"/>
        <w:gridCol w:w="850"/>
        <w:gridCol w:w="36"/>
        <w:gridCol w:w="36"/>
        <w:gridCol w:w="36"/>
        <w:gridCol w:w="36"/>
        <w:gridCol w:w="121"/>
        <w:gridCol w:w="971"/>
        <w:gridCol w:w="36"/>
        <w:gridCol w:w="36"/>
        <w:gridCol w:w="36"/>
        <w:gridCol w:w="36"/>
        <w:gridCol w:w="121"/>
        <w:gridCol w:w="1049"/>
        <w:gridCol w:w="36"/>
        <w:gridCol w:w="36"/>
        <w:gridCol w:w="36"/>
        <w:gridCol w:w="36"/>
        <w:gridCol w:w="121"/>
        <w:gridCol w:w="730"/>
        <w:gridCol w:w="36"/>
        <w:gridCol w:w="36"/>
        <w:gridCol w:w="36"/>
        <w:gridCol w:w="36"/>
        <w:gridCol w:w="120"/>
        <w:gridCol w:w="666"/>
        <w:gridCol w:w="36"/>
      </w:tblGrid>
      <w:tr w:rsidR="00000000">
        <w:trPr>
          <w:divId w:val="283662026"/>
        </w:trPr>
        <w:tc>
          <w:tcPr>
            <w:tcW w:w="50" w:type="pct"/>
            <w:vAlign w:val="center"/>
            <w:hideMark/>
          </w:tcPr>
          <w:p w:rsidR="00000000" w:rsidRDefault="000C147A">
            <w:pPr>
              <w:jc w:val="center"/>
              <w:rPr>
                <w:rFonts w:eastAsia="Times New Roman"/>
              </w:rPr>
            </w:pPr>
          </w:p>
        </w:tc>
        <w:tc>
          <w:tcPr>
            <w:tcW w:w="14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8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8366202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Amount</w:t>
            </w:r>
          </w:p>
        </w:tc>
      </w:tr>
      <w:tr w:rsidR="00000000">
        <w:trPr>
          <w:divId w:val="28366202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28366202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8366202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83662026"/>
        </w:trPr>
        <w:tc>
          <w:tcPr>
            <w:tcW w:w="0" w:type="auto"/>
            <w:gridSpan w:val="3"/>
            <w:shd w:val="clear" w:color="auto" w:fill="FFFFFF"/>
            <w:tcMar>
              <w:top w:w="30" w:type="dxa"/>
              <w:left w:w="15" w:type="dxa"/>
              <w:bottom w:w="30" w:type="dxa"/>
              <w:right w:w="20" w:type="dxa"/>
            </w:tcMar>
            <w:hideMark/>
          </w:tcPr>
          <w:p w:rsidR="00000000" w:rsidRDefault="000C147A">
            <w:pPr>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83662026"/>
        </w:trPr>
        <w:tc>
          <w:tcPr>
            <w:tcW w:w="0" w:type="auto"/>
            <w:gridSpan w:val="3"/>
            <w:shd w:val="clear" w:color="auto" w:fill="CCEEFF"/>
            <w:tcMar>
              <w:top w:w="30" w:type="dxa"/>
              <w:left w:w="240" w:type="dxa"/>
              <w:bottom w:w="30" w:type="dxa"/>
              <w:right w:w="20" w:type="dxa"/>
            </w:tcMar>
            <w:hideMark/>
          </w:tcPr>
          <w:p w:rsidR="00000000" w:rsidRDefault="000C147A">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83662026"/>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83662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83662026"/>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83662026"/>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83662026"/>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12,146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270"/>
        <w:divId w:val="396130536"/>
        <w:rPr>
          <w:rFonts w:eastAsia="Times New Roman"/>
        </w:rPr>
      </w:pPr>
      <w:r>
        <w:rPr>
          <w:rFonts w:eastAsia="Times New Roman"/>
          <w:color w:val="000000"/>
          <w:sz w:val="18"/>
          <w:szCs w:val="18"/>
        </w:rPr>
        <w:t>______________</w:t>
      </w:r>
    </w:p>
    <w:p w:rsidR="00000000" w:rsidRDefault="000C147A">
      <w:pPr>
        <w:ind w:hanging="360"/>
        <w:divId w:val="24261320"/>
        <w:rPr>
          <w:rFonts w:eastAsia="Times New Roman"/>
        </w:rPr>
      </w:pPr>
      <w:r>
        <w:rPr>
          <w:rFonts w:eastAsia="Times New Roman"/>
          <w:color w:val="000000"/>
          <w:sz w:val="18"/>
          <w:szCs w:val="18"/>
        </w:rPr>
        <w:t>(1)Excludes Investment Management and Research segment’s derivative assets of consolidated VIEs/VOEs.</w:t>
      </w:r>
    </w:p>
    <w:p w:rsidR="00000000" w:rsidRDefault="000C147A">
      <w:pPr>
        <w:ind w:hanging="360"/>
        <w:divId w:val="1008019854"/>
        <w:rPr>
          <w:rFonts w:eastAsia="Times New Roman"/>
        </w:rPr>
      </w:pPr>
      <w:r>
        <w:rPr>
          <w:rFonts w:eastAsia="Times New Roman"/>
          <w:color w:val="000000"/>
          <w:sz w:val="18"/>
          <w:szCs w:val="18"/>
        </w:rPr>
        <w:t>(2)Excludes Investment Management and Research segment’s derivative</w:t>
      </w:r>
      <w:r>
        <w:rPr>
          <w:rFonts w:eastAsia="Times New Roman"/>
          <w:color w:val="000000"/>
          <w:sz w:val="18"/>
          <w:szCs w:val="18"/>
        </w:rPr>
        <w:t xml:space="preserve"> liabilities of consolidated VIEs/VOEs.</w:t>
      </w:r>
    </w:p>
    <w:p w:rsidR="00000000" w:rsidRDefault="000C147A">
      <w:pPr>
        <w:ind w:hanging="360"/>
        <w:divId w:val="878661162"/>
        <w:rPr>
          <w:rFonts w:eastAsia="Times New Roman"/>
        </w:rPr>
      </w:pPr>
      <w:r>
        <w:rPr>
          <w:rFonts w:eastAsia="Times New Roman"/>
          <w:color w:val="000000"/>
          <w:sz w:val="18"/>
          <w:szCs w:val="18"/>
        </w:rPr>
        <w:t xml:space="preserve">(3)Financial instruments sent (held). </w:t>
      </w:r>
    </w:p>
    <w:p w:rsidR="00000000" w:rsidRDefault="000C147A">
      <w:pPr>
        <w:divId w:val="857239061"/>
        <w:rPr>
          <w:rFonts w:eastAsia="Times New Roman"/>
        </w:rPr>
      </w:pPr>
      <w:r>
        <w:rPr>
          <w:rFonts w:eastAsia="Times New Roman"/>
          <w:color w:val="000000"/>
          <w:sz w:val="20"/>
          <w:szCs w:val="20"/>
        </w:rPr>
        <w:t>The following table presents information about the Company’s offsetting of financial assets and liabilities and derivative instruments at December 31, 2019:</w:t>
      </w:r>
    </w:p>
    <w:p w:rsidR="00000000" w:rsidRDefault="000C147A">
      <w:pPr>
        <w:jc w:val="center"/>
        <w:rPr>
          <w:rFonts w:eastAsia="Times New Roman"/>
        </w:rPr>
      </w:pPr>
      <w:r>
        <w:rPr>
          <w:rFonts w:eastAsia="Times New Roman"/>
          <w:b/>
          <w:bCs/>
          <w:color w:val="000000"/>
          <w:sz w:val="20"/>
          <w:szCs w:val="20"/>
        </w:rPr>
        <w:t>Offsetting of Financ</w:t>
      </w:r>
      <w:r>
        <w:rPr>
          <w:rFonts w:eastAsia="Times New Roman"/>
          <w:b/>
          <w:bCs/>
          <w:color w:val="000000"/>
          <w:sz w:val="20"/>
          <w:szCs w:val="20"/>
        </w:rPr>
        <w:t>ial Assets and Liabilities and Derivative Instruments</w:t>
      </w:r>
    </w:p>
    <w:p w:rsidR="00000000" w:rsidRDefault="000C147A">
      <w:pPr>
        <w:jc w:val="center"/>
        <w:rPr>
          <w:rFonts w:eastAsia="Times New Roman"/>
        </w:rPr>
      </w:pPr>
      <w:r>
        <w:rPr>
          <w:rFonts w:eastAsia="Times New Roman"/>
          <w:b/>
          <w:bCs/>
          <w:color w:val="000000"/>
          <w:sz w:val="20"/>
          <w:szCs w:val="20"/>
        </w:rPr>
        <w:t>At December 31, 2019</w:t>
      </w:r>
    </w:p>
    <w:tbl>
      <w:tblPr>
        <w:tblW w:w="4597" w:type="pct"/>
        <w:tblCellMar>
          <w:top w:w="15" w:type="dxa"/>
          <w:left w:w="15" w:type="dxa"/>
          <w:bottom w:w="15" w:type="dxa"/>
          <w:right w:w="15" w:type="dxa"/>
        </w:tblCellMar>
        <w:tblLook w:val="04A0" w:firstRow="1" w:lastRow="0" w:firstColumn="1" w:lastColumn="0" w:noHBand="0" w:noVBand="1"/>
      </w:tblPr>
      <w:tblGrid>
        <w:gridCol w:w="39"/>
        <w:gridCol w:w="2054"/>
        <w:gridCol w:w="37"/>
        <w:gridCol w:w="121"/>
        <w:gridCol w:w="850"/>
        <w:gridCol w:w="36"/>
        <w:gridCol w:w="36"/>
        <w:gridCol w:w="36"/>
        <w:gridCol w:w="36"/>
        <w:gridCol w:w="121"/>
        <w:gridCol w:w="971"/>
        <w:gridCol w:w="36"/>
        <w:gridCol w:w="36"/>
        <w:gridCol w:w="36"/>
        <w:gridCol w:w="36"/>
        <w:gridCol w:w="121"/>
        <w:gridCol w:w="1049"/>
        <w:gridCol w:w="36"/>
        <w:gridCol w:w="36"/>
        <w:gridCol w:w="36"/>
        <w:gridCol w:w="36"/>
        <w:gridCol w:w="121"/>
        <w:gridCol w:w="730"/>
        <w:gridCol w:w="36"/>
        <w:gridCol w:w="36"/>
        <w:gridCol w:w="36"/>
        <w:gridCol w:w="36"/>
        <w:gridCol w:w="120"/>
        <w:gridCol w:w="691"/>
        <w:gridCol w:w="36"/>
      </w:tblGrid>
      <w:tr w:rsidR="00000000">
        <w:trPr>
          <w:divId w:val="352457583"/>
        </w:trPr>
        <w:tc>
          <w:tcPr>
            <w:tcW w:w="50" w:type="pct"/>
            <w:vAlign w:val="center"/>
            <w:hideMark/>
          </w:tcPr>
          <w:p w:rsidR="00000000" w:rsidRDefault="000C147A">
            <w:pPr>
              <w:jc w:val="center"/>
              <w:rPr>
                <w:rFonts w:eastAsia="Times New Roman"/>
              </w:rPr>
            </w:pPr>
          </w:p>
        </w:tc>
        <w:tc>
          <w:tcPr>
            <w:tcW w:w="1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8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4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35245758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Amount</w:t>
            </w:r>
          </w:p>
        </w:tc>
      </w:tr>
      <w:tr w:rsidR="00000000">
        <w:trPr>
          <w:divId w:val="35245758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35245758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5245758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5245758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financial instruments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5245758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52457583"/>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5245758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5245758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5245758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5245758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firstLine="360"/>
        <w:divId w:val="512840470"/>
        <w:rPr>
          <w:rFonts w:eastAsia="Times New Roman"/>
        </w:rPr>
      </w:pPr>
      <w:r>
        <w:rPr>
          <w:rFonts w:eastAsia="Times New Roman"/>
          <w:color w:val="000000"/>
          <w:sz w:val="18"/>
          <w:szCs w:val="18"/>
        </w:rPr>
        <w:t>______________</w:t>
      </w:r>
    </w:p>
    <w:p w:rsidR="00000000" w:rsidRDefault="000C147A">
      <w:pPr>
        <w:ind w:hanging="360"/>
        <w:divId w:val="230426382"/>
        <w:rPr>
          <w:rFonts w:eastAsia="Times New Roman"/>
        </w:rPr>
      </w:pPr>
      <w:r>
        <w:rPr>
          <w:rFonts w:eastAsia="Times New Roman"/>
          <w:color w:val="000000"/>
          <w:sz w:val="18"/>
          <w:szCs w:val="18"/>
        </w:rPr>
        <w:t>(1)Excludes Investment Management and Research segment’s derivative assets of consolidated VIEs/VOEs.</w:t>
      </w:r>
    </w:p>
    <w:p w:rsidR="00000000" w:rsidRDefault="000C147A">
      <w:pPr>
        <w:ind w:hanging="360"/>
        <w:divId w:val="602154326"/>
        <w:rPr>
          <w:rFonts w:eastAsia="Times New Roman"/>
        </w:rPr>
      </w:pPr>
      <w:r>
        <w:rPr>
          <w:rFonts w:eastAsia="Times New Roman"/>
          <w:color w:val="000000"/>
          <w:sz w:val="18"/>
          <w:szCs w:val="18"/>
        </w:rPr>
        <w:t>(2)Excludes Investment Management and Research segment’s derivative liabilities</w:t>
      </w:r>
      <w:r>
        <w:rPr>
          <w:rFonts w:eastAsia="Times New Roman"/>
          <w:color w:val="000000"/>
          <w:sz w:val="18"/>
          <w:szCs w:val="18"/>
        </w:rPr>
        <w:t xml:space="preserve"> of consolidated VIEs/VOEs.</w:t>
      </w:r>
    </w:p>
    <w:p w:rsidR="00000000" w:rsidRDefault="000C147A">
      <w:pPr>
        <w:ind w:hanging="360"/>
        <w:divId w:val="1857496089"/>
        <w:rPr>
          <w:rFonts w:eastAsia="Times New Roman"/>
        </w:rPr>
      </w:pPr>
      <w:r>
        <w:rPr>
          <w:rFonts w:eastAsia="Times New Roman"/>
          <w:color w:val="000000"/>
          <w:sz w:val="18"/>
          <w:szCs w:val="18"/>
        </w:rPr>
        <w:t>(3) Financial instruments sent (held).</w:t>
      </w:r>
    </w:p>
    <w:p w:rsidR="00000000" w:rsidRDefault="000C147A">
      <w:pPr>
        <w:divId w:val="1493791232"/>
        <w:rPr>
          <w:rFonts w:eastAsia="Times New Roman"/>
        </w:rPr>
      </w:pPr>
    </w:p>
    <w:p w:rsidR="00000000" w:rsidRDefault="000C147A">
      <w:pPr>
        <w:divId w:val="492331669"/>
        <w:rPr>
          <w:rFonts w:eastAsia="Times New Roman"/>
        </w:rPr>
      </w:pPr>
      <w:r>
        <w:rPr>
          <w:rFonts w:eastAsia="Times New Roman"/>
          <w:b/>
          <w:bCs/>
          <w:color w:val="000000"/>
          <w:sz w:val="20"/>
          <w:szCs w:val="20"/>
        </w:rPr>
        <w:t xml:space="preserve">5)    GOODWILL </w:t>
      </w:r>
    </w:p>
    <w:p w:rsidR="00000000" w:rsidRDefault="000C147A">
      <w:pPr>
        <w:divId w:val="471361897"/>
        <w:rPr>
          <w:rFonts w:eastAsia="Times New Roman"/>
        </w:rPr>
      </w:pPr>
      <w:r>
        <w:rPr>
          <w:rFonts w:eastAsia="Times New Roman"/>
          <w:color w:val="000000"/>
          <w:sz w:val="20"/>
          <w:szCs w:val="20"/>
        </w:rPr>
        <w:t xml:space="preserve">Goodwill represents the excess of purchase price over the estimated fair value of identifiable net assets acquired in a business combination. The Company tests goodwill for recoverability each annual reporting period at December 31 </w:t>
      </w:r>
    </w:p>
    <w:p w:rsidR="00000000" w:rsidRDefault="000C147A">
      <w:pPr>
        <w:jc w:val="center"/>
        <w:divId w:val="280306951"/>
        <w:rPr>
          <w:rFonts w:eastAsia="Times New Roman"/>
        </w:rPr>
      </w:pPr>
    </w:p>
    <w:p w:rsidR="00000000" w:rsidRDefault="000C147A">
      <w:pPr>
        <w:jc w:val="center"/>
        <w:divId w:val="280306951"/>
        <w:rPr>
          <w:rFonts w:eastAsia="Times New Roman"/>
        </w:rPr>
      </w:pPr>
      <w:r>
        <w:rPr>
          <w:rFonts w:eastAsia="Times New Roman"/>
          <w:color w:val="000000"/>
          <w:sz w:val="20"/>
          <w:szCs w:val="20"/>
        </w:rPr>
        <w:t>34</w:t>
      </w:r>
    </w:p>
    <w:p w:rsidR="00000000" w:rsidRDefault="000C147A">
      <w:pPr>
        <w:rPr>
          <w:rFonts w:eastAsia="Times New Roman"/>
        </w:rPr>
      </w:pPr>
      <w:r>
        <w:rPr>
          <w:rFonts w:eastAsia="Times New Roman"/>
        </w:rPr>
        <w:pict>
          <v:rect id="_x0000_i1060" style="width:0;height:1.5pt" o:hralign="center" o:hrstd="t" o:hr="t" fillcolor="#a0a0a0" stroked="f"/>
        </w:pict>
      </w:r>
    </w:p>
    <w:p w:rsidR="00000000" w:rsidRDefault="000C147A">
      <w:pPr>
        <w:jc w:val="center"/>
        <w:divId w:val="538124767"/>
        <w:rPr>
          <w:rFonts w:eastAsia="Times New Roman"/>
        </w:rPr>
      </w:pPr>
      <w:r>
        <w:rPr>
          <w:rFonts w:eastAsia="Times New Roman"/>
          <w:b/>
          <w:bCs/>
          <w:color w:val="000000"/>
          <w:sz w:val="20"/>
          <w:szCs w:val="20"/>
        </w:rPr>
        <w:t>EQUITABLE HOLDINGS, INC.</w:t>
      </w:r>
    </w:p>
    <w:p w:rsidR="00000000" w:rsidRDefault="000C147A">
      <w:pPr>
        <w:jc w:val="center"/>
        <w:divId w:val="538124767"/>
        <w:rPr>
          <w:rFonts w:eastAsia="Times New Roman"/>
        </w:rPr>
      </w:pPr>
      <w:r>
        <w:rPr>
          <w:rFonts w:eastAsia="Times New Roman"/>
          <w:b/>
          <w:bCs/>
          <w:color w:val="000000"/>
          <w:sz w:val="20"/>
          <w:szCs w:val="20"/>
        </w:rPr>
        <w:t>Notes to Consolidated Financial Statements (Unaudited), Continued</w:t>
      </w:r>
    </w:p>
    <w:p w:rsidR="00000000" w:rsidRDefault="000C147A">
      <w:pPr>
        <w:divId w:val="1835559691"/>
        <w:rPr>
          <w:rFonts w:eastAsia="Times New Roman"/>
        </w:rPr>
      </w:pPr>
      <w:r>
        <w:rPr>
          <w:rFonts w:eastAsia="Times New Roman"/>
          <w:color w:val="000000"/>
          <w:sz w:val="20"/>
          <w:szCs w:val="20"/>
        </w:rPr>
        <w:t>and at interim periods if facts or circumstances are indicative of potential impairment. See Note 2 for information on the Company’s change in fair</w:t>
      </w:r>
      <w:r>
        <w:rPr>
          <w:rFonts w:eastAsia="Times New Roman"/>
          <w:color w:val="000000"/>
          <w:sz w:val="20"/>
          <w:szCs w:val="20"/>
        </w:rPr>
        <w:t xml:space="preserve"> value measurement methodology for testing goodwill impairment. </w:t>
      </w:r>
    </w:p>
    <w:p w:rsidR="00000000" w:rsidRDefault="000C147A">
      <w:pPr>
        <w:divId w:val="963462320"/>
        <w:rPr>
          <w:rFonts w:eastAsia="Times New Roman"/>
        </w:rPr>
      </w:pPr>
      <w:r>
        <w:rPr>
          <w:rFonts w:eastAsia="Times New Roman"/>
          <w:color w:val="000000"/>
          <w:sz w:val="20"/>
          <w:szCs w:val="20"/>
        </w:rPr>
        <w:t xml:space="preserve">The carrying value of goodwill from the Company’s Investment Management and Research reporting unit totaled $4.6 billion at both September 30, 2020 and December 31, 2019, resulting primarily </w:t>
      </w:r>
      <w:r>
        <w:rPr>
          <w:rFonts w:eastAsia="Times New Roman"/>
          <w:color w:val="000000"/>
          <w:sz w:val="20"/>
          <w:szCs w:val="20"/>
        </w:rPr>
        <w:t xml:space="preserve">from its investment in AB as well as direct strategic acquisitions of AB, including its purchase of Sanford C. Bernstein, Inc. </w:t>
      </w:r>
    </w:p>
    <w:p w:rsidR="00000000" w:rsidRDefault="000C147A">
      <w:pPr>
        <w:divId w:val="579221098"/>
        <w:rPr>
          <w:rFonts w:eastAsia="Times New Roman"/>
        </w:rPr>
      </w:pPr>
      <w:r>
        <w:rPr>
          <w:rFonts w:eastAsia="Times New Roman"/>
          <w:color w:val="000000"/>
          <w:sz w:val="20"/>
          <w:szCs w:val="20"/>
        </w:rPr>
        <w:t>For purpose of testing this goodwill for impairment, the Company has historically applied a discounted cash flow valuation techn</w:t>
      </w:r>
      <w:r>
        <w:rPr>
          <w:rFonts w:eastAsia="Times New Roman"/>
          <w:color w:val="000000"/>
          <w:sz w:val="20"/>
          <w:szCs w:val="20"/>
        </w:rPr>
        <w:t>ique to measure the fair value of the reporting unit, sourcing the underlying cash flows and assumptions from AB’s current business plan projections and adjusting the result to reflect the noncontrolling interest in AB as well as incremental taxes at the C</w:t>
      </w:r>
      <w:r>
        <w:rPr>
          <w:rFonts w:eastAsia="Times New Roman"/>
          <w:color w:val="000000"/>
          <w:sz w:val="20"/>
          <w:szCs w:val="20"/>
        </w:rPr>
        <w:t>ompany level as related to the form and structure of its investment in AB. During the first quarter of 2020, the unit price of AB declined significantly in response to the precipitous decline in the financial markets. As such, the Company performed an inte</w:t>
      </w:r>
      <w:r>
        <w:rPr>
          <w:rFonts w:eastAsia="Times New Roman"/>
          <w:color w:val="000000"/>
          <w:sz w:val="20"/>
          <w:szCs w:val="20"/>
        </w:rPr>
        <w:t>rim impairment evaluation of goodwill utilizing the discounted cash flow valuation technique and considered the results along with a number of other factors (including current market conditions) and determined that the fair value of the reporting unit exce</w:t>
      </w:r>
      <w:r>
        <w:rPr>
          <w:rFonts w:eastAsia="Times New Roman"/>
          <w:color w:val="000000"/>
          <w:sz w:val="20"/>
          <w:szCs w:val="20"/>
        </w:rPr>
        <w:t>eded its carrying value at March 31, 2020. As such, no goodwill impairment existed. The Company will continue to monitor and evaluate any events that may indicate an impairment of goodwill.</w:t>
      </w:r>
    </w:p>
    <w:p w:rsidR="00000000" w:rsidRDefault="000C147A">
      <w:pPr>
        <w:divId w:val="223302834"/>
        <w:rPr>
          <w:rFonts w:eastAsia="Times New Roman"/>
        </w:rPr>
      </w:pPr>
      <w:r>
        <w:rPr>
          <w:rFonts w:eastAsia="Times New Roman"/>
          <w:b/>
          <w:bCs/>
          <w:color w:val="000000"/>
          <w:sz w:val="20"/>
          <w:szCs w:val="20"/>
        </w:rPr>
        <w:t>6)    CLOSED BLOCK</w:t>
      </w:r>
    </w:p>
    <w:p w:rsidR="00000000" w:rsidRDefault="000C147A">
      <w:pPr>
        <w:divId w:val="1451440518"/>
        <w:rPr>
          <w:rFonts w:eastAsia="Times New Roman"/>
        </w:rPr>
      </w:pPr>
      <w:r>
        <w:rPr>
          <w:rFonts w:eastAsia="Times New Roman"/>
          <w:color w:val="000000"/>
          <w:sz w:val="20"/>
          <w:szCs w:val="20"/>
        </w:rPr>
        <w:t>As a result of demutualization, the Company’s C</w:t>
      </w:r>
      <w:r>
        <w:rPr>
          <w:rFonts w:eastAsia="Times New Roman"/>
          <w:color w:val="000000"/>
          <w:sz w:val="20"/>
          <w:szCs w:val="20"/>
        </w:rPr>
        <w:t>losed Block was established in 1992 for the benefit of certain individual participating policies that were in force on that date. Assets, liabilities and earnings of the Closed Block are specifically identified to support its participating policyholders.</w:t>
      </w:r>
    </w:p>
    <w:p w:rsidR="00000000" w:rsidRDefault="000C147A">
      <w:pPr>
        <w:divId w:val="1694844531"/>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No reallocation, transfer, borrowing or lending of assets can be made between the Closed Block and other p</w:t>
      </w:r>
      <w:r>
        <w:rPr>
          <w:rFonts w:eastAsia="Times New Roman"/>
          <w:color w:val="000000"/>
          <w:sz w:val="20"/>
          <w:szCs w:val="20"/>
        </w:rPr>
        <w:t>ortions of the Company’s General Account, any of its Separate Accounts or any affiliate of the Company without the approval of the New York State Department of Financial Services (the “NYDFS”). Closed Block assets and liabilities are carried on the same ba</w:t>
      </w:r>
      <w:r>
        <w:rPr>
          <w:rFonts w:eastAsia="Times New Roman"/>
          <w:color w:val="000000"/>
          <w:sz w:val="20"/>
          <w:szCs w:val="20"/>
        </w:rPr>
        <w:t>sis as similar assets and liabilities held in the General Account. For more information on the Closed Block, see Note 6 to the Company’s consolidated financial statements included in the Annual Report on Form 10-K for the year ended December 31, 2019.</w:t>
      </w:r>
    </w:p>
    <w:p w:rsidR="00000000" w:rsidRDefault="000C147A">
      <w:pPr>
        <w:divId w:val="1076587559"/>
        <w:rPr>
          <w:rFonts w:eastAsia="Times New Roman"/>
        </w:rPr>
      </w:pPr>
      <w:r>
        <w:rPr>
          <w:rFonts w:eastAsia="Times New Roman"/>
          <w:color w:val="000000"/>
          <w:sz w:val="20"/>
          <w:szCs w:val="20"/>
        </w:rPr>
        <w:t>Summ</w:t>
      </w:r>
      <w:r>
        <w:rPr>
          <w:rFonts w:eastAsia="Times New Roman"/>
          <w:color w:val="000000"/>
          <w:sz w:val="20"/>
          <w:szCs w:val="20"/>
        </w:rPr>
        <w:t>arized financial information for the Company’s Closed Block is as follows:</w:t>
      </w:r>
    </w:p>
    <w:tbl>
      <w:tblPr>
        <w:tblW w:w="4685" w:type="pct"/>
        <w:tblCellMar>
          <w:top w:w="15" w:type="dxa"/>
          <w:left w:w="15" w:type="dxa"/>
          <w:bottom w:w="15" w:type="dxa"/>
          <w:right w:w="15" w:type="dxa"/>
        </w:tblCellMar>
        <w:tblLook w:val="04A0" w:firstRow="1" w:lastRow="0" w:firstColumn="1" w:lastColumn="0" w:noHBand="0" w:noVBand="1"/>
      </w:tblPr>
      <w:tblGrid>
        <w:gridCol w:w="38"/>
        <w:gridCol w:w="5291"/>
        <w:gridCol w:w="37"/>
        <w:gridCol w:w="121"/>
        <w:gridCol w:w="1046"/>
        <w:gridCol w:w="36"/>
        <w:gridCol w:w="36"/>
        <w:gridCol w:w="36"/>
        <w:gridCol w:w="36"/>
        <w:gridCol w:w="121"/>
        <w:gridCol w:w="949"/>
        <w:gridCol w:w="36"/>
      </w:tblGrid>
      <w:tr w:rsidR="00000000">
        <w:trPr>
          <w:divId w:val="1409498155"/>
        </w:trPr>
        <w:tc>
          <w:tcPr>
            <w:tcW w:w="50" w:type="pct"/>
            <w:vAlign w:val="center"/>
            <w:hideMark/>
          </w:tcPr>
          <w:p w:rsidR="00000000" w:rsidRDefault="000C147A">
            <w:pPr>
              <w:rPr>
                <w:rFonts w:eastAsia="Times New Roman"/>
              </w:rPr>
            </w:pPr>
          </w:p>
        </w:tc>
        <w:tc>
          <w:tcPr>
            <w:tcW w:w="3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0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40949815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140949815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40949815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094981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Closed Block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6,467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09498155"/>
        </w:trPr>
        <w:tc>
          <w:tcPr>
            <w:tcW w:w="0" w:type="auto"/>
            <w:gridSpan w:val="3"/>
            <w:shd w:val="clear" w:color="auto" w:fill="CCEEFF"/>
            <w:tcMar>
              <w:top w:w="30" w:type="dxa"/>
              <w:left w:w="20" w:type="dxa"/>
              <w:bottom w:w="30" w:type="dxa"/>
              <w:right w:w="20" w:type="dxa"/>
            </w:tcMar>
            <w:vAlign w:val="bottom"/>
            <w:hideMark/>
          </w:tcPr>
          <w:p w:rsidR="00000000" w:rsidRDefault="000C147A">
            <w:pPr>
              <w:divId w:val="1232275308"/>
              <w:rPr>
                <w:rFonts w:eastAsia="Times New Roman"/>
              </w:rPr>
            </w:pPr>
            <w:r>
              <w:rPr>
                <w:rFonts w:eastAsia="Times New Roman"/>
                <w:color w:val="000000"/>
                <w:sz w:val="20"/>
                <w:szCs w:val="20"/>
              </w:rPr>
              <w:t>Fixed maturities available-for-sale, at fair value (amortized cost of $3,440 and $3,558) (allowance for credit losses of $0 at September 30, 2020)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3,754 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divId w:val="1249730168"/>
              <w:rPr>
                <w:rFonts w:eastAsia="Times New Roman"/>
              </w:rPr>
            </w:pPr>
            <w:r>
              <w:rPr>
                <w:rFonts w:eastAsia="Times New Roman"/>
                <w:color w:val="000000"/>
                <w:sz w:val="20"/>
                <w:szCs w:val="20"/>
              </w:rPr>
              <w:t>Mortgage loans on real estate (net of allowance for credit losses of $6 at September 30, 2020)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1,759 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assets designated to the Closed Block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6,401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09498155"/>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bl>
    <w:p w:rsidR="00000000" w:rsidRDefault="000C147A">
      <w:pPr>
        <w:jc w:val="center"/>
        <w:divId w:val="1259405319"/>
        <w:rPr>
          <w:rFonts w:eastAsia="Times New Roman"/>
        </w:rPr>
      </w:pPr>
    </w:p>
    <w:p w:rsidR="00000000" w:rsidRDefault="000C147A">
      <w:pPr>
        <w:jc w:val="center"/>
        <w:divId w:val="1259405319"/>
        <w:rPr>
          <w:rFonts w:eastAsia="Times New Roman"/>
        </w:rPr>
      </w:pPr>
      <w:r>
        <w:rPr>
          <w:rFonts w:eastAsia="Times New Roman"/>
          <w:color w:val="000000"/>
          <w:sz w:val="20"/>
          <w:szCs w:val="20"/>
        </w:rPr>
        <w:t>35</w:t>
      </w:r>
    </w:p>
    <w:p w:rsidR="00000000" w:rsidRDefault="000C147A">
      <w:pPr>
        <w:rPr>
          <w:rFonts w:eastAsia="Times New Roman"/>
        </w:rPr>
      </w:pPr>
      <w:r>
        <w:rPr>
          <w:rFonts w:eastAsia="Times New Roman"/>
        </w:rPr>
        <w:pict>
          <v:rect id="_x0000_i1061" style="width:0;height:1.5pt" o:hralign="center" o:hrstd="t" o:hr="t" fillcolor="#a0a0a0" stroked="f"/>
        </w:pict>
      </w:r>
    </w:p>
    <w:p w:rsidR="00000000" w:rsidRDefault="000C147A">
      <w:pPr>
        <w:jc w:val="center"/>
        <w:divId w:val="1756510261"/>
        <w:rPr>
          <w:rFonts w:eastAsia="Times New Roman"/>
        </w:rPr>
      </w:pPr>
      <w:r>
        <w:rPr>
          <w:rFonts w:eastAsia="Times New Roman"/>
          <w:b/>
          <w:bCs/>
          <w:color w:val="000000"/>
          <w:sz w:val="20"/>
          <w:szCs w:val="20"/>
        </w:rPr>
        <w:t>EQUITABLE HOLDINGS, INC.</w:t>
      </w:r>
    </w:p>
    <w:p w:rsidR="00000000" w:rsidRDefault="000C147A">
      <w:pPr>
        <w:jc w:val="center"/>
        <w:divId w:val="1756510261"/>
        <w:rPr>
          <w:rFonts w:eastAsia="Times New Roman"/>
        </w:rPr>
      </w:pPr>
      <w:r>
        <w:rPr>
          <w:rFonts w:eastAsia="Times New Roman"/>
          <w:b/>
          <w:bCs/>
          <w:color w:val="000000"/>
          <w:sz w:val="20"/>
          <w:szCs w:val="20"/>
        </w:rPr>
        <w:t>Notes to Consolidated Financial Statements (Unaudited), Continued</w:t>
      </w:r>
    </w:p>
    <w:tbl>
      <w:tblPr>
        <w:tblW w:w="4685" w:type="pct"/>
        <w:tblCellMar>
          <w:top w:w="15" w:type="dxa"/>
          <w:left w:w="15" w:type="dxa"/>
          <w:bottom w:w="15" w:type="dxa"/>
          <w:right w:w="15" w:type="dxa"/>
        </w:tblCellMar>
        <w:tblLook w:val="04A0" w:firstRow="1" w:lastRow="0" w:firstColumn="1" w:lastColumn="0" w:noHBand="0" w:noVBand="1"/>
      </w:tblPr>
      <w:tblGrid>
        <w:gridCol w:w="38"/>
        <w:gridCol w:w="5291"/>
        <w:gridCol w:w="37"/>
        <w:gridCol w:w="121"/>
        <w:gridCol w:w="1046"/>
        <w:gridCol w:w="36"/>
        <w:gridCol w:w="36"/>
        <w:gridCol w:w="36"/>
        <w:gridCol w:w="36"/>
        <w:gridCol w:w="121"/>
        <w:gridCol w:w="949"/>
        <w:gridCol w:w="36"/>
      </w:tblGrid>
      <w:tr w:rsidR="00000000">
        <w:trPr>
          <w:divId w:val="942303515"/>
        </w:trPr>
        <w:tc>
          <w:tcPr>
            <w:tcW w:w="50" w:type="pct"/>
            <w:vAlign w:val="center"/>
            <w:hideMark/>
          </w:tcPr>
          <w:p w:rsidR="00000000" w:rsidRDefault="000C147A">
            <w:pPr>
              <w:jc w:val="center"/>
              <w:rPr>
                <w:rFonts w:eastAsia="Times New Roman"/>
              </w:rPr>
            </w:pPr>
          </w:p>
        </w:tc>
        <w:tc>
          <w:tcPr>
            <w:tcW w:w="34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0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94230351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94230351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94230351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4230351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Amounts included in 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42303515"/>
        </w:trPr>
        <w:tc>
          <w:tcPr>
            <w:tcW w:w="0" w:type="auto"/>
            <w:gridSpan w:val="3"/>
            <w:shd w:val="clear" w:color="auto" w:fill="FFFFFF"/>
            <w:tcMar>
              <w:top w:w="30" w:type="dxa"/>
              <w:left w:w="20" w:type="dxa"/>
              <w:bottom w:w="30" w:type="dxa"/>
              <w:right w:w="20" w:type="dxa"/>
            </w:tcMar>
            <w:vAlign w:val="bottom"/>
            <w:hideMark/>
          </w:tcPr>
          <w:p w:rsidR="00000000" w:rsidRDefault="000C147A">
            <w:pPr>
              <w:divId w:val="1662344718"/>
              <w:rPr>
                <w:rFonts w:eastAsia="Times New Roman"/>
              </w:rPr>
            </w:pPr>
            <w:r>
              <w:rPr>
                <w:rFonts w:eastAsia="Times New Roman"/>
                <w:color w:val="000000"/>
                <w:sz w:val="20"/>
                <w:szCs w:val="20"/>
              </w:rPr>
              <w:t>Net unrealized investment gains (losses), net of policyholders’ dividend obligation: $149 and $2; and net of income tax: $42 and $41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4230351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1451313881"/>
        <w:rPr>
          <w:rFonts w:eastAsia="Times New Roman"/>
        </w:rPr>
      </w:pPr>
    </w:p>
    <w:p w:rsidR="00000000" w:rsidRDefault="000C147A">
      <w:pPr>
        <w:divId w:val="2001343476"/>
        <w:rPr>
          <w:rFonts w:eastAsia="Times New Roman"/>
        </w:rPr>
      </w:pPr>
      <w:r>
        <w:rPr>
          <w:rFonts w:eastAsia="Times New Roman"/>
          <w:color w:val="000000"/>
          <w:sz w:val="20"/>
          <w:szCs w:val="20"/>
        </w:rPr>
        <w:t>The Company’s Closed Block revenues and expenses were as follows:</w:t>
      </w:r>
    </w:p>
    <w:tbl>
      <w:tblPr>
        <w:tblW w:w="4692" w:type="pct"/>
        <w:tblCellMar>
          <w:top w:w="15" w:type="dxa"/>
          <w:left w:w="15" w:type="dxa"/>
          <w:bottom w:w="15" w:type="dxa"/>
          <w:right w:w="15" w:type="dxa"/>
        </w:tblCellMar>
        <w:tblLook w:val="04A0" w:firstRow="1" w:lastRow="0" w:firstColumn="1" w:lastColumn="0" w:noHBand="0" w:noVBand="1"/>
      </w:tblPr>
      <w:tblGrid>
        <w:gridCol w:w="39"/>
        <w:gridCol w:w="3950"/>
        <w:gridCol w:w="38"/>
        <w:gridCol w:w="120"/>
        <w:gridCol w:w="691"/>
        <w:gridCol w:w="36"/>
        <w:gridCol w:w="36"/>
        <w:gridCol w:w="36"/>
        <w:gridCol w:w="36"/>
        <w:gridCol w:w="120"/>
        <w:gridCol w:w="691"/>
        <w:gridCol w:w="36"/>
        <w:gridCol w:w="120"/>
        <w:gridCol w:w="691"/>
        <w:gridCol w:w="36"/>
        <w:gridCol w:w="36"/>
        <w:gridCol w:w="36"/>
        <w:gridCol w:w="36"/>
        <w:gridCol w:w="120"/>
        <w:gridCol w:w="638"/>
        <w:gridCol w:w="36"/>
        <w:gridCol w:w="36"/>
        <w:gridCol w:w="36"/>
        <w:gridCol w:w="36"/>
        <w:gridCol w:w="36"/>
        <w:gridCol w:w="36"/>
        <w:gridCol w:w="36"/>
      </w:tblGrid>
      <w:tr w:rsidR="00000000">
        <w:trPr>
          <w:divId w:val="245724342"/>
        </w:trPr>
        <w:tc>
          <w:tcPr>
            <w:tcW w:w="50" w:type="pct"/>
            <w:vAlign w:val="center"/>
            <w:hideMark/>
          </w:tcPr>
          <w:p w:rsidR="00000000" w:rsidRDefault="000C147A">
            <w:pPr>
              <w:rPr>
                <w:rFonts w:eastAsia="Times New Roman"/>
              </w:rPr>
            </w:pPr>
          </w:p>
        </w:tc>
        <w:tc>
          <w:tcPr>
            <w:tcW w:w="266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4572434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Premiums and other income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Policyholders’ </w:t>
            </w:r>
            <w:r>
              <w:rPr>
                <w:rFonts w:eastAsia="Times New Roman"/>
                <w:color w:val="000000"/>
                <w:sz w:val="20"/>
                <w:szCs w:val="20"/>
              </w:rPr>
              <w:t>benefits and dividends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4572434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Net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421993931"/>
        <w:rPr>
          <w:rFonts w:eastAsia="Times New Roman"/>
        </w:rPr>
      </w:pPr>
    </w:p>
    <w:p w:rsidR="00000000" w:rsidRDefault="000C147A">
      <w:pPr>
        <w:divId w:val="72314294"/>
        <w:rPr>
          <w:rFonts w:eastAsia="Times New Roman"/>
        </w:rPr>
      </w:pPr>
      <w:r>
        <w:rPr>
          <w:rFonts w:eastAsia="Times New Roman"/>
          <w:b/>
          <w:bCs/>
          <w:color w:val="000000"/>
          <w:sz w:val="20"/>
          <w:szCs w:val="20"/>
        </w:rPr>
        <w:t xml:space="preserve">7)    INSURANCE LIABILITIES </w:t>
      </w:r>
    </w:p>
    <w:p w:rsidR="00000000" w:rsidRDefault="000C147A">
      <w:pPr>
        <w:divId w:val="405307147"/>
        <w:rPr>
          <w:rFonts w:eastAsia="Times New Roman"/>
        </w:rPr>
      </w:pPr>
      <w:r>
        <w:rPr>
          <w:rFonts w:eastAsia="Times New Roman"/>
          <w:color w:val="000000"/>
          <w:sz w:val="20"/>
          <w:szCs w:val="20"/>
          <w:u w:val="single"/>
        </w:rPr>
        <w:t>Variable Annuity Contracts – GMDB, GMIB, GIB and GWBL and Other Features</w:t>
      </w:r>
    </w:p>
    <w:p w:rsidR="00000000" w:rsidRDefault="000C147A">
      <w:pPr>
        <w:divId w:val="1824615650"/>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rsidR="00000000" w:rsidRDefault="000C147A">
      <w:pPr>
        <w:ind w:hanging="360"/>
        <w:jc w:val="both"/>
        <w:divId w:val="967591840"/>
        <w:rPr>
          <w:rFonts w:eastAsia="Times New Roman"/>
        </w:rPr>
      </w:pPr>
      <w:r>
        <w:rPr>
          <w:rFonts w:eastAsia="Times New Roman"/>
          <w:color w:val="000000"/>
          <w:sz w:val="20"/>
          <w:szCs w:val="20"/>
        </w:rPr>
        <w:t>•Return of Premium: the benefit is the greater of current account value or premiums paid (adjusted for withdra</w:t>
      </w:r>
      <w:r>
        <w:rPr>
          <w:rFonts w:eastAsia="Times New Roman"/>
          <w:color w:val="000000"/>
          <w:sz w:val="20"/>
          <w:szCs w:val="20"/>
        </w:rPr>
        <w:t>wals);</w:t>
      </w:r>
    </w:p>
    <w:p w:rsidR="00000000" w:rsidRDefault="000C147A">
      <w:pPr>
        <w:ind w:hanging="360"/>
        <w:jc w:val="both"/>
        <w:divId w:val="1888881218"/>
        <w:rPr>
          <w:rFonts w:eastAsia="Times New Roman"/>
        </w:rPr>
      </w:pPr>
      <w:r>
        <w:rPr>
          <w:rFonts w:eastAsia="Times New Roman"/>
          <w:color w:val="000000"/>
          <w:sz w:val="20"/>
          <w:szCs w:val="20"/>
        </w:rPr>
        <w:t>•</w:t>
      </w: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p w:rsidR="00000000" w:rsidRDefault="000C147A">
      <w:pPr>
        <w:ind w:hanging="360"/>
        <w:jc w:val="both"/>
        <w:divId w:val="386800571"/>
        <w:rPr>
          <w:rFonts w:eastAsia="Times New Roman"/>
        </w:rPr>
      </w:pPr>
      <w:r>
        <w:rPr>
          <w:rFonts w:eastAsia="Times New Roman"/>
          <w:color w:val="000000"/>
          <w:sz w:val="20"/>
          <w:szCs w:val="20"/>
        </w:rPr>
        <w:t xml:space="preserve">•Roll-Up: the benefit is the greater of </w:t>
      </w:r>
      <w:r>
        <w:rPr>
          <w:rFonts w:eastAsia="Times New Roman"/>
          <w:color w:val="000000"/>
          <w:sz w:val="20"/>
          <w:szCs w:val="20"/>
        </w:rPr>
        <w:t>current account value or premiums paid (adjusted for withdrawals) accumulated at contractually specified interest rates up to specified ages;</w:t>
      </w:r>
    </w:p>
    <w:p w:rsidR="00000000" w:rsidRDefault="000C147A">
      <w:pPr>
        <w:ind w:hanging="360"/>
        <w:jc w:val="both"/>
        <w:divId w:val="1403992832"/>
        <w:rPr>
          <w:rFonts w:eastAsia="Times New Roman"/>
        </w:rPr>
      </w:pPr>
      <w:r>
        <w:rPr>
          <w:rFonts w:eastAsia="Times New Roman"/>
          <w:color w:val="000000"/>
          <w:sz w:val="20"/>
          <w:szCs w:val="20"/>
        </w:rPr>
        <w:t xml:space="preserve">•Combo: the benefit is the greater of the ratchet benefit or the roll-up benefit, which may include either a five </w:t>
      </w:r>
      <w:r>
        <w:rPr>
          <w:rFonts w:eastAsia="Times New Roman"/>
          <w:color w:val="000000"/>
          <w:sz w:val="20"/>
          <w:szCs w:val="20"/>
        </w:rPr>
        <w:t>year or an annual reset; or</w:t>
      </w:r>
    </w:p>
    <w:p w:rsidR="00000000" w:rsidRDefault="000C147A">
      <w:pPr>
        <w:ind w:hanging="360"/>
        <w:divId w:val="231433978"/>
        <w:rPr>
          <w:rFonts w:eastAsia="Times New Roman"/>
        </w:rPr>
      </w:pPr>
      <w:r>
        <w:rPr>
          <w:rFonts w:eastAsia="Times New Roman"/>
          <w:color w:val="000000"/>
          <w:sz w:val="20"/>
          <w:szCs w:val="20"/>
        </w:rPr>
        <w:t xml:space="preserve">•Withdrawal: the withdrawal is guaranteed up to a maximum amount per year for life. </w:t>
      </w:r>
    </w:p>
    <w:p w:rsidR="00000000" w:rsidRDefault="000C147A">
      <w:pPr>
        <w:jc w:val="both"/>
        <w:divId w:val="918634748"/>
        <w:rPr>
          <w:rFonts w:eastAsia="Times New Roman"/>
        </w:rPr>
      </w:pPr>
      <w:r>
        <w:rPr>
          <w:rFonts w:eastAsia="Times New Roman"/>
          <w:b/>
          <w:bCs/>
          <w:i/>
          <w:iCs/>
          <w:color w:val="000000"/>
          <w:sz w:val="20"/>
          <w:szCs w:val="20"/>
        </w:rPr>
        <w:t>Liabilities for Variable Annuity Contracts with GMDB and GMIB Features without No-Lapse Guarantee Rider (“NLG”) Feature</w:t>
      </w:r>
    </w:p>
    <w:p w:rsidR="00000000" w:rsidRDefault="000C147A">
      <w:pPr>
        <w:divId w:val="822623315"/>
        <w:rPr>
          <w:rFonts w:eastAsia="Times New Roman"/>
        </w:rPr>
      </w:pPr>
      <w:r>
        <w:rPr>
          <w:rFonts w:eastAsia="Times New Roman"/>
          <w:color w:val="000000"/>
          <w:sz w:val="20"/>
          <w:szCs w:val="20"/>
        </w:rPr>
        <w:t>The change in the liabi</w:t>
      </w:r>
      <w:r>
        <w:rPr>
          <w:rFonts w:eastAsia="Times New Roman"/>
          <w:color w:val="000000"/>
          <w:sz w:val="20"/>
          <w:szCs w:val="20"/>
        </w:rPr>
        <w:t xml:space="preserve">lities for variable annuity contracts with GMDB and GMIB features and without a NLG feature are summarized in the tables below. The amounts for the direct contracts (before reinsurance ceded) and assumed contracts are reflected in the consolidated balance </w:t>
      </w:r>
      <w:r>
        <w:rPr>
          <w:rFonts w:eastAsia="Times New Roman"/>
          <w:color w:val="000000"/>
          <w:sz w:val="20"/>
          <w:szCs w:val="20"/>
        </w:rPr>
        <w:t>sheets in Future policy benefits and other policyholders’ liabilities. The amounts for the ceded contracts are reflected in the consolidated balance sheets in Amounts due from reinsurers. The amounts for the ceded IB are reflected in the consolidated balan</w:t>
      </w:r>
      <w:r>
        <w:rPr>
          <w:rFonts w:eastAsia="Times New Roman"/>
          <w:color w:val="000000"/>
          <w:sz w:val="20"/>
          <w:szCs w:val="20"/>
        </w:rPr>
        <w:t>ce sheets in GMIB reinsurance contract asset, at fair value.</w:t>
      </w:r>
    </w:p>
    <w:p w:rsidR="00000000" w:rsidRDefault="000C147A">
      <w:pPr>
        <w:jc w:val="center"/>
        <w:divId w:val="1392071005"/>
        <w:rPr>
          <w:rFonts w:eastAsia="Times New Roman"/>
        </w:rPr>
      </w:pPr>
    </w:p>
    <w:p w:rsidR="00000000" w:rsidRDefault="000C147A">
      <w:pPr>
        <w:jc w:val="center"/>
        <w:divId w:val="1392071005"/>
        <w:rPr>
          <w:rFonts w:eastAsia="Times New Roman"/>
        </w:rPr>
      </w:pPr>
      <w:r>
        <w:rPr>
          <w:rFonts w:eastAsia="Times New Roman"/>
          <w:color w:val="000000"/>
          <w:sz w:val="20"/>
          <w:szCs w:val="20"/>
        </w:rPr>
        <w:t>36</w:t>
      </w:r>
    </w:p>
    <w:p w:rsidR="00000000" w:rsidRDefault="000C147A">
      <w:pPr>
        <w:rPr>
          <w:rFonts w:eastAsia="Times New Roman"/>
        </w:rPr>
      </w:pPr>
      <w:r>
        <w:rPr>
          <w:rFonts w:eastAsia="Times New Roman"/>
        </w:rPr>
        <w:pict>
          <v:rect id="_x0000_i1062" style="width:0;height:1.5pt" o:hralign="center" o:hrstd="t" o:hr="t" fillcolor="#a0a0a0" stroked="f"/>
        </w:pict>
      </w:r>
    </w:p>
    <w:p w:rsidR="00000000" w:rsidRDefault="000C147A">
      <w:pPr>
        <w:jc w:val="center"/>
        <w:divId w:val="1480075936"/>
        <w:rPr>
          <w:rFonts w:eastAsia="Times New Roman"/>
        </w:rPr>
      </w:pPr>
      <w:r>
        <w:rPr>
          <w:rFonts w:eastAsia="Times New Roman"/>
          <w:b/>
          <w:bCs/>
          <w:color w:val="000000"/>
          <w:sz w:val="20"/>
          <w:szCs w:val="20"/>
        </w:rPr>
        <w:t>EQUITABLE HOLDINGS, INC.</w:t>
      </w:r>
    </w:p>
    <w:p w:rsidR="00000000" w:rsidRDefault="000C147A">
      <w:pPr>
        <w:jc w:val="center"/>
        <w:divId w:val="1480075936"/>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Change in Liability for Variable Annuity Contracts with GMDB an</w:t>
      </w:r>
      <w:r>
        <w:rPr>
          <w:rFonts w:eastAsia="Times New Roman"/>
          <w:b/>
          <w:bCs/>
          <w:color w:val="000000"/>
          <w:sz w:val="20"/>
          <w:szCs w:val="20"/>
        </w:rPr>
        <w:t>d GMIB Features and No NLG Feature</w:t>
      </w:r>
    </w:p>
    <w:p w:rsidR="00000000" w:rsidRDefault="000C147A">
      <w:pPr>
        <w:jc w:val="center"/>
        <w:rPr>
          <w:rFonts w:eastAsia="Times New Roman"/>
        </w:rPr>
      </w:pPr>
      <w:r>
        <w:rPr>
          <w:rFonts w:eastAsia="Times New Roman"/>
          <w:b/>
          <w:bCs/>
          <w:color w:val="000000"/>
          <w:sz w:val="20"/>
          <w:szCs w:val="20"/>
        </w:rPr>
        <w:t xml:space="preserve">For the Three and Nine Months Ended September 30, 2020 and 2019 </w:t>
      </w:r>
    </w:p>
    <w:tbl>
      <w:tblPr>
        <w:tblW w:w="4590" w:type="pct"/>
        <w:tblCellMar>
          <w:top w:w="15" w:type="dxa"/>
          <w:left w:w="15" w:type="dxa"/>
          <w:bottom w:w="15" w:type="dxa"/>
          <w:right w:w="15" w:type="dxa"/>
        </w:tblCellMar>
        <w:tblLook w:val="04A0" w:firstRow="1" w:lastRow="0" w:firstColumn="1" w:lastColumn="0" w:noHBand="0" w:noVBand="1"/>
      </w:tblPr>
      <w:tblGrid>
        <w:gridCol w:w="38"/>
        <w:gridCol w:w="2908"/>
        <w:gridCol w:w="37"/>
        <w:gridCol w:w="120"/>
        <w:gridCol w:w="500"/>
        <w:gridCol w:w="36"/>
        <w:gridCol w:w="36"/>
        <w:gridCol w:w="36"/>
        <w:gridCol w:w="36"/>
        <w:gridCol w:w="121"/>
        <w:gridCol w:w="573"/>
        <w:gridCol w:w="36"/>
        <w:gridCol w:w="36"/>
        <w:gridCol w:w="36"/>
        <w:gridCol w:w="36"/>
        <w:gridCol w:w="120"/>
        <w:gridCol w:w="434"/>
        <w:gridCol w:w="36"/>
        <w:gridCol w:w="36"/>
        <w:gridCol w:w="36"/>
        <w:gridCol w:w="36"/>
        <w:gridCol w:w="120"/>
        <w:gridCol w:w="500"/>
        <w:gridCol w:w="36"/>
        <w:gridCol w:w="36"/>
        <w:gridCol w:w="36"/>
        <w:gridCol w:w="36"/>
        <w:gridCol w:w="121"/>
        <w:gridCol w:w="573"/>
        <w:gridCol w:w="36"/>
        <w:gridCol w:w="36"/>
        <w:gridCol w:w="36"/>
        <w:gridCol w:w="36"/>
        <w:gridCol w:w="120"/>
        <w:gridCol w:w="584"/>
        <w:gridCol w:w="36"/>
      </w:tblGrid>
      <w:tr w:rsidR="00000000">
        <w:trPr>
          <w:divId w:val="1500193986"/>
        </w:trPr>
        <w:tc>
          <w:tcPr>
            <w:tcW w:w="50" w:type="pct"/>
            <w:vAlign w:val="center"/>
            <w:hideMark/>
          </w:tcPr>
          <w:p w:rsidR="00000000" w:rsidRDefault="000C147A">
            <w:pPr>
              <w:jc w:val="center"/>
              <w:rPr>
                <w:rFonts w:eastAsia="Times New Roman"/>
              </w:rPr>
            </w:pPr>
          </w:p>
        </w:tc>
        <w:tc>
          <w:tcPr>
            <w:tcW w:w="230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50019398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GMIB</w:t>
            </w:r>
          </w:p>
        </w:tc>
      </w:tr>
      <w:tr w:rsidR="00000000">
        <w:trPr>
          <w:divId w:val="150019398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Ceded</w:t>
            </w:r>
          </w:p>
        </w:tc>
      </w:tr>
      <w:tr w:rsidR="00000000">
        <w:trPr>
          <w:divId w:val="150019398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500193986"/>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at July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5,004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(105)</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6,122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(2,931)</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at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0019398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at July 1, 2019</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3,759 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(1,897)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w:t>
            </w:r>
            <w:r>
              <w:rPr>
                <w:rFonts w:eastAsia="Times New Roman"/>
                <w:color w:val="000000"/>
                <w:sz w:val="20"/>
                <w:szCs w:val="20"/>
              </w:rPr>
              <w:t>576)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0019398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at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247880541"/>
        <w:rPr>
          <w:rFonts w:eastAsia="Times New Roman"/>
        </w:rPr>
      </w:pPr>
    </w:p>
    <w:tbl>
      <w:tblPr>
        <w:tblW w:w="4634" w:type="pct"/>
        <w:tblCellMar>
          <w:top w:w="15" w:type="dxa"/>
          <w:left w:w="15" w:type="dxa"/>
          <w:bottom w:w="15" w:type="dxa"/>
          <w:right w:w="15" w:type="dxa"/>
        </w:tblCellMar>
        <w:tblLook w:val="04A0" w:firstRow="1" w:lastRow="0" w:firstColumn="1" w:lastColumn="0" w:noHBand="0" w:noVBand="1"/>
      </w:tblPr>
      <w:tblGrid>
        <w:gridCol w:w="38"/>
        <w:gridCol w:w="2983"/>
        <w:gridCol w:w="37"/>
        <w:gridCol w:w="120"/>
        <w:gridCol w:w="500"/>
        <w:gridCol w:w="36"/>
        <w:gridCol w:w="36"/>
        <w:gridCol w:w="36"/>
        <w:gridCol w:w="36"/>
        <w:gridCol w:w="121"/>
        <w:gridCol w:w="572"/>
        <w:gridCol w:w="36"/>
        <w:gridCol w:w="36"/>
        <w:gridCol w:w="36"/>
        <w:gridCol w:w="36"/>
        <w:gridCol w:w="120"/>
        <w:gridCol w:w="434"/>
        <w:gridCol w:w="36"/>
        <w:gridCol w:w="36"/>
        <w:gridCol w:w="36"/>
        <w:gridCol w:w="36"/>
        <w:gridCol w:w="120"/>
        <w:gridCol w:w="500"/>
        <w:gridCol w:w="36"/>
        <w:gridCol w:w="36"/>
        <w:gridCol w:w="36"/>
        <w:gridCol w:w="36"/>
        <w:gridCol w:w="121"/>
        <w:gridCol w:w="572"/>
        <w:gridCol w:w="36"/>
        <w:gridCol w:w="36"/>
        <w:gridCol w:w="36"/>
        <w:gridCol w:w="36"/>
        <w:gridCol w:w="120"/>
        <w:gridCol w:w="584"/>
        <w:gridCol w:w="36"/>
      </w:tblGrid>
      <w:tr w:rsidR="00000000">
        <w:trPr>
          <w:divId w:val="178011984"/>
        </w:trPr>
        <w:tc>
          <w:tcPr>
            <w:tcW w:w="50" w:type="pct"/>
            <w:vAlign w:val="center"/>
            <w:hideMark/>
          </w:tcPr>
          <w:p w:rsidR="00000000" w:rsidRDefault="000C147A">
            <w:pPr>
              <w:rPr>
                <w:rFonts w:eastAsia="Times New Roman"/>
              </w:rPr>
            </w:pPr>
          </w:p>
        </w:tc>
        <w:tc>
          <w:tcPr>
            <w:tcW w:w="23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801198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GMIB</w:t>
            </w:r>
          </w:p>
        </w:tc>
      </w:tr>
      <w:tr w:rsidR="00000000">
        <w:trPr>
          <w:divId w:val="17801198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Ceded</w:t>
            </w:r>
          </w:p>
        </w:tc>
      </w:tr>
      <w:tr w:rsidR="00000000">
        <w:trPr>
          <w:divId w:val="17801198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780119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at January 1, 2020</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(2,139)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at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801198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at January 1, 2019</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801198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at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68578877"/>
        <w:rPr>
          <w:rFonts w:eastAsia="Times New Roman"/>
        </w:rPr>
      </w:pPr>
    </w:p>
    <w:p w:rsidR="00000000" w:rsidRDefault="000C147A">
      <w:pPr>
        <w:jc w:val="both"/>
        <w:divId w:val="1142387304"/>
        <w:rPr>
          <w:rFonts w:eastAsia="Times New Roman"/>
        </w:rPr>
      </w:pPr>
      <w:r>
        <w:rPr>
          <w:rFonts w:eastAsia="Times New Roman"/>
          <w:b/>
          <w:bCs/>
          <w:i/>
          <w:iCs/>
          <w:color w:val="000000"/>
          <w:sz w:val="20"/>
          <w:szCs w:val="20"/>
        </w:rPr>
        <w:t>Liabilities for Embedded and Freestanding Insurance Related Derivatives</w:t>
      </w:r>
    </w:p>
    <w:p w:rsidR="00000000" w:rsidRDefault="000C147A">
      <w:pPr>
        <w:divId w:val="509611239"/>
        <w:rPr>
          <w:rFonts w:eastAsia="Times New Roman"/>
        </w:rPr>
      </w:pPr>
      <w:r>
        <w:rPr>
          <w:rFonts w:eastAsia="Times New Roman"/>
          <w:color w:val="000000"/>
          <w:sz w:val="20"/>
          <w:szCs w:val="20"/>
        </w:rPr>
        <w:t>The liability for the GMxB derivative features, the liability</w:t>
      </w:r>
      <w:r>
        <w:rPr>
          <w:rFonts w:eastAsia="Times New Roman"/>
          <w:color w:val="000000"/>
          <w:sz w:val="20"/>
          <w:szCs w:val="20"/>
        </w:rPr>
        <w:t xml:space="preserve"> for SCS, SIO, MSO and IUL indexed features and the asset and liability for the GMIB reinsurance contracts are considered embedded or freestanding insurance derivatives and are reported at fair value. For the fair value of the assets and liabilities associ</w:t>
      </w:r>
      <w:r>
        <w:rPr>
          <w:rFonts w:eastAsia="Times New Roman"/>
          <w:color w:val="000000"/>
          <w:sz w:val="20"/>
          <w:szCs w:val="20"/>
        </w:rPr>
        <w:t>ated with these embedded or freestanding insurance derivatives, see Note 8 Fair Value Disclosures.</w:t>
      </w:r>
    </w:p>
    <w:p w:rsidR="00000000" w:rsidRDefault="000C147A">
      <w:pPr>
        <w:jc w:val="both"/>
        <w:divId w:val="2124113233"/>
        <w:rPr>
          <w:rFonts w:eastAsia="Times New Roman"/>
        </w:rPr>
      </w:pPr>
      <w:r>
        <w:rPr>
          <w:rFonts w:eastAsia="Times New Roman"/>
          <w:b/>
          <w:bCs/>
          <w:i/>
          <w:iCs/>
          <w:color w:val="000000"/>
          <w:sz w:val="20"/>
          <w:szCs w:val="20"/>
        </w:rPr>
        <w:t>Account Values and Net Amount at Risk</w:t>
      </w:r>
    </w:p>
    <w:p w:rsidR="00000000" w:rsidRDefault="000C147A">
      <w:pPr>
        <w:divId w:val="2020546108"/>
        <w:rPr>
          <w:rFonts w:eastAsia="Times New Roman"/>
        </w:rPr>
      </w:pPr>
      <w:r>
        <w:rPr>
          <w:rFonts w:eastAsia="Times New Roman"/>
          <w:color w:val="000000"/>
          <w:sz w:val="20"/>
          <w:szCs w:val="20"/>
        </w:rPr>
        <w:t xml:space="preserve">Account Values and Net Amount at Risk (“NAR”) for direct and assumed variable annuity contracts in force with GMDB and </w:t>
      </w:r>
      <w:r>
        <w:rPr>
          <w:rFonts w:eastAsia="Times New Roman"/>
          <w:color w:val="000000"/>
          <w:sz w:val="20"/>
          <w:szCs w:val="20"/>
        </w:rPr>
        <w:t>GMIB features as of September 30, 2020 are presented in the following tables by guarantee type. For contracts with the GMDB feature, the NAR in the event of death is the amount by which the GMDB feature exceeds the related Account Values. For contracts wit</w:t>
      </w:r>
      <w:r>
        <w:rPr>
          <w:rFonts w:eastAsia="Times New Roman"/>
          <w:color w:val="000000"/>
          <w:sz w:val="20"/>
          <w:szCs w:val="20"/>
        </w:rPr>
        <w:t>h the GMIB feature, the NAR in the event of annuitization is the amount by which the present value of the GMIB benefits exceed the related Account Values, taking into account the relationship between current annuity purchase rates and the GMIB guaranteed a</w:t>
      </w:r>
      <w:r>
        <w:rPr>
          <w:rFonts w:eastAsia="Times New Roman"/>
          <w:color w:val="000000"/>
          <w:sz w:val="20"/>
          <w:szCs w:val="20"/>
        </w:rPr>
        <w:t>nnuity purchase rates. Since variable annuity contracts with GMDB features may also offer GMIB guarantees in the same contract, the GMDB and GMIB amounts listed are not mutually exclusive.</w:t>
      </w:r>
    </w:p>
    <w:p w:rsidR="00000000" w:rsidRDefault="000C147A">
      <w:pPr>
        <w:divId w:val="2040083066"/>
        <w:rPr>
          <w:rFonts w:eastAsia="Times New Roman"/>
        </w:rPr>
      </w:pPr>
    </w:p>
    <w:p w:rsidR="00000000" w:rsidRDefault="000C147A">
      <w:pPr>
        <w:jc w:val="center"/>
        <w:divId w:val="2042440178"/>
        <w:rPr>
          <w:rFonts w:eastAsia="Times New Roman"/>
        </w:rPr>
      </w:pPr>
    </w:p>
    <w:p w:rsidR="00000000" w:rsidRDefault="000C147A">
      <w:pPr>
        <w:jc w:val="center"/>
        <w:divId w:val="2042440178"/>
        <w:rPr>
          <w:rFonts w:eastAsia="Times New Roman"/>
        </w:rPr>
      </w:pPr>
      <w:r>
        <w:rPr>
          <w:rFonts w:eastAsia="Times New Roman"/>
          <w:color w:val="000000"/>
          <w:sz w:val="20"/>
          <w:szCs w:val="20"/>
        </w:rPr>
        <w:t>37</w:t>
      </w:r>
    </w:p>
    <w:p w:rsidR="00000000" w:rsidRDefault="000C147A">
      <w:pPr>
        <w:rPr>
          <w:rFonts w:eastAsia="Times New Roman"/>
        </w:rPr>
      </w:pPr>
      <w:r>
        <w:rPr>
          <w:rFonts w:eastAsia="Times New Roman"/>
        </w:rPr>
        <w:pict>
          <v:rect id="_x0000_i1063" style="width:0;height:1.5pt" o:hralign="center" o:hrstd="t" o:hr="t" fillcolor="#a0a0a0" stroked="f"/>
        </w:pict>
      </w:r>
    </w:p>
    <w:p w:rsidR="00000000" w:rsidRDefault="000C147A">
      <w:pPr>
        <w:jc w:val="center"/>
        <w:divId w:val="504593468"/>
        <w:rPr>
          <w:rFonts w:eastAsia="Times New Roman"/>
        </w:rPr>
      </w:pPr>
      <w:r>
        <w:rPr>
          <w:rFonts w:eastAsia="Times New Roman"/>
          <w:b/>
          <w:bCs/>
          <w:color w:val="000000"/>
          <w:sz w:val="20"/>
          <w:szCs w:val="20"/>
        </w:rPr>
        <w:t>EQUITABLE HOLDINGS, INC.</w:t>
      </w:r>
    </w:p>
    <w:p w:rsidR="00000000" w:rsidRDefault="000C147A">
      <w:pPr>
        <w:jc w:val="center"/>
        <w:divId w:val="504593468"/>
        <w:rPr>
          <w:rFonts w:eastAsia="Times New Roman"/>
        </w:rPr>
      </w:pPr>
      <w:r>
        <w:rPr>
          <w:rFonts w:eastAsia="Times New Roman"/>
          <w:b/>
          <w:bCs/>
          <w:color w:val="000000"/>
          <w:sz w:val="20"/>
          <w:szCs w:val="20"/>
        </w:rPr>
        <w:t>Notes to Consolidated Financial Statements (Unaudited), Continued</w:t>
      </w:r>
    </w:p>
    <w:p w:rsidR="00000000" w:rsidRDefault="000C147A">
      <w:pPr>
        <w:divId w:val="780151169"/>
        <w:rPr>
          <w:rFonts w:eastAsia="Times New Roman"/>
        </w:rPr>
      </w:pPr>
    </w:p>
    <w:p w:rsidR="00000000" w:rsidRDefault="000C147A">
      <w:pPr>
        <w:jc w:val="center"/>
        <w:rPr>
          <w:rFonts w:eastAsia="Times New Roman"/>
        </w:rPr>
      </w:pPr>
      <w:r>
        <w:rPr>
          <w:rFonts w:eastAsia="Times New Roman"/>
          <w:b/>
          <w:bCs/>
          <w:color w:val="000000"/>
          <w:sz w:val="20"/>
          <w:szCs w:val="20"/>
        </w:rPr>
        <w:t>Direct Variable Annuity Contracts with GMDB and GMIB Features</w:t>
      </w:r>
    </w:p>
    <w:p w:rsidR="00000000" w:rsidRDefault="000C147A">
      <w:pPr>
        <w:jc w:val="center"/>
        <w:rPr>
          <w:rFonts w:eastAsia="Times New Roman"/>
        </w:rPr>
      </w:pPr>
      <w:r>
        <w:rPr>
          <w:rFonts w:eastAsia="Times New Roman"/>
          <w:b/>
          <w:bCs/>
          <w:color w:val="000000"/>
          <w:sz w:val="20"/>
          <w:szCs w:val="20"/>
        </w:rPr>
        <w:t>at September 30, 2020</w:t>
      </w:r>
    </w:p>
    <w:tbl>
      <w:tblPr>
        <w:tblW w:w="4641" w:type="pct"/>
        <w:tblCellMar>
          <w:top w:w="15" w:type="dxa"/>
          <w:left w:w="15" w:type="dxa"/>
          <w:bottom w:w="15" w:type="dxa"/>
          <w:right w:w="15" w:type="dxa"/>
        </w:tblCellMar>
        <w:tblLook w:val="04A0" w:firstRow="1" w:lastRow="0" w:firstColumn="1" w:lastColumn="0" w:noHBand="0" w:noVBand="1"/>
      </w:tblPr>
      <w:tblGrid>
        <w:gridCol w:w="53"/>
        <w:gridCol w:w="2488"/>
        <w:gridCol w:w="37"/>
        <w:gridCol w:w="120"/>
        <w:gridCol w:w="600"/>
        <w:gridCol w:w="220"/>
        <w:gridCol w:w="36"/>
        <w:gridCol w:w="36"/>
        <w:gridCol w:w="36"/>
        <w:gridCol w:w="120"/>
        <w:gridCol w:w="500"/>
        <w:gridCol w:w="220"/>
        <w:gridCol w:w="36"/>
        <w:gridCol w:w="36"/>
        <w:gridCol w:w="36"/>
        <w:gridCol w:w="120"/>
        <w:gridCol w:w="600"/>
        <w:gridCol w:w="220"/>
        <w:gridCol w:w="36"/>
        <w:gridCol w:w="36"/>
        <w:gridCol w:w="36"/>
        <w:gridCol w:w="120"/>
        <w:gridCol w:w="600"/>
        <w:gridCol w:w="220"/>
        <w:gridCol w:w="36"/>
        <w:gridCol w:w="36"/>
        <w:gridCol w:w="36"/>
        <w:gridCol w:w="120"/>
        <w:gridCol w:w="700"/>
        <w:gridCol w:w="220"/>
      </w:tblGrid>
      <w:tr w:rsidR="00000000">
        <w:trPr>
          <w:divId w:val="837622692"/>
        </w:trPr>
        <w:tc>
          <w:tcPr>
            <w:tcW w:w="50" w:type="pct"/>
            <w:vAlign w:val="center"/>
            <w:hideMark/>
          </w:tcPr>
          <w:p w:rsidR="00000000" w:rsidRDefault="000C147A">
            <w:pPr>
              <w:jc w:val="center"/>
              <w:rPr>
                <w:rFonts w:eastAsia="Times New Roman"/>
              </w:rPr>
            </w:pPr>
          </w:p>
        </w:tc>
        <w:tc>
          <w:tcPr>
            <w:tcW w:w="21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3762269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Guarantee Type</w:t>
            </w:r>
          </w:p>
        </w:tc>
      </w:tr>
      <w:tr w:rsidR="00000000">
        <w:trPr>
          <w:divId w:val="83762269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83762269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age and interest rate)</w:t>
            </w: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u w:val="single"/>
              </w:rPr>
              <w:t>Variable annuity contracts with GMDB features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15,472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48,407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31,083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63,562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31,254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106,795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Amount at Risk, gross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19,561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21,644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Amount at Risk,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19,561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21,096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Average attained age of policyholders (in years)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Percentage of policyholders over age 70</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- 6.5%</w:t>
            </w:r>
          </w:p>
        </w:tc>
      </w:tr>
      <w:tr w:rsidR="00000000">
        <w:trPr>
          <w:divId w:val="837622692"/>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Account Values invested in:</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23,141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33,437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56,578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Amount at Risk, gross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14,461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Amount at Risk,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13,066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13,415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Average attained age of policyholders (in years)</w:t>
            </w: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762269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 - 6.5%</w:t>
            </w:r>
          </w:p>
        </w:tc>
      </w:tr>
    </w:tbl>
    <w:p w:rsidR="00000000" w:rsidRDefault="000C147A">
      <w:pPr>
        <w:ind w:hanging="360"/>
        <w:divId w:val="87629038"/>
        <w:rPr>
          <w:rFonts w:eastAsia="Times New Roman"/>
        </w:rPr>
      </w:pPr>
    </w:p>
    <w:p w:rsidR="00000000" w:rsidRDefault="000C147A">
      <w:pPr>
        <w:jc w:val="center"/>
        <w:rPr>
          <w:rFonts w:eastAsia="Times New Roman"/>
        </w:rPr>
      </w:pPr>
      <w:r>
        <w:rPr>
          <w:rFonts w:eastAsia="Times New Roman"/>
          <w:b/>
          <w:bCs/>
          <w:color w:val="000000"/>
          <w:sz w:val="20"/>
          <w:szCs w:val="20"/>
        </w:rPr>
        <w:t>Assumed Variable Annuity Contracts with GMDB and GMIB Features</w:t>
      </w:r>
    </w:p>
    <w:p w:rsidR="00000000" w:rsidRDefault="000C147A">
      <w:pPr>
        <w:jc w:val="center"/>
        <w:rPr>
          <w:rFonts w:eastAsia="Times New Roman"/>
        </w:rPr>
      </w:pPr>
      <w:r>
        <w:rPr>
          <w:rFonts w:eastAsia="Times New Roman"/>
          <w:b/>
          <w:bCs/>
          <w:color w:val="000000"/>
          <w:sz w:val="20"/>
          <w:szCs w:val="20"/>
        </w:rPr>
        <w:t>at September 30, 2020</w:t>
      </w:r>
    </w:p>
    <w:tbl>
      <w:tblPr>
        <w:tblW w:w="4627" w:type="pct"/>
        <w:tblCellMar>
          <w:top w:w="15" w:type="dxa"/>
          <w:left w:w="15" w:type="dxa"/>
          <w:bottom w:w="15" w:type="dxa"/>
          <w:right w:w="15" w:type="dxa"/>
        </w:tblCellMar>
        <w:tblLook w:val="04A0" w:firstRow="1" w:lastRow="0" w:firstColumn="1" w:lastColumn="0" w:noHBand="0" w:noVBand="1"/>
      </w:tblPr>
      <w:tblGrid>
        <w:gridCol w:w="39"/>
        <w:gridCol w:w="3040"/>
        <w:gridCol w:w="38"/>
        <w:gridCol w:w="120"/>
        <w:gridCol w:w="516"/>
        <w:gridCol w:w="220"/>
        <w:gridCol w:w="36"/>
        <w:gridCol w:w="36"/>
        <w:gridCol w:w="36"/>
        <w:gridCol w:w="120"/>
        <w:gridCol w:w="500"/>
        <w:gridCol w:w="220"/>
        <w:gridCol w:w="36"/>
        <w:gridCol w:w="36"/>
        <w:gridCol w:w="36"/>
        <w:gridCol w:w="120"/>
        <w:gridCol w:w="416"/>
        <w:gridCol w:w="220"/>
        <w:gridCol w:w="36"/>
        <w:gridCol w:w="36"/>
        <w:gridCol w:w="36"/>
        <w:gridCol w:w="120"/>
        <w:gridCol w:w="500"/>
        <w:gridCol w:w="220"/>
        <w:gridCol w:w="36"/>
        <w:gridCol w:w="36"/>
        <w:gridCol w:w="36"/>
        <w:gridCol w:w="120"/>
        <w:gridCol w:w="505"/>
        <w:gridCol w:w="220"/>
      </w:tblGrid>
      <w:tr w:rsidR="00000000">
        <w:trPr>
          <w:divId w:val="1288967643"/>
        </w:trPr>
        <w:tc>
          <w:tcPr>
            <w:tcW w:w="50" w:type="pct"/>
            <w:vAlign w:val="center"/>
            <w:hideMark/>
          </w:tcPr>
          <w:p w:rsidR="00000000" w:rsidRDefault="000C147A">
            <w:pPr>
              <w:jc w:val="center"/>
              <w:rPr>
                <w:rFonts w:eastAsia="Times New Roman"/>
              </w:rPr>
            </w:pPr>
          </w:p>
        </w:tc>
        <w:tc>
          <w:tcPr>
            <w:tcW w:w="21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28896764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Guarantee Type</w:t>
            </w:r>
          </w:p>
        </w:tc>
      </w:tr>
      <w:tr w:rsidR="00000000">
        <w:trPr>
          <w:divId w:val="128896764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28896764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age and interest rates)</w:t>
            </w:r>
          </w:p>
        </w:tc>
      </w:tr>
      <w:tr w:rsidR="00000000">
        <w:trPr>
          <w:divId w:val="128896764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u w:val="single"/>
              </w:rPr>
              <w:t>Variable annuity contracts with GMDB features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8896764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8896764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88967643"/>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8896764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8896764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28896764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Range of contractually specified interest rates (1)</w:t>
            </w: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3%-10%</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5%-10%</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3%-10%</w:t>
            </w:r>
          </w:p>
        </w:tc>
      </w:tr>
    </w:tbl>
    <w:p w:rsidR="00000000" w:rsidRDefault="000C147A">
      <w:pPr>
        <w:jc w:val="center"/>
        <w:divId w:val="1873567062"/>
        <w:rPr>
          <w:rFonts w:eastAsia="Times New Roman"/>
        </w:rPr>
      </w:pPr>
    </w:p>
    <w:p w:rsidR="00000000" w:rsidRDefault="000C147A">
      <w:pPr>
        <w:jc w:val="center"/>
        <w:divId w:val="1873567062"/>
        <w:rPr>
          <w:rFonts w:eastAsia="Times New Roman"/>
        </w:rPr>
      </w:pPr>
      <w:r>
        <w:rPr>
          <w:rFonts w:eastAsia="Times New Roman"/>
          <w:color w:val="000000"/>
          <w:sz w:val="20"/>
          <w:szCs w:val="20"/>
        </w:rPr>
        <w:t>38</w:t>
      </w:r>
    </w:p>
    <w:p w:rsidR="00000000" w:rsidRDefault="000C147A">
      <w:pPr>
        <w:rPr>
          <w:rFonts w:eastAsia="Times New Roman"/>
        </w:rPr>
      </w:pPr>
      <w:r>
        <w:rPr>
          <w:rFonts w:eastAsia="Times New Roman"/>
        </w:rPr>
        <w:pict>
          <v:rect id="_x0000_i1064" style="width:0;height:1.5pt" o:hralign="center" o:hrstd="t" o:hr="t" fillcolor="#a0a0a0" stroked="f"/>
        </w:pict>
      </w:r>
    </w:p>
    <w:p w:rsidR="00000000" w:rsidRDefault="000C147A">
      <w:pPr>
        <w:jc w:val="center"/>
        <w:divId w:val="1082872861"/>
        <w:rPr>
          <w:rFonts w:eastAsia="Times New Roman"/>
        </w:rPr>
      </w:pPr>
      <w:r>
        <w:rPr>
          <w:rFonts w:eastAsia="Times New Roman"/>
          <w:b/>
          <w:bCs/>
          <w:color w:val="000000"/>
          <w:sz w:val="20"/>
          <w:szCs w:val="20"/>
        </w:rPr>
        <w:t>EQUITABLE HOLDINGS, INC.</w:t>
      </w:r>
    </w:p>
    <w:p w:rsidR="00000000" w:rsidRDefault="000C147A">
      <w:pPr>
        <w:jc w:val="center"/>
        <w:divId w:val="1082872861"/>
        <w:rPr>
          <w:rFonts w:eastAsia="Times New Roman"/>
        </w:rPr>
      </w:pPr>
      <w:r>
        <w:rPr>
          <w:rFonts w:eastAsia="Times New Roman"/>
          <w:b/>
          <w:bCs/>
          <w:color w:val="000000"/>
          <w:sz w:val="20"/>
          <w:szCs w:val="20"/>
        </w:rPr>
        <w:t>Notes to Consolidated Financial Statements (Unaudited), Continued</w:t>
      </w:r>
    </w:p>
    <w:tbl>
      <w:tblPr>
        <w:tblW w:w="4627" w:type="pct"/>
        <w:tblCellMar>
          <w:top w:w="15" w:type="dxa"/>
          <w:left w:w="15" w:type="dxa"/>
          <w:bottom w:w="15" w:type="dxa"/>
          <w:right w:w="15" w:type="dxa"/>
        </w:tblCellMar>
        <w:tblLook w:val="04A0" w:firstRow="1" w:lastRow="0" w:firstColumn="1" w:lastColumn="0" w:noHBand="0" w:noVBand="1"/>
      </w:tblPr>
      <w:tblGrid>
        <w:gridCol w:w="39"/>
        <w:gridCol w:w="3040"/>
        <w:gridCol w:w="38"/>
        <w:gridCol w:w="120"/>
        <w:gridCol w:w="516"/>
        <w:gridCol w:w="220"/>
        <w:gridCol w:w="36"/>
        <w:gridCol w:w="36"/>
        <w:gridCol w:w="36"/>
        <w:gridCol w:w="121"/>
        <w:gridCol w:w="385"/>
        <w:gridCol w:w="220"/>
        <w:gridCol w:w="36"/>
        <w:gridCol w:w="36"/>
        <w:gridCol w:w="36"/>
        <w:gridCol w:w="120"/>
        <w:gridCol w:w="531"/>
        <w:gridCol w:w="220"/>
        <w:gridCol w:w="36"/>
        <w:gridCol w:w="36"/>
        <w:gridCol w:w="36"/>
        <w:gridCol w:w="120"/>
        <w:gridCol w:w="500"/>
        <w:gridCol w:w="220"/>
        <w:gridCol w:w="36"/>
        <w:gridCol w:w="36"/>
        <w:gridCol w:w="36"/>
        <w:gridCol w:w="120"/>
        <w:gridCol w:w="504"/>
        <w:gridCol w:w="220"/>
      </w:tblGrid>
      <w:tr w:rsidR="00000000">
        <w:trPr>
          <w:divId w:val="2022975530"/>
        </w:trPr>
        <w:tc>
          <w:tcPr>
            <w:tcW w:w="50" w:type="pct"/>
            <w:vAlign w:val="center"/>
            <w:hideMark/>
          </w:tcPr>
          <w:p w:rsidR="00000000" w:rsidRDefault="000C147A">
            <w:pPr>
              <w:jc w:val="center"/>
              <w:rPr>
                <w:rFonts w:eastAsia="Times New Roman"/>
              </w:rPr>
            </w:pPr>
          </w:p>
        </w:tc>
        <w:tc>
          <w:tcPr>
            <w:tcW w:w="21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02297553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Guarantee Type</w:t>
            </w:r>
          </w:p>
        </w:tc>
      </w:tr>
      <w:tr w:rsidR="00000000">
        <w:trPr>
          <w:divId w:val="202297553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202297553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age and interest rates)</w:t>
            </w:r>
          </w:p>
        </w:tc>
      </w:tr>
      <w:tr w:rsidR="00000000">
        <w:trPr>
          <w:divId w:val="2022975530"/>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02297553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02297553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2297553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22975530"/>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02297553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2297553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202297553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3.3%-6.5%</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6%-6%</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3.3%-6.5%</w:t>
            </w:r>
          </w:p>
        </w:tc>
      </w:tr>
    </w:tbl>
    <w:p w:rsidR="00000000" w:rsidRDefault="000C147A">
      <w:pPr>
        <w:ind w:hanging="360"/>
        <w:divId w:val="1598758354"/>
        <w:rPr>
          <w:rFonts w:eastAsia="Times New Roman"/>
        </w:rPr>
      </w:pPr>
      <w:r>
        <w:rPr>
          <w:rFonts w:eastAsia="Times New Roman"/>
          <w:color w:val="000000"/>
          <w:sz w:val="18"/>
          <w:szCs w:val="18"/>
        </w:rPr>
        <w:t>______________</w:t>
      </w:r>
    </w:p>
    <w:p w:rsidR="00000000" w:rsidRDefault="000C147A">
      <w:pPr>
        <w:ind w:hanging="360"/>
        <w:divId w:val="215433667"/>
        <w:rPr>
          <w:rFonts w:eastAsia="Times New Roman"/>
        </w:rPr>
      </w:pPr>
      <w:r>
        <w:rPr>
          <w:rFonts w:eastAsia="Times New Roman"/>
          <w:color w:val="000000"/>
          <w:sz w:val="18"/>
          <w:szCs w:val="18"/>
        </w:rPr>
        <w:t>(1)</w:t>
      </w:r>
      <w:r>
        <w:rPr>
          <w:rFonts w:eastAsia="Times New Roman"/>
          <w:color w:val="000000"/>
          <w:sz w:val="18"/>
          <w:szCs w:val="18"/>
        </w:rPr>
        <w:t>In general, for policies with the highest contractual interest rate shown (10%), the rate applied only for the first 10 years after issue, which has now elapsed.</w:t>
      </w:r>
    </w:p>
    <w:p w:rsidR="00000000" w:rsidRDefault="000C147A">
      <w:pPr>
        <w:divId w:val="1588418993"/>
        <w:rPr>
          <w:rFonts w:eastAsia="Times New Roman"/>
        </w:rPr>
      </w:pPr>
      <w:r>
        <w:rPr>
          <w:rFonts w:eastAsia="Times New Roman"/>
          <w:color w:val="000000"/>
          <w:sz w:val="20"/>
          <w:szCs w:val="20"/>
        </w:rPr>
        <w:t>For more information about the reinsurance programs of the Company’s GMDB and GMIB exposure, see “Reinsurance” in Note 11 to the Company’s consolidated financial statements included in the Annual Report on Form 10-K for the year ended December 31, 2019.</w:t>
      </w:r>
    </w:p>
    <w:p w:rsidR="00000000" w:rsidRDefault="000C147A">
      <w:pPr>
        <w:divId w:val="1798138996"/>
        <w:rPr>
          <w:rFonts w:eastAsia="Times New Roman"/>
        </w:rPr>
      </w:pPr>
      <w:r>
        <w:rPr>
          <w:rFonts w:eastAsia="Times New Roman"/>
          <w:color w:val="000000"/>
          <w:sz w:val="20"/>
          <w:szCs w:val="20"/>
          <w:u w:val="single"/>
        </w:rPr>
        <w:t>Se</w:t>
      </w:r>
      <w:r>
        <w:rPr>
          <w:rFonts w:eastAsia="Times New Roman"/>
          <w:color w:val="000000"/>
          <w:sz w:val="20"/>
          <w:szCs w:val="20"/>
          <w:u w:val="single"/>
        </w:rPr>
        <w:t>parate Accounts Investments by Investment Category Underlying Variable Annuity Contracts with GMDB and GMIB Features</w:t>
      </w:r>
    </w:p>
    <w:p w:rsidR="00000000" w:rsidRDefault="000C147A">
      <w:pPr>
        <w:divId w:val="1502240313"/>
        <w:rPr>
          <w:rFonts w:eastAsia="Times New Roman"/>
        </w:rPr>
      </w:pPr>
      <w:r>
        <w:rPr>
          <w:rFonts w:eastAsia="Times New Roman"/>
          <w:color w:val="000000"/>
          <w:sz w:val="20"/>
          <w:szCs w:val="20"/>
        </w:rPr>
        <w:t>The total Account Values of variable annuity contracts with GMDB and GMIB features include amounts allocated to the guaranteed interest opt</w:t>
      </w:r>
      <w:r>
        <w:rPr>
          <w:rFonts w:eastAsia="Times New Roman"/>
          <w:color w:val="000000"/>
          <w:sz w:val="20"/>
          <w:szCs w:val="20"/>
        </w:rPr>
        <w:t>ion, which is part of the General Account and variable investment options that invest through Separate Accounts in variable insurance trusts. The following table presents the aggregate fair value of assets, by major investment category, held by Separate Ac</w:t>
      </w:r>
      <w:r>
        <w:rPr>
          <w:rFonts w:eastAsia="Times New Roman"/>
          <w:color w:val="000000"/>
          <w:sz w:val="20"/>
          <w:szCs w:val="20"/>
        </w:rPr>
        <w:t>counts that support variable annuity contracts with GMDB and GMIB features. The investment performance of the assets impacts the related Account Values and, consequently, the NAR associated with the GMDB and GMIB benefits and guarantees. Because the Compan</w:t>
      </w:r>
      <w:r>
        <w:rPr>
          <w:rFonts w:eastAsia="Times New Roman"/>
          <w:color w:val="000000"/>
          <w:sz w:val="20"/>
          <w:szCs w:val="20"/>
        </w:rPr>
        <w:t>y’s variable annuity contracts offer both GMDB and GMIB features, GMDB and GMIB amounts are not mutually exclusive.</w:t>
      </w:r>
    </w:p>
    <w:p w:rsidR="00000000" w:rsidRDefault="000C147A">
      <w:pPr>
        <w:jc w:val="center"/>
        <w:rPr>
          <w:rFonts w:eastAsia="Times New Roman"/>
        </w:rPr>
      </w:pPr>
      <w:r>
        <w:rPr>
          <w:rFonts w:eastAsia="Times New Roman"/>
          <w:b/>
          <w:bCs/>
          <w:color w:val="000000"/>
          <w:sz w:val="20"/>
          <w:szCs w:val="20"/>
        </w:rPr>
        <w:t>Investment in Variable Insurance Trust Mutual Funds</w:t>
      </w:r>
    </w:p>
    <w:tbl>
      <w:tblPr>
        <w:tblW w:w="4649" w:type="pct"/>
        <w:tblCellMar>
          <w:top w:w="15" w:type="dxa"/>
          <w:left w:w="15" w:type="dxa"/>
          <w:bottom w:w="15" w:type="dxa"/>
          <w:right w:w="15" w:type="dxa"/>
        </w:tblCellMar>
        <w:tblLook w:val="04A0" w:firstRow="1" w:lastRow="0" w:firstColumn="1" w:lastColumn="0" w:noHBand="0" w:noVBand="1"/>
      </w:tblPr>
      <w:tblGrid>
        <w:gridCol w:w="39"/>
        <w:gridCol w:w="3745"/>
        <w:gridCol w:w="38"/>
        <w:gridCol w:w="120"/>
        <w:gridCol w:w="771"/>
        <w:gridCol w:w="36"/>
        <w:gridCol w:w="36"/>
        <w:gridCol w:w="36"/>
        <w:gridCol w:w="36"/>
        <w:gridCol w:w="120"/>
        <w:gridCol w:w="726"/>
        <w:gridCol w:w="36"/>
        <w:gridCol w:w="36"/>
        <w:gridCol w:w="36"/>
        <w:gridCol w:w="36"/>
        <w:gridCol w:w="120"/>
        <w:gridCol w:w="728"/>
        <w:gridCol w:w="36"/>
        <w:gridCol w:w="36"/>
        <w:gridCol w:w="36"/>
        <w:gridCol w:w="36"/>
        <w:gridCol w:w="120"/>
        <w:gridCol w:w="728"/>
        <w:gridCol w:w="36"/>
      </w:tblGrid>
      <w:tr w:rsidR="00000000">
        <w:trPr>
          <w:divId w:val="2078895503"/>
        </w:trPr>
        <w:tc>
          <w:tcPr>
            <w:tcW w:w="50" w:type="pct"/>
            <w:vAlign w:val="center"/>
            <w:hideMark/>
          </w:tcPr>
          <w:p w:rsidR="00000000" w:rsidRDefault="000C147A">
            <w:pPr>
              <w:jc w:val="center"/>
              <w:rPr>
                <w:rFonts w:eastAsia="Times New Roman"/>
              </w:rPr>
            </w:pPr>
          </w:p>
        </w:tc>
        <w:tc>
          <w:tcPr>
            <w:tcW w:w="246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078895503"/>
        </w:trPr>
        <w:tc>
          <w:tcPr>
            <w:tcW w:w="0" w:type="auto"/>
            <w:gridSpan w:val="3"/>
            <w:tcMar>
              <w:top w:w="30" w:type="dxa"/>
              <w:left w:w="20" w:type="dxa"/>
              <w:bottom w:w="30" w:type="dxa"/>
              <w:right w:w="20" w:type="dxa"/>
            </w:tcMar>
            <w:vAlign w:val="bottom"/>
            <w:hideMark/>
          </w:tcPr>
          <w:p w:rsidR="00000000" w:rsidRDefault="000C147A">
            <w:pPr>
              <w:divId w:val="1119639170"/>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2078895503"/>
        </w:trPr>
        <w:tc>
          <w:tcPr>
            <w:tcW w:w="0" w:type="auto"/>
            <w:gridSpan w:val="3"/>
            <w:tcMar>
              <w:top w:w="30" w:type="dxa"/>
              <w:left w:w="20" w:type="dxa"/>
              <w:bottom w:w="30" w:type="dxa"/>
              <w:right w:w="20" w:type="dxa"/>
            </w:tcMar>
            <w:vAlign w:val="bottom"/>
            <w:hideMark/>
          </w:tcPr>
          <w:p w:rsidR="00000000" w:rsidRDefault="000C147A">
            <w:pPr>
              <w:divId w:val="1307709148"/>
              <w:rPr>
                <w:rFonts w:eastAsia="Times New Roman"/>
              </w:rPr>
            </w:pPr>
            <w:r>
              <w:rPr>
                <w:rFonts w:eastAsia="Times New Roman"/>
                <w:b/>
                <w:bCs/>
                <w:color w:val="000000"/>
                <w:sz w:val="16"/>
                <w:szCs w:val="16"/>
              </w:rPr>
              <w:t>Mutual Fund Type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GMIB</w:t>
            </w:r>
          </w:p>
        </w:tc>
      </w:tr>
      <w:tr w:rsidR="00000000">
        <w:trPr>
          <w:divId w:val="207889550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divId w:val="595091159"/>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2078895503"/>
        </w:trPr>
        <w:tc>
          <w:tcPr>
            <w:tcW w:w="0" w:type="auto"/>
            <w:gridSpan w:val="3"/>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Equity</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41,259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16,739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42,489 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17,941 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78895503"/>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Fixed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78895503"/>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Balanced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43,684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36,656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45,872 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38,445 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78895503"/>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7889550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91,323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56,341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59,348 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807279063"/>
        <w:rPr>
          <w:rFonts w:eastAsia="Times New Roman"/>
        </w:rPr>
      </w:pPr>
    </w:p>
    <w:p w:rsidR="00000000" w:rsidRDefault="000C147A">
      <w:pPr>
        <w:divId w:val="1362049870"/>
        <w:rPr>
          <w:rFonts w:eastAsia="Times New Roman"/>
        </w:rPr>
      </w:pPr>
      <w:r>
        <w:rPr>
          <w:rFonts w:eastAsia="Times New Roman"/>
          <w:color w:val="000000"/>
          <w:sz w:val="20"/>
          <w:szCs w:val="20"/>
          <w:u w:val="single"/>
        </w:rPr>
        <w:t>Hedging Programs for GMDB, GMIB, GIB and Other Features</w:t>
      </w:r>
    </w:p>
    <w:p w:rsidR="00000000" w:rsidRDefault="000C147A">
      <w:pPr>
        <w:divId w:val="824203212"/>
        <w:rPr>
          <w:rFonts w:eastAsia="Times New Roman"/>
        </w:rPr>
      </w:pPr>
      <w:r>
        <w:rPr>
          <w:rFonts w:eastAsia="Times New Roman"/>
          <w:color w:val="000000"/>
          <w:sz w:val="20"/>
          <w:szCs w:val="20"/>
        </w:rPr>
        <w:t>The Company has a program intended to hedge certain risks associated first with the GMDB feature and wi</w:t>
      </w:r>
      <w:r>
        <w:rPr>
          <w:rFonts w:eastAsia="Times New Roman"/>
          <w:color w:val="000000"/>
          <w:sz w:val="20"/>
          <w:szCs w:val="20"/>
        </w:rPr>
        <w:t xml:space="preserve">th the GMIB feature of the Accumulator series of variable annuity products. The program has also been extended to cover other guaranteed benefits as they have been made available. This program utilizes derivative contracts, such as exchange-traded equity, </w:t>
      </w:r>
      <w:r>
        <w:rPr>
          <w:rFonts w:eastAsia="Times New Roman"/>
          <w:color w:val="000000"/>
          <w:sz w:val="20"/>
          <w:szCs w:val="20"/>
        </w:rPr>
        <w:t>currency and interest rate futures contracts, total return and/or equity swaps, interest rate swap and floor contracts, swaptions, variance swaps as well as equity options, that collectively are managed in an effort to reduce the economic impact of unfavor</w:t>
      </w:r>
      <w:r>
        <w:rPr>
          <w:rFonts w:eastAsia="Times New Roman"/>
          <w:color w:val="000000"/>
          <w:sz w:val="20"/>
          <w:szCs w:val="20"/>
        </w:rPr>
        <w:t xml:space="preserve">able changes in guaranteed benefits’ exposures attributable to movements in the capital markets. At the present time, this program hedges certain economic risks on products sold from 2001 forward, to the extent such risks are not externally reinsured. </w:t>
      </w:r>
    </w:p>
    <w:p w:rsidR="00000000" w:rsidRDefault="000C147A">
      <w:pPr>
        <w:divId w:val="1498686901"/>
        <w:rPr>
          <w:rFonts w:eastAsia="Times New Roman"/>
        </w:rPr>
      </w:pPr>
      <w:r>
        <w:rPr>
          <w:rFonts w:eastAsia="Times New Roman"/>
          <w:color w:val="000000"/>
          <w:sz w:val="20"/>
          <w:szCs w:val="20"/>
        </w:rPr>
        <w:t>The</w:t>
      </w:r>
      <w:r>
        <w:rPr>
          <w:rFonts w:eastAsia="Times New Roman"/>
          <w:color w:val="000000"/>
          <w:sz w:val="20"/>
          <w:szCs w:val="20"/>
        </w:rPr>
        <w:t>se programs do not qualify for hedge accounting treatment. Therefore, gains (losses) on the derivatives contracts used in these programs, including current period changes in fair value, are recognized in Net derivative gains (losses) in the period in which</w:t>
      </w:r>
      <w:r>
        <w:rPr>
          <w:rFonts w:eastAsia="Times New Roman"/>
          <w:color w:val="000000"/>
          <w:sz w:val="20"/>
          <w:szCs w:val="20"/>
        </w:rPr>
        <w:t xml:space="preserve"> they occur, and may contribute to income (loss) volatility.</w:t>
      </w:r>
    </w:p>
    <w:p w:rsidR="00000000" w:rsidRDefault="000C147A">
      <w:pPr>
        <w:jc w:val="center"/>
        <w:divId w:val="308487692"/>
        <w:rPr>
          <w:rFonts w:eastAsia="Times New Roman"/>
        </w:rPr>
      </w:pPr>
    </w:p>
    <w:p w:rsidR="00000000" w:rsidRDefault="000C147A">
      <w:pPr>
        <w:jc w:val="center"/>
        <w:divId w:val="308487692"/>
        <w:rPr>
          <w:rFonts w:eastAsia="Times New Roman"/>
        </w:rPr>
      </w:pPr>
      <w:r>
        <w:rPr>
          <w:rFonts w:eastAsia="Times New Roman"/>
          <w:color w:val="000000"/>
          <w:sz w:val="20"/>
          <w:szCs w:val="20"/>
        </w:rPr>
        <w:t>39</w:t>
      </w:r>
    </w:p>
    <w:p w:rsidR="00000000" w:rsidRDefault="000C147A">
      <w:pPr>
        <w:rPr>
          <w:rFonts w:eastAsia="Times New Roman"/>
        </w:rPr>
      </w:pPr>
      <w:r>
        <w:rPr>
          <w:rFonts w:eastAsia="Times New Roman"/>
        </w:rPr>
        <w:pict>
          <v:rect id="_x0000_i1065" style="width:0;height:1.5pt" o:hralign="center" o:hrstd="t" o:hr="t" fillcolor="#a0a0a0" stroked="f"/>
        </w:pict>
      </w:r>
    </w:p>
    <w:p w:rsidR="00000000" w:rsidRDefault="000C147A">
      <w:pPr>
        <w:jc w:val="center"/>
        <w:divId w:val="1674145124"/>
        <w:rPr>
          <w:rFonts w:eastAsia="Times New Roman"/>
        </w:rPr>
      </w:pPr>
      <w:r>
        <w:rPr>
          <w:rFonts w:eastAsia="Times New Roman"/>
          <w:b/>
          <w:bCs/>
          <w:color w:val="000000"/>
          <w:sz w:val="20"/>
          <w:szCs w:val="20"/>
        </w:rPr>
        <w:t>EQUITABLE HOLDINGS, INC.</w:t>
      </w:r>
    </w:p>
    <w:p w:rsidR="00000000" w:rsidRDefault="000C147A">
      <w:pPr>
        <w:jc w:val="center"/>
        <w:divId w:val="1674145124"/>
        <w:rPr>
          <w:rFonts w:eastAsia="Times New Roman"/>
        </w:rPr>
      </w:pPr>
      <w:r>
        <w:rPr>
          <w:rFonts w:eastAsia="Times New Roman"/>
          <w:b/>
          <w:bCs/>
          <w:color w:val="000000"/>
          <w:sz w:val="20"/>
          <w:szCs w:val="20"/>
        </w:rPr>
        <w:t>Notes to Consolidated Financial Statements (Unaudited), Continued</w:t>
      </w:r>
    </w:p>
    <w:p w:rsidR="00000000" w:rsidRDefault="000C147A">
      <w:pPr>
        <w:divId w:val="1074207478"/>
        <w:rPr>
          <w:rFonts w:eastAsia="Times New Roman"/>
        </w:rPr>
      </w:pPr>
      <w:r>
        <w:rPr>
          <w:rFonts w:eastAsia="Times New Roman"/>
          <w:color w:val="000000"/>
          <w:sz w:val="20"/>
          <w:szCs w:val="20"/>
          <w:u w:val="single"/>
        </w:rPr>
        <w:t>Variable and Interest-Sensitive Life Insurance Policies – NLG</w:t>
      </w:r>
    </w:p>
    <w:p w:rsidR="00000000" w:rsidRDefault="000C147A">
      <w:pPr>
        <w:divId w:val="1682121145"/>
        <w:rPr>
          <w:rFonts w:eastAsia="Times New Roman"/>
        </w:rPr>
      </w:pPr>
      <w:r>
        <w:rPr>
          <w:rFonts w:eastAsia="Times New Roman"/>
          <w:color w:val="000000"/>
          <w:sz w:val="20"/>
          <w:szCs w:val="20"/>
        </w:rPr>
        <w:t>T</w:t>
      </w:r>
      <w:r>
        <w:rPr>
          <w:rFonts w:eastAsia="Times New Roman"/>
          <w:color w:val="000000"/>
          <w:sz w:val="20"/>
          <w:szCs w:val="20"/>
        </w:rPr>
        <w:t>he NLG feature contained in variable and interest-sensitive life insurance policies keeps them in force in situations where the policy value is not sufficient to cover monthly charges then due. The NLG remains in effect so long as the policy meets a contra</w:t>
      </w:r>
      <w:r>
        <w:rPr>
          <w:rFonts w:eastAsia="Times New Roman"/>
          <w:color w:val="000000"/>
          <w:sz w:val="20"/>
          <w:szCs w:val="20"/>
        </w:rPr>
        <w:t>ctually specified premium funding test and certain other requirements.</w:t>
      </w:r>
    </w:p>
    <w:p w:rsidR="00000000" w:rsidRDefault="000C147A">
      <w:pPr>
        <w:divId w:val="1100642484"/>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4627" w:type="pct"/>
        <w:tblCellMar>
          <w:top w:w="15" w:type="dxa"/>
          <w:left w:w="15" w:type="dxa"/>
          <w:bottom w:w="15" w:type="dxa"/>
          <w:right w:w="15" w:type="dxa"/>
        </w:tblCellMar>
        <w:tblLook w:val="04A0" w:firstRow="1" w:lastRow="0" w:firstColumn="1" w:lastColumn="0" w:noHBand="0" w:noVBand="1"/>
      </w:tblPr>
      <w:tblGrid>
        <w:gridCol w:w="38"/>
        <w:gridCol w:w="3197"/>
        <w:gridCol w:w="37"/>
        <w:gridCol w:w="120"/>
        <w:gridCol w:w="886"/>
        <w:gridCol w:w="36"/>
        <w:gridCol w:w="36"/>
        <w:gridCol w:w="36"/>
        <w:gridCol w:w="36"/>
        <w:gridCol w:w="120"/>
        <w:gridCol w:w="886"/>
        <w:gridCol w:w="36"/>
        <w:gridCol w:w="36"/>
        <w:gridCol w:w="36"/>
        <w:gridCol w:w="36"/>
        <w:gridCol w:w="120"/>
        <w:gridCol w:w="858"/>
        <w:gridCol w:w="36"/>
        <w:gridCol w:w="36"/>
        <w:gridCol w:w="36"/>
        <w:gridCol w:w="36"/>
        <w:gridCol w:w="120"/>
        <w:gridCol w:w="836"/>
        <w:gridCol w:w="36"/>
      </w:tblGrid>
      <w:tr w:rsidR="00000000">
        <w:trPr>
          <w:divId w:val="555816334"/>
        </w:trPr>
        <w:tc>
          <w:tcPr>
            <w:tcW w:w="50" w:type="pct"/>
            <w:vAlign w:val="center"/>
            <w:hideMark/>
          </w:tcPr>
          <w:p w:rsidR="00000000" w:rsidRDefault="000C147A">
            <w:pPr>
              <w:rPr>
                <w:rFonts w:eastAsia="Times New Roman"/>
              </w:rPr>
            </w:pPr>
          </w:p>
        </w:tc>
        <w:tc>
          <w:tcPr>
            <w:tcW w:w="21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4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55581633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Direct Liability (1)</w:t>
            </w:r>
          </w:p>
        </w:tc>
      </w:tr>
      <w:tr w:rsidR="00000000">
        <w:trPr>
          <w:divId w:val="55581633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55581633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55581633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55581633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Beginning balance (2)</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55581633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55581633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 changes in reserves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55581633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1990596165"/>
        <w:rPr>
          <w:rFonts w:eastAsia="Times New Roman"/>
        </w:rPr>
      </w:pPr>
      <w:r>
        <w:rPr>
          <w:rFonts w:eastAsia="Times New Roman"/>
          <w:color w:val="000000"/>
          <w:sz w:val="18"/>
          <w:szCs w:val="18"/>
        </w:rPr>
        <w:t>______________</w:t>
      </w:r>
    </w:p>
    <w:p w:rsidR="00000000" w:rsidRDefault="000C147A">
      <w:pPr>
        <w:ind w:hanging="360"/>
        <w:divId w:val="1595673833"/>
        <w:rPr>
          <w:rFonts w:eastAsia="Times New Roman"/>
        </w:rPr>
      </w:pPr>
      <w:r>
        <w:rPr>
          <w:rFonts w:eastAsia="Times New Roman"/>
          <w:color w:val="000000"/>
          <w:sz w:val="18"/>
          <w:szCs w:val="18"/>
        </w:rPr>
        <w:t>(1)There were no amounts of reinsurance ceded in any period presented.</w:t>
      </w:r>
    </w:p>
    <w:p w:rsidR="00000000" w:rsidRDefault="000C147A">
      <w:pPr>
        <w:ind w:hanging="360"/>
        <w:divId w:val="1231111878"/>
        <w:rPr>
          <w:rFonts w:eastAsia="Times New Roman"/>
        </w:rPr>
      </w:pPr>
      <w:r>
        <w:rPr>
          <w:rFonts w:eastAsia="Times New Roman"/>
          <w:color w:val="000000"/>
          <w:sz w:val="18"/>
          <w:szCs w:val="18"/>
        </w:rPr>
        <w:t xml:space="preserve">(2)The beginning balance for the nine months ended September </w:t>
      </w:r>
      <w:r>
        <w:rPr>
          <w:rFonts w:eastAsia="Times New Roman"/>
          <w:color w:val="000000"/>
          <w:sz w:val="18"/>
          <w:szCs w:val="18"/>
        </w:rPr>
        <w:t>30, 2020 was reduced by $22 million to reflect the balance transferred to Assets HFS at December 31, 2019.</w:t>
      </w:r>
    </w:p>
    <w:p w:rsidR="00000000" w:rsidRDefault="000C147A">
      <w:pPr>
        <w:divId w:val="796950504"/>
        <w:rPr>
          <w:rFonts w:eastAsia="Times New Roman"/>
        </w:rPr>
      </w:pPr>
      <w:r>
        <w:rPr>
          <w:rFonts w:eastAsia="Times New Roman"/>
          <w:b/>
          <w:bCs/>
          <w:color w:val="000000"/>
          <w:sz w:val="20"/>
          <w:szCs w:val="20"/>
        </w:rPr>
        <w:t xml:space="preserve">8)    FAIR VALUE DISCLOSURES </w:t>
      </w:r>
    </w:p>
    <w:p w:rsidR="00000000" w:rsidRDefault="000C147A">
      <w:pPr>
        <w:divId w:val="421142096"/>
        <w:rPr>
          <w:rFonts w:eastAsia="Times New Roman"/>
        </w:rPr>
      </w:pPr>
      <w:r>
        <w:rPr>
          <w:rFonts w:eastAsia="Times New Roman"/>
          <w:color w:val="000000"/>
          <w:sz w:val="20"/>
          <w:szCs w:val="20"/>
        </w:rPr>
        <w:t>U.S. GAAP establishes a fair value hierarchy that requires an entity to maximize the use of observable inputs and minim</w:t>
      </w:r>
      <w:r>
        <w:rPr>
          <w:rFonts w:eastAsia="Times New Roman"/>
          <w:color w:val="000000"/>
          <w:sz w:val="20"/>
          <w:szCs w:val="20"/>
        </w:rPr>
        <w:t>ize the use of unobservable inputs when measuring fair value, and identifies three levels of inputs that may be used to measure fair value:</w:t>
      </w:r>
    </w:p>
    <w:p w:rsidR="00000000" w:rsidRDefault="000C147A">
      <w:pPr>
        <w:ind w:hanging="360"/>
        <w:jc w:val="both"/>
        <w:divId w:val="58358859"/>
        <w:rPr>
          <w:rFonts w:eastAsia="Times New Roman"/>
        </w:rPr>
      </w:pPr>
      <w:r>
        <w:rPr>
          <w:rFonts w:eastAsia="Times New Roman"/>
          <w:color w:val="000000"/>
          <w:sz w:val="20"/>
          <w:szCs w:val="20"/>
        </w:rPr>
        <w:t>Level 1    Unadjusted quoted prices for identical instruments in active markets. Level 1 fair values generally are s</w:t>
      </w:r>
      <w:r>
        <w:rPr>
          <w:rFonts w:eastAsia="Times New Roman"/>
          <w:color w:val="000000"/>
          <w:sz w:val="20"/>
          <w:szCs w:val="20"/>
        </w:rPr>
        <w:t>upported by market transactions that occur with sufficient frequency and volume to provide pricing information on an ongoing basis.</w:t>
      </w:r>
    </w:p>
    <w:p w:rsidR="00000000" w:rsidRDefault="000C147A">
      <w:pPr>
        <w:ind w:hanging="360"/>
        <w:jc w:val="both"/>
        <w:divId w:val="2075080758"/>
        <w:rPr>
          <w:rFonts w:eastAsia="Times New Roman"/>
        </w:rPr>
      </w:pPr>
      <w:r>
        <w:rPr>
          <w:rFonts w:eastAsia="Times New Roman"/>
          <w:color w:val="000000"/>
          <w:sz w:val="20"/>
          <w:szCs w:val="20"/>
        </w:rPr>
        <w:t>Level 2    Observable inputs other than Level 1 prices, such as quoted prices for similar instruments, quoted prices in mark</w:t>
      </w:r>
      <w:r>
        <w:rPr>
          <w:rFonts w:eastAsia="Times New Roman"/>
          <w:color w:val="000000"/>
          <w:sz w:val="20"/>
          <w:szCs w:val="20"/>
        </w:rPr>
        <w:t>ets that are not active, and inputs to model-derived valuations that are directly observable or can be corroborated by observable market data.</w:t>
      </w:r>
    </w:p>
    <w:p w:rsidR="00000000" w:rsidRDefault="000C147A">
      <w:pPr>
        <w:ind w:hanging="360"/>
        <w:jc w:val="both"/>
        <w:divId w:val="396831228"/>
        <w:rPr>
          <w:rFonts w:eastAsia="Times New Roman"/>
        </w:rPr>
      </w:pPr>
      <w:r>
        <w:rPr>
          <w:rFonts w:eastAsia="Times New Roman"/>
          <w:color w:val="000000"/>
          <w:sz w:val="20"/>
          <w:szCs w:val="20"/>
        </w:rPr>
        <w:t>Level 3    Unobservable inputs supported by little or no market activity and often requiring significant manageme</w:t>
      </w:r>
      <w:r>
        <w:rPr>
          <w:rFonts w:eastAsia="Times New Roman"/>
          <w:color w:val="000000"/>
          <w:sz w:val="20"/>
          <w:szCs w:val="20"/>
        </w:rPr>
        <w:t>nt judgment or estimation, such as an entity’s own assumptions about the cash flows or other significant components of value that market participants would use in pricing the asset or liability.</w:t>
      </w:r>
    </w:p>
    <w:p w:rsidR="00000000" w:rsidRDefault="000C147A">
      <w:pPr>
        <w:divId w:val="727337404"/>
        <w:rPr>
          <w:rFonts w:eastAsia="Times New Roman"/>
        </w:rPr>
      </w:pPr>
      <w:r>
        <w:rPr>
          <w:rFonts w:eastAsia="Times New Roman"/>
          <w:color w:val="000000"/>
          <w:sz w:val="20"/>
          <w:szCs w:val="20"/>
        </w:rPr>
        <w:t>The Company uses unadjusted quoted market prices to measure f</w:t>
      </w:r>
      <w:r>
        <w:rPr>
          <w:rFonts w:eastAsia="Times New Roman"/>
          <w:color w:val="000000"/>
          <w:sz w:val="20"/>
          <w:szCs w:val="20"/>
        </w:rPr>
        <w:t>air value for those instruments that are actively traded in financial markets. In cases where quoted market prices are not available, fair values are measured using present value or other valuation techniques. The fair value determinations are made at a sp</w:t>
      </w:r>
      <w:r>
        <w:rPr>
          <w:rFonts w:eastAsia="Times New Roman"/>
          <w:color w:val="000000"/>
          <w:sz w:val="20"/>
          <w:szCs w:val="20"/>
        </w:rPr>
        <w:t xml:space="preserve">ecific point in time, based on available market information and judgments about the financial instrument, including estimates of the timing and amount of expected future cash flows and the credit standing of counterparties. Such adjustments do not reflect </w:t>
      </w:r>
      <w:r>
        <w:rPr>
          <w:rFonts w:eastAsia="Times New Roman"/>
          <w:color w:val="000000"/>
          <w:sz w:val="20"/>
          <w:szCs w:val="20"/>
        </w:rPr>
        <w:t>any premium or discount that could result from offering for sale at one time the Company’s entire holdings of a particular financial instrument, nor do they consider the tax impact of the realization of unrealized gains or losses. In many cases, the fair v</w:t>
      </w:r>
      <w:r>
        <w:rPr>
          <w:rFonts w:eastAsia="Times New Roman"/>
          <w:color w:val="000000"/>
          <w:sz w:val="20"/>
          <w:szCs w:val="20"/>
        </w:rPr>
        <w:t>alue cannot be substantiated by direct comparison to independent markets, nor can the disclosed value be realized in immediate settlement of the instrument.</w:t>
      </w:r>
    </w:p>
    <w:p w:rsidR="00000000" w:rsidRDefault="000C147A">
      <w:pPr>
        <w:divId w:val="1127359354"/>
        <w:rPr>
          <w:rFonts w:eastAsia="Times New Roman"/>
        </w:rPr>
      </w:pPr>
      <w:r>
        <w:rPr>
          <w:rFonts w:eastAsia="Times New Roman"/>
          <w:color w:val="000000"/>
          <w:sz w:val="20"/>
          <w:szCs w:val="20"/>
        </w:rPr>
        <w:t>Management is responsible for the determination of the value of investments carried at fair value a</w:t>
      </w:r>
      <w:r>
        <w:rPr>
          <w:rFonts w:eastAsia="Times New Roman"/>
          <w:color w:val="000000"/>
          <w:sz w:val="20"/>
          <w:szCs w:val="20"/>
        </w:rPr>
        <w:t>nd the supporting methodologies and assumptions. Under the terms of various service agreements, the Company often utilizes independent valuation service providers to gather, analyze, and interpret market information and derive fair values based upon releva</w:t>
      </w:r>
      <w:r>
        <w:rPr>
          <w:rFonts w:eastAsia="Times New Roman"/>
          <w:color w:val="000000"/>
          <w:sz w:val="20"/>
          <w:szCs w:val="20"/>
        </w:rPr>
        <w:t>nt methodologies and assumptions for individual securities. These independent valuation service providers typically obtain data about market transactions and other key valuation model inputs from multiple sources and, through the use of widely accepted val</w:t>
      </w:r>
      <w:r>
        <w:rPr>
          <w:rFonts w:eastAsia="Times New Roman"/>
          <w:color w:val="000000"/>
          <w:sz w:val="20"/>
          <w:szCs w:val="20"/>
        </w:rPr>
        <w:t>uation models, provide a single fair value measurement for individual securities for which a fair value has been requested. As further described below with respect to specific asset classes, these inputs include, but are not limited to, market prices for r</w:t>
      </w:r>
      <w:r>
        <w:rPr>
          <w:rFonts w:eastAsia="Times New Roman"/>
          <w:color w:val="000000"/>
          <w:sz w:val="20"/>
          <w:szCs w:val="20"/>
        </w:rPr>
        <w:t>ecent trades and transactions in comparable securities, benchmark yields, interest rate yield curves, credit spreads, quoted prices for similar securities, and other market-observable information, as applicable. Specific attributes of the security being va</w:t>
      </w:r>
      <w:r>
        <w:rPr>
          <w:rFonts w:eastAsia="Times New Roman"/>
          <w:color w:val="000000"/>
          <w:sz w:val="20"/>
          <w:szCs w:val="20"/>
        </w:rPr>
        <w:t>lued also are considered, including its term, interest rate, credit rating, industry sector, and when applicable, collateral quality and other security- or issuer-</w:t>
      </w:r>
    </w:p>
    <w:p w:rsidR="00000000" w:rsidRDefault="000C147A">
      <w:pPr>
        <w:jc w:val="center"/>
        <w:divId w:val="322438648"/>
        <w:rPr>
          <w:rFonts w:eastAsia="Times New Roman"/>
        </w:rPr>
      </w:pPr>
    </w:p>
    <w:p w:rsidR="00000000" w:rsidRDefault="000C147A">
      <w:pPr>
        <w:jc w:val="center"/>
        <w:divId w:val="322438648"/>
        <w:rPr>
          <w:rFonts w:eastAsia="Times New Roman"/>
        </w:rPr>
      </w:pPr>
      <w:r>
        <w:rPr>
          <w:rFonts w:eastAsia="Times New Roman"/>
          <w:color w:val="000000"/>
          <w:sz w:val="20"/>
          <w:szCs w:val="20"/>
        </w:rPr>
        <w:t>40</w:t>
      </w:r>
    </w:p>
    <w:p w:rsidR="00000000" w:rsidRDefault="000C147A">
      <w:pPr>
        <w:rPr>
          <w:rFonts w:eastAsia="Times New Roman"/>
        </w:rPr>
      </w:pPr>
      <w:r>
        <w:rPr>
          <w:rFonts w:eastAsia="Times New Roman"/>
        </w:rPr>
        <w:pict>
          <v:rect id="_x0000_i1066" style="width:0;height:1.5pt" o:hralign="center" o:hrstd="t" o:hr="t" fillcolor="#a0a0a0" stroked="f"/>
        </w:pict>
      </w:r>
    </w:p>
    <w:p w:rsidR="00000000" w:rsidRDefault="000C147A">
      <w:pPr>
        <w:jc w:val="center"/>
        <w:divId w:val="741802739"/>
        <w:rPr>
          <w:rFonts w:eastAsia="Times New Roman"/>
        </w:rPr>
      </w:pPr>
      <w:r>
        <w:rPr>
          <w:rFonts w:eastAsia="Times New Roman"/>
          <w:b/>
          <w:bCs/>
          <w:color w:val="000000"/>
          <w:sz w:val="20"/>
          <w:szCs w:val="20"/>
        </w:rPr>
        <w:t>EQUITABLE HOLDINGS, INC.</w:t>
      </w:r>
    </w:p>
    <w:p w:rsidR="00000000" w:rsidRDefault="000C147A">
      <w:pPr>
        <w:jc w:val="center"/>
        <w:divId w:val="741802739"/>
        <w:rPr>
          <w:rFonts w:eastAsia="Times New Roman"/>
        </w:rPr>
      </w:pPr>
      <w:r>
        <w:rPr>
          <w:rFonts w:eastAsia="Times New Roman"/>
          <w:b/>
          <w:bCs/>
          <w:color w:val="000000"/>
          <w:sz w:val="20"/>
          <w:szCs w:val="20"/>
        </w:rPr>
        <w:t>Notes to Consolidated Financial Statements (Unaudited), Continued</w:t>
      </w:r>
    </w:p>
    <w:p w:rsidR="00000000" w:rsidRDefault="000C147A">
      <w:pPr>
        <w:divId w:val="1001856969"/>
        <w:rPr>
          <w:rFonts w:eastAsia="Times New Roman"/>
        </w:rPr>
      </w:pPr>
      <w:r>
        <w:rPr>
          <w:rFonts w:eastAsia="Times New Roman"/>
          <w:color w:val="000000"/>
          <w:sz w:val="20"/>
          <w:szCs w:val="20"/>
        </w:rPr>
        <w:t xml:space="preserve">specific information. When insufficient market observable information is available upon which to measure fair value, the Company </w:t>
      </w:r>
      <w:r>
        <w:rPr>
          <w:rFonts w:eastAsia="Times New Roman"/>
          <w:color w:val="000000"/>
          <w:sz w:val="20"/>
          <w:szCs w:val="20"/>
        </w:rPr>
        <w:t>either will request brokers knowledgeable about these securities to provide a non-binding quote or will employ internal valuation models. Fair values received from independent valuation service providers and brokers and those internally modeled or otherwis</w:t>
      </w:r>
      <w:r>
        <w:rPr>
          <w:rFonts w:eastAsia="Times New Roman"/>
          <w:color w:val="000000"/>
          <w:sz w:val="20"/>
          <w:szCs w:val="20"/>
        </w:rPr>
        <w:t>e estimated are assessed for reasonableness.</w:t>
      </w:r>
    </w:p>
    <w:p w:rsidR="00000000" w:rsidRDefault="000C147A">
      <w:pPr>
        <w:divId w:val="1971200405"/>
        <w:rPr>
          <w:rFonts w:eastAsia="Times New Roman"/>
        </w:rPr>
      </w:pPr>
      <w:r>
        <w:rPr>
          <w:rFonts w:eastAsia="Times New Roman"/>
          <w:color w:val="000000"/>
          <w:sz w:val="20"/>
          <w:szCs w:val="20"/>
          <w:u w:val="single"/>
        </w:rPr>
        <w:t>Assets and Liabilities Measured at Fair Value on a Recurring Basis</w:t>
      </w:r>
    </w:p>
    <w:p w:rsidR="00000000" w:rsidRDefault="000C147A">
      <w:pPr>
        <w:divId w:val="1370912299"/>
        <w:rPr>
          <w:rFonts w:eastAsia="Times New Roman"/>
        </w:rPr>
      </w:pPr>
      <w:r>
        <w:rPr>
          <w:rFonts w:eastAsia="Times New Roman"/>
          <w:color w:val="000000"/>
          <w:sz w:val="20"/>
          <w:szCs w:val="20"/>
        </w:rPr>
        <w:t xml:space="preserve">Assets and liabilities measured at fair value on a recurring basis are summarized below. At September 30, 2020 and December 31, 2019, no assets </w:t>
      </w:r>
      <w:r>
        <w:rPr>
          <w:rFonts w:eastAsia="Times New Roman"/>
          <w:color w:val="000000"/>
          <w:sz w:val="20"/>
          <w:szCs w:val="20"/>
        </w:rPr>
        <w:t>were required to be measured at fair value on a non-recurring basis. Fair value measurements are required on a non-recurring basis for certain assets, including goodwill and mortgage loans on real estate, only when an impairment or other event occurs. When</w:t>
      </w:r>
      <w:r>
        <w:rPr>
          <w:rFonts w:eastAsia="Times New Roman"/>
          <w:color w:val="000000"/>
          <w:sz w:val="20"/>
          <w:szCs w:val="20"/>
        </w:rPr>
        <w:t xml:space="preserve"> such fair value measurements are recorded, they must be classified and disclosed within the fair value hierarchy.</w:t>
      </w:r>
    </w:p>
    <w:p w:rsidR="00000000" w:rsidRDefault="000C147A">
      <w:pPr>
        <w:jc w:val="center"/>
        <w:rPr>
          <w:rFonts w:eastAsia="Times New Roman"/>
        </w:rPr>
      </w:pPr>
      <w:r>
        <w:rPr>
          <w:rFonts w:eastAsia="Times New Roman"/>
          <w:b/>
          <w:bCs/>
          <w:color w:val="000000"/>
          <w:sz w:val="20"/>
          <w:szCs w:val="20"/>
        </w:rPr>
        <w:t>Fair Value Measurements at September 30, 2020</w:t>
      </w:r>
    </w:p>
    <w:tbl>
      <w:tblPr>
        <w:tblW w:w="4649" w:type="pct"/>
        <w:tblCellMar>
          <w:top w:w="15" w:type="dxa"/>
          <w:left w:w="15" w:type="dxa"/>
          <w:bottom w:w="15" w:type="dxa"/>
          <w:right w:w="15" w:type="dxa"/>
        </w:tblCellMar>
        <w:tblLook w:val="04A0" w:firstRow="1" w:lastRow="0" w:firstColumn="1" w:lastColumn="0" w:noHBand="0" w:noVBand="1"/>
      </w:tblPr>
      <w:tblGrid>
        <w:gridCol w:w="41"/>
        <w:gridCol w:w="3547"/>
        <w:gridCol w:w="39"/>
        <w:gridCol w:w="120"/>
        <w:gridCol w:w="820"/>
        <w:gridCol w:w="36"/>
        <w:gridCol w:w="36"/>
        <w:gridCol w:w="36"/>
        <w:gridCol w:w="36"/>
        <w:gridCol w:w="120"/>
        <w:gridCol w:w="775"/>
        <w:gridCol w:w="36"/>
        <w:gridCol w:w="36"/>
        <w:gridCol w:w="36"/>
        <w:gridCol w:w="36"/>
        <w:gridCol w:w="120"/>
        <w:gridCol w:w="776"/>
        <w:gridCol w:w="36"/>
        <w:gridCol w:w="36"/>
        <w:gridCol w:w="36"/>
        <w:gridCol w:w="36"/>
        <w:gridCol w:w="120"/>
        <w:gridCol w:w="777"/>
        <w:gridCol w:w="36"/>
      </w:tblGrid>
      <w:tr w:rsidR="00000000">
        <w:trPr>
          <w:divId w:val="1079793710"/>
        </w:trPr>
        <w:tc>
          <w:tcPr>
            <w:tcW w:w="50" w:type="pct"/>
            <w:vAlign w:val="center"/>
            <w:hideMark/>
          </w:tcPr>
          <w:p w:rsidR="00000000" w:rsidRDefault="000C147A">
            <w:pPr>
              <w:jc w:val="center"/>
              <w:rPr>
                <w:rFonts w:eastAsia="Times New Roman"/>
              </w:rPr>
            </w:pPr>
          </w:p>
        </w:tc>
        <w:tc>
          <w:tcPr>
            <w:tcW w:w="234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07979371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07979371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07979371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979371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55,812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77,464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79,379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invested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Assets of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divId w:val="65301671"/>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Futures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divId w:val="1654487153"/>
              <w:rPr>
                <w:rFonts w:eastAsia="Times New Roman"/>
              </w:rPr>
            </w:pPr>
            <w:r>
              <w:rPr>
                <w:rFonts w:eastAsia="Times New Roman"/>
                <w:color w:val="000000"/>
                <w:sz w:val="20"/>
                <w:szCs w:val="20"/>
              </w:rPr>
              <w:t>Separate Accounts assets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120,418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122,856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48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127,571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93,060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225,133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GMxB derivative features’ liability</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9793710"/>
        </w:trPr>
        <w:tc>
          <w:tcPr>
            <w:tcW w:w="0" w:type="auto"/>
            <w:gridSpan w:val="3"/>
            <w:shd w:val="clear" w:color="auto" w:fill="FFFFFF"/>
            <w:tcMar>
              <w:top w:w="30" w:type="dxa"/>
              <w:left w:w="48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2106152882"/>
        <w:rPr>
          <w:rFonts w:eastAsia="Times New Roman"/>
        </w:rPr>
      </w:pPr>
      <w:r>
        <w:rPr>
          <w:rFonts w:eastAsia="Times New Roman"/>
          <w:color w:val="000000"/>
          <w:sz w:val="20"/>
          <w:szCs w:val="20"/>
        </w:rPr>
        <w:t>______________</w:t>
      </w:r>
    </w:p>
    <w:p w:rsidR="00000000" w:rsidRDefault="000C147A">
      <w:pPr>
        <w:jc w:val="center"/>
        <w:divId w:val="1609851799"/>
        <w:rPr>
          <w:rFonts w:eastAsia="Times New Roman"/>
        </w:rPr>
      </w:pPr>
    </w:p>
    <w:p w:rsidR="00000000" w:rsidRDefault="000C147A">
      <w:pPr>
        <w:jc w:val="center"/>
        <w:divId w:val="1609851799"/>
        <w:rPr>
          <w:rFonts w:eastAsia="Times New Roman"/>
        </w:rPr>
      </w:pPr>
      <w:r>
        <w:rPr>
          <w:rFonts w:eastAsia="Times New Roman"/>
          <w:color w:val="000000"/>
          <w:sz w:val="20"/>
          <w:szCs w:val="20"/>
        </w:rPr>
        <w:t>41</w:t>
      </w:r>
    </w:p>
    <w:p w:rsidR="00000000" w:rsidRDefault="000C147A">
      <w:pPr>
        <w:rPr>
          <w:rFonts w:eastAsia="Times New Roman"/>
        </w:rPr>
      </w:pPr>
      <w:r>
        <w:rPr>
          <w:rFonts w:eastAsia="Times New Roman"/>
        </w:rPr>
        <w:pict>
          <v:rect id="_x0000_i1067" style="width:0;height:1.5pt" o:hralign="center" o:hrstd="t" o:hr="t" fillcolor="#a0a0a0" stroked="f"/>
        </w:pict>
      </w:r>
    </w:p>
    <w:p w:rsidR="00000000" w:rsidRDefault="000C147A">
      <w:pPr>
        <w:jc w:val="center"/>
        <w:divId w:val="1328433855"/>
        <w:rPr>
          <w:rFonts w:eastAsia="Times New Roman"/>
        </w:rPr>
      </w:pPr>
      <w:r>
        <w:rPr>
          <w:rFonts w:eastAsia="Times New Roman"/>
          <w:b/>
          <w:bCs/>
          <w:color w:val="000000"/>
          <w:sz w:val="20"/>
          <w:szCs w:val="20"/>
        </w:rPr>
        <w:t>EQUITABLE HOLDINGS, INC.</w:t>
      </w:r>
    </w:p>
    <w:p w:rsidR="00000000" w:rsidRDefault="000C147A">
      <w:pPr>
        <w:jc w:val="center"/>
        <w:divId w:val="1328433855"/>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 (Unaudited), Continued</w:t>
      </w:r>
    </w:p>
    <w:p w:rsidR="00000000" w:rsidRDefault="000C147A">
      <w:pPr>
        <w:ind w:hanging="360"/>
        <w:divId w:val="810053979"/>
        <w:rPr>
          <w:rFonts w:eastAsia="Times New Roman"/>
        </w:rPr>
      </w:pPr>
      <w:r>
        <w:rPr>
          <w:rFonts w:eastAsia="Times New Roman"/>
          <w:color w:val="000000"/>
          <w:sz w:val="18"/>
          <w:szCs w:val="18"/>
        </w:rPr>
        <w:t>(1)Corporate fixed maturities includes both public and private issues.</w:t>
      </w:r>
    </w:p>
    <w:p w:rsidR="00000000" w:rsidRDefault="000C147A">
      <w:pPr>
        <w:ind w:hanging="360"/>
        <w:divId w:val="1285967083"/>
        <w:rPr>
          <w:rFonts w:eastAsia="Times New Roman"/>
        </w:rPr>
      </w:pPr>
      <w:r>
        <w:rPr>
          <w:rFonts w:eastAsia="Times New Roman"/>
          <w:color w:val="000000"/>
          <w:sz w:val="18"/>
          <w:szCs w:val="18"/>
        </w:rPr>
        <w:t>(2)</w:t>
      </w:r>
      <w:r>
        <w:rPr>
          <w:rFonts w:eastAsia="Times New Roman"/>
          <w:color w:val="000000"/>
          <w:sz w:val="18"/>
          <w:szCs w:val="18"/>
        </w:rPr>
        <w:t>Includes publicly traded agency pass-through securities and collateralized obligations.</w:t>
      </w:r>
    </w:p>
    <w:p w:rsidR="00000000" w:rsidRDefault="000C147A">
      <w:pPr>
        <w:ind w:hanging="360"/>
        <w:divId w:val="1634482961"/>
        <w:rPr>
          <w:rFonts w:eastAsia="Times New Roman"/>
        </w:rPr>
      </w:pPr>
      <w:r>
        <w:rPr>
          <w:rFonts w:eastAsia="Times New Roman"/>
          <w:color w:val="000000"/>
          <w:sz w:val="18"/>
          <w:szCs w:val="18"/>
        </w:rPr>
        <w:t>(3)Includes credit-tranched securities collateralized by sub-prime mortgages and other asset types and credit tenant loans.</w:t>
      </w:r>
    </w:p>
    <w:p w:rsidR="00000000" w:rsidRDefault="000C147A">
      <w:pPr>
        <w:ind w:hanging="360"/>
        <w:divId w:val="386147320"/>
        <w:rPr>
          <w:rFonts w:eastAsia="Times New Roman"/>
        </w:rPr>
      </w:pPr>
      <w:r>
        <w:rPr>
          <w:rFonts w:eastAsia="Times New Roman"/>
          <w:color w:val="000000"/>
          <w:sz w:val="18"/>
          <w:szCs w:val="18"/>
        </w:rPr>
        <w:t xml:space="preserve">(4)Separate Accounts assets included in the </w:t>
      </w:r>
      <w:r>
        <w:rPr>
          <w:rFonts w:eastAsia="Times New Roman"/>
          <w:color w:val="000000"/>
          <w:sz w:val="18"/>
          <w:szCs w:val="18"/>
        </w:rPr>
        <w:t>fair value hierarchy exclude investments in entities that calculate NAV per share (or its equivalent) as a practical expedient. Such investments excluded from the fair value hierarchy include investments in real estate and commercial mortgages. At Septembe</w:t>
      </w:r>
      <w:r>
        <w:rPr>
          <w:rFonts w:eastAsia="Times New Roman"/>
          <w:color w:val="000000"/>
          <w:sz w:val="18"/>
          <w:szCs w:val="18"/>
        </w:rPr>
        <w:t>r 30, 2020, the fair value of such investments was $356 million.</w:t>
      </w:r>
    </w:p>
    <w:p w:rsidR="00000000" w:rsidRDefault="000C147A">
      <w:pPr>
        <w:jc w:val="center"/>
        <w:rPr>
          <w:rFonts w:eastAsia="Times New Roman"/>
        </w:rPr>
      </w:pPr>
      <w:r>
        <w:rPr>
          <w:rFonts w:eastAsia="Times New Roman"/>
          <w:b/>
          <w:bCs/>
          <w:color w:val="000000"/>
          <w:sz w:val="20"/>
          <w:szCs w:val="20"/>
        </w:rPr>
        <w:t>Fair Value Measurements at December 31, 2019 (1)</w:t>
      </w:r>
    </w:p>
    <w:tbl>
      <w:tblPr>
        <w:tblW w:w="4649" w:type="pct"/>
        <w:tblCellMar>
          <w:top w:w="15" w:type="dxa"/>
          <w:left w:w="15" w:type="dxa"/>
          <w:bottom w:w="15" w:type="dxa"/>
          <w:right w:w="15" w:type="dxa"/>
        </w:tblCellMar>
        <w:tblLook w:val="04A0" w:firstRow="1" w:lastRow="0" w:firstColumn="1" w:lastColumn="0" w:noHBand="0" w:noVBand="1"/>
      </w:tblPr>
      <w:tblGrid>
        <w:gridCol w:w="40"/>
        <w:gridCol w:w="3548"/>
        <w:gridCol w:w="38"/>
        <w:gridCol w:w="120"/>
        <w:gridCol w:w="820"/>
        <w:gridCol w:w="36"/>
        <w:gridCol w:w="36"/>
        <w:gridCol w:w="36"/>
        <w:gridCol w:w="36"/>
        <w:gridCol w:w="120"/>
        <w:gridCol w:w="775"/>
        <w:gridCol w:w="36"/>
        <w:gridCol w:w="36"/>
        <w:gridCol w:w="36"/>
        <w:gridCol w:w="36"/>
        <w:gridCol w:w="120"/>
        <w:gridCol w:w="777"/>
        <w:gridCol w:w="36"/>
        <w:gridCol w:w="36"/>
        <w:gridCol w:w="36"/>
        <w:gridCol w:w="36"/>
        <w:gridCol w:w="120"/>
        <w:gridCol w:w="777"/>
        <w:gridCol w:w="36"/>
      </w:tblGrid>
      <w:tr w:rsidR="00000000">
        <w:trPr>
          <w:divId w:val="995456770"/>
        </w:trPr>
        <w:tc>
          <w:tcPr>
            <w:tcW w:w="50" w:type="pct"/>
            <w:vAlign w:val="center"/>
            <w:hideMark/>
          </w:tcPr>
          <w:p w:rsidR="00000000" w:rsidRDefault="000C147A">
            <w:pPr>
              <w:jc w:val="center"/>
              <w:rPr>
                <w:rFonts w:eastAsia="Times New Roman"/>
              </w:rPr>
            </w:pPr>
          </w:p>
        </w:tc>
        <w:tc>
          <w:tcPr>
            <w:tcW w:w="234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99545677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Total</w:t>
            </w:r>
          </w:p>
        </w:tc>
      </w:tr>
      <w:tr w:rsidR="00000000">
        <w:trPr>
          <w:divId w:val="99545677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(in millions)</w:t>
            </w:r>
          </w:p>
        </w:tc>
      </w:tr>
      <w:tr w:rsidR="00000000">
        <w:trPr>
          <w:divId w:val="99545677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46,942 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48,199 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15,394 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64,708 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divId w:val="170695159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Separate Accounts assets (5)</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123,432 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126,324 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127,813 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210,685 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9545677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GMxB derivative features’ liability</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95456770"/>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11,803 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850488274"/>
        <w:rPr>
          <w:rFonts w:eastAsia="Times New Roman"/>
        </w:rPr>
      </w:pPr>
      <w:r>
        <w:rPr>
          <w:rFonts w:eastAsia="Times New Roman"/>
          <w:color w:val="000000"/>
          <w:sz w:val="20"/>
          <w:szCs w:val="20"/>
        </w:rPr>
        <w:t>______________</w:t>
      </w:r>
    </w:p>
    <w:p w:rsidR="00000000" w:rsidRDefault="000C147A">
      <w:pPr>
        <w:ind w:hanging="360"/>
        <w:divId w:val="139419535"/>
        <w:rPr>
          <w:rFonts w:eastAsia="Times New Roman"/>
        </w:rPr>
      </w:pPr>
      <w:r>
        <w:rPr>
          <w:rFonts w:eastAsia="Times New Roman"/>
          <w:color w:val="000000"/>
          <w:sz w:val="18"/>
          <w:szCs w:val="18"/>
        </w:rPr>
        <w:t>(1)Excludes amounts reclassified as HFS.</w:t>
      </w:r>
    </w:p>
    <w:p w:rsidR="00000000" w:rsidRDefault="000C147A">
      <w:pPr>
        <w:ind w:hanging="360"/>
        <w:divId w:val="188106861"/>
        <w:rPr>
          <w:rFonts w:eastAsia="Times New Roman"/>
        </w:rPr>
      </w:pPr>
      <w:r>
        <w:rPr>
          <w:rFonts w:eastAsia="Times New Roman"/>
          <w:color w:val="000000"/>
          <w:sz w:val="18"/>
          <w:szCs w:val="18"/>
        </w:rPr>
        <w:t>(2)</w:t>
      </w:r>
      <w:r>
        <w:rPr>
          <w:rFonts w:eastAsia="Times New Roman"/>
          <w:color w:val="000000"/>
          <w:sz w:val="18"/>
          <w:szCs w:val="18"/>
        </w:rPr>
        <w:t>Corporate fixed maturities includes both public and private issues.</w:t>
      </w:r>
    </w:p>
    <w:p w:rsidR="00000000" w:rsidRDefault="000C147A">
      <w:pPr>
        <w:ind w:hanging="360"/>
        <w:divId w:val="648437700"/>
        <w:rPr>
          <w:rFonts w:eastAsia="Times New Roman"/>
        </w:rPr>
      </w:pPr>
      <w:r>
        <w:rPr>
          <w:rFonts w:eastAsia="Times New Roman"/>
          <w:color w:val="000000"/>
          <w:sz w:val="18"/>
          <w:szCs w:val="18"/>
        </w:rPr>
        <w:t>(3)Includes publicly traded agency pass-through securities and collateralized obligations.</w:t>
      </w:r>
    </w:p>
    <w:p w:rsidR="00000000" w:rsidRDefault="000C147A">
      <w:pPr>
        <w:ind w:hanging="360"/>
        <w:divId w:val="283658735"/>
        <w:rPr>
          <w:rFonts w:eastAsia="Times New Roman"/>
        </w:rPr>
      </w:pPr>
      <w:r>
        <w:rPr>
          <w:rFonts w:eastAsia="Times New Roman"/>
          <w:color w:val="000000"/>
          <w:sz w:val="18"/>
          <w:szCs w:val="18"/>
        </w:rPr>
        <w:t>(4)Includes credit-tranched securities collateralized by sub-prime mortgages and other asset type</w:t>
      </w:r>
      <w:r>
        <w:rPr>
          <w:rFonts w:eastAsia="Times New Roman"/>
          <w:color w:val="000000"/>
          <w:sz w:val="18"/>
          <w:szCs w:val="18"/>
        </w:rPr>
        <w:t>s and credit tenant loans.</w:t>
      </w:r>
    </w:p>
    <w:p w:rsidR="00000000" w:rsidRDefault="000C147A">
      <w:pPr>
        <w:ind w:hanging="360"/>
        <w:divId w:val="105734463"/>
        <w:rPr>
          <w:rFonts w:eastAsia="Times New Roman"/>
        </w:rPr>
      </w:pPr>
      <w:r>
        <w:rPr>
          <w:rFonts w:eastAsia="Times New Roman"/>
          <w:color w:val="000000"/>
          <w:sz w:val="18"/>
          <w:szCs w:val="18"/>
        </w:rPr>
        <w:t>(5)</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and commercial mortgages. At December 31, 2019, the fair value of such investments was $356 million.</w:t>
      </w:r>
    </w:p>
    <w:p w:rsidR="00000000" w:rsidRDefault="000C147A">
      <w:pPr>
        <w:jc w:val="center"/>
        <w:divId w:val="1393311904"/>
        <w:rPr>
          <w:rFonts w:eastAsia="Times New Roman"/>
        </w:rPr>
      </w:pPr>
    </w:p>
    <w:p w:rsidR="00000000" w:rsidRDefault="000C147A">
      <w:pPr>
        <w:jc w:val="center"/>
        <w:divId w:val="1393311904"/>
        <w:rPr>
          <w:rFonts w:eastAsia="Times New Roman"/>
        </w:rPr>
      </w:pPr>
      <w:r>
        <w:rPr>
          <w:rFonts w:eastAsia="Times New Roman"/>
          <w:color w:val="000000"/>
          <w:sz w:val="20"/>
          <w:szCs w:val="20"/>
        </w:rPr>
        <w:t>42</w:t>
      </w:r>
    </w:p>
    <w:p w:rsidR="00000000" w:rsidRDefault="000C147A">
      <w:pPr>
        <w:rPr>
          <w:rFonts w:eastAsia="Times New Roman"/>
        </w:rPr>
      </w:pPr>
      <w:r>
        <w:rPr>
          <w:rFonts w:eastAsia="Times New Roman"/>
        </w:rPr>
        <w:pict>
          <v:rect id="_x0000_i1068" style="width:0;height:1.5pt" o:hralign="center" o:hrstd="t" o:hr="t" fillcolor="#a0a0a0" stroked="f"/>
        </w:pict>
      </w:r>
    </w:p>
    <w:p w:rsidR="00000000" w:rsidRDefault="000C147A">
      <w:pPr>
        <w:jc w:val="center"/>
        <w:divId w:val="1872959541"/>
        <w:rPr>
          <w:rFonts w:eastAsia="Times New Roman"/>
        </w:rPr>
      </w:pPr>
      <w:r>
        <w:rPr>
          <w:rFonts w:eastAsia="Times New Roman"/>
          <w:b/>
          <w:bCs/>
          <w:color w:val="000000"/>
          <w:sz w:val="20"/>
          <w:szCs w:val="20"/>
        </w:rPr>
        <w:t>EQUITABLE HOLDINGS, INC.</w:t>
      </w:r>
    </w:p>
    <w:p w:rsidR="00000000" w:rsidRDefault="000C147A">
      <w:pPr>
        <w:jc w:val="center"/>
        <w:divId w:val="1872959541"/>
        <w:rPr>
          <w:rFonts w:eastAsia="Times New Roman"/>
        </w:rPr>
      </w:pPr>
      <w:r>
        <w:rPr>
          <w:rFonts w:eastAsia="Times New Roman"/>
          <w:b/>
          <w:bCs/>
          <w:color w:val="000000"/>
          <w:sz w:val="20"/>
          <w:szCs w:val="20"/>
        </w:rPr>
        <w:t>Notes to Consolidated Financial Statements (Unaudited), Continued</w:t>
      </w:r>
    </w:p>
    <w:p w:rsidR="00000000" w:rsidRDefault="000C147A">
      <w:pPr>
        <w:jc w:val="both"/>
        <w:divId w:val="758334638"/>
        <w:rPr>
          <w:rFonts w:eastAsia="Times New Roman"/>
        </w:rPr>
      </w:pPr>
      <w:r>
        <w:rPr>
          <w:rFonts w:eastAsia="Times New Roman"/>
          <w:b/>
          <w:bCs/>
          <w:i/>
          <w:iCs/>
          <w:color w:val="000000"/>
          <w:sz w:val="20"/>
          <w:szCs w:val="20"/>
        </w:rPr>
        <w:t>Public Fixed Maturi</w:t>
      </w:r>
      <w:r>
        <w:rPr>
          <w:rFonts w:eastAsia="Times New Roman"/>
          <w:b/>
          <w:bCs/>
          <w:i/>
          <w:iCs/>
          <w:color w:val="000000"/>
          <w:sz w:val="20"/>
          <w:szCs w:val="20"/>
        </w:rPr>
        <w:t>ties</w:t>
      </w:r>
    </w:p>
    <w:p w:rsidR="00000000" w:rsidRDefault="000C147A">
      <w:pPr>
        <w:divId w:val="1739211579"/>
        <w:rPr>
          <w:rFonts w:eastAsia="Times New Roman"/>
        </w:rPr>
      </w:pPr>
      <w:r>
        <w:rPr>
          <w:rFonts w:eastAsia="Times New Roman"/>
          <w:color w:val="000000"/>
          <w:sz w:val="20"/>
          <w:szCs w:val="20"/>
        </w:rPr>
        <w:t>The fair values of the Company’s public fixed maturities are generally based on prices obtained from independent valuation service providers and for which the Company maintains a vendor hierarchy by asset type based on historical pricing experience an</w:t>
      </w:r>
      <w:r>
        <w:rPr>
          <w:rFonts w:eastAsia="Times New Roman"/>
          <w:color w:val="000000"/>
          <w:sz w:val="20"/>
          <w:szCs w:val="20"/>
        </w:rPr>
        <w:t xml:space="preserve">d vendor expertise. Although each security generally is priced by multiple independent valuation service providers, the Company ultimately uses the price received from the independent valuation service provider highest in the vendor hierarchy based on the </w:t>
      </w:r>
      <w:r>
        <w:rPr>
          <w:rFonts w:eastAsia="Times New Roman"/>
          <w:color w:val="000000"/>
          <w:sz w:val="20"/>
          <w:szCs w:val="20"/>
        </w:rPr>
        <w:t>respective asset type, with limited exception. To validate reasonableness, prices also are internally reviewed by those with relevant expertise through comparison with directly observed recent market trades. Consistent with the fair value hierarchy, public</w:t>
      </w:r>
      <w:r>
        <w:rPr>
          <w:rFonts w:eastAsia="Times New Roman"/>
          <w:color w:val="000000"/>
          <w:sz w:val="20"/>
          <w:szCs w:val="20"/>
        </w:rPr>
        <w:t xml:space="preserve"> fixed maturities validated in this manner generally are reflected within Level 2, as they are primarily based on observable pricing for similar assets and/or other market observable inputs. </w:t>
      </w:r>
    </w:p>
    <w:p w:rsidR="00000000" w:rsidRDefault="000C147A">
      <w:pPr>
        <w:jc w:val="both"/>
        <w:divId w:val="929050012"/>
        <w:rPr>
          <w:rFonts w:eastAsia="Times New Roman"/>
        </w:rPr>
      </w:pPr>
      <w:r>
        <w:rPr>
          <w:rFonts w:eastAsia="Times New Roman"/>
          <w:b/>
          <w:bCs/>
          <w:i/>
          <w:iCs/>
          <w:color w:val="000000"/>
          <w:sz w:val="20"/>
          <w:szCs w:val="20"/>
        </w:rPr>
        <w:t>Private Fixed Maturities</w:t>
      </w:r>
    </w:p>
    <w:p w:rsidR="00000000" w:rsidRDefault="000C147A">
      <w:pPr>
        <w:divId w:val="1232735882"/>
        <w:rPr>
          <w:rFonts w:eastAsia="Times New Roman"/>
        </w:rPr>
      </w:pPr>
      <w:r>
        <w:rPr>
          <w:rFonts w:eastAsia="Times New Roman"/>
          <w:color w:val="000000"/>
          <w:sz w:val="20"/>
          <w:szCs w:val="20"/>
        </w:rPr>
        <w:t>The fair values of the Company’s privat</w:t>
      </w:r>
      <w:r>
        <w:rPr>
          <w:rFonts w:eastAsia="Times New Roman"/>
          <w:color w:val="000000"/>
          <w:sz w:val="20"/>
          <w:szCs w:val="20"/>
        </w:rPr>
        <w:t>e fixed maturities are determined from prices obtained from independent valuation service providers. Prices not obtained from an independent valuation service provider are determined by using a discounted cash flow model or a market comparable company valu</w:t>
      </w:r>
      <w:r>
        <w:rPr>
          <w:rFonts w:eastAsia="Times New Roman"/>
          <w:color w:val="000000"/>
          <w:sz w:val="20"/>
          <w:szCs w:val="20"/>
        </w:rPr>
        <w:t>ation technique. In certain cases, these models use observable inputs with a discount rate based upon the average of spread surveys collected from private market intermediaries who are active in both primary and secondary transactions, taking into account,</w:t>
      </w:r>
      <w:r>
        <w:rPr>
          <w:rFonts w:eastAsia="Times New Roman"/>
          <w:color w:val="000000"/>
          <w:sz w:val="20"/>
          <w:szCs w:val="20"/>
        </w:rPr>
        <w:t xml:space="preserve"> among other factors, the credit quality and industry sector of the issuer and the reduced liquidity associated with private placements. Generally, these securities have been reflected within Level 2. For certain private fixed maturities, the discounted ca</w:t>
      </w:r>
      <w:r>
        <w:rPr>
          <w:rFonts w:eastAsia="Times New Roman"/>
          <w:color w:val="000000"/>
          <w:sz w:val="20"/>
          <w:szCs w:val="20"/>
        </w:rPr>
        <w:t xml:space="preserve">sh flow model or a market comparable company valuation technique may also incorporate unobservable inputs, which reflect the Company’s own assumptions about the inputs market participants would use in pricing the asset. To the extent management determines </w:t>
      </w:r>
      <w:r>
        <w:rPr>
          <w:rFonts w:eastAsia="Times New Roman"/>
          <w:color w:val="000000"/>
          <w:sz w:val="20"/>
          <w:szCs w:val="20"/>
        </w:rPr>
        <w:t>that such unobservable inputs are significant to the fair value measurement of a security, a Level 3 classification generally is made.</w:t>
      </w:r>
    </w:p>
    <w:p w:rsidR="00000000" w:rsidRDefault="000C147A">
      <w:pPr>
        <w:jc w:val="both"/>
        <w:divId w:val="1298411655"/>
        <w:rPr>
          <w:rFonts w:eastAsia="Times New Roman"/>
        </w:rPr>
      </w:pPr>
      <w:r>
        <w:rPr>
          <w:rFonts w:eastAsia="Times New Roman"/>
          <w:b/>
          <w:bCs/>
          <w:i/>
          <w:iCs/>
          <w:color w:val="000000"/>
          <w:sz w:val="20"/>
          <w:szCs w:val="20"/>
        </w:rPr>
        <w:t>Freestanding Derivative Positions</w:t>
      </w:r>
    </w:p>
    <w:p w:rsidR="00000000" w:rsidRDefault="000C147A">
      <w:pPr>
        <w:divId w:val="1385176874"/>
        <w:rPr>
          <w:rFonts w:eastAsia="Times New Roman"/>
        </w:rPr>
      </w:pPr>
      <w:r>
        <w:rPr>
          <w:rFonts w:eastAsia="Times New Roman"/>
          <w:color w:val="000000"/>
          <w:sz w:val="20"/>
          <w:szCs w:val="20"/>
        </w:rPr>
        <w:t>The net fair value of the Company’s freestanding derivative positions as disclosed in N</w:t>
      </w:r>
      <w:r>
        <w:rPr>
          <w:rFonts w:eastAsia="Times New Roman"/>
          <w:color w:val="000000"/>
          <w:sz w:val="20"/>
          <w:szCs w:val="20"/>
        </w:rPr>
        <w:t>ote 4 are generally based on prices obtained either from independent valuation service providers or derived by applying market inputs from recognized vendors into industry standard pricing models. The majority of these derivative contracts are traded in th</w:t>
      </w:r>
      <w:r>
        <w:rPr>
          <w:rFonts w:eastAsia="Times New Roman"/>
          <w:color w:val="000000"/>
          <w:sz w:val="20"/>
          <w:szCs w:val="20"/>
        </w:rPr>
        <w:t>e OTC derivative market and are classified in Level 2. The fair values of derivative assets and liabilities traded in the OTC market are determined using quantitative models that require use of the contractual terms of the derivative instruments and multip</w:t>
      </w:r>
      <w:r>
        <w:rPr>
          <w:rFonts w:eastAsia="Times New Roman"/>
          <w:color w:val="000000"/>
          <w:sz w:val="20"/>
          <w:szCs w:val="20"/>
        </w:rPr>
        <w:t>le market inputs, including interest rates, prices, and indices to generate continuous yield or pricing curves, including overnight index swap (“OIS”) curves, and volatility factors, which then are applied to value the positions. The predominance of market</w:t>
      </w:r>
      <w:r>
        <w:rPr>
          <w:rFonts w:eastAsia="Times New Roman"/>
          <w:color w:val="000000"/>
          <w:sz w:val="20"/>
          <w:szCs w:val="20"/>
        </w:rPr>
        <w:t xml:space="preserve"> inputs is actively quoted and can be validated through external sources or reliably interpolated if less observable.</w:t>
      </w:r>
    </w:p>
    <w:p w:rsidR="00000000" w:rsidRDefault="000C147A">
      <w:pPr>
        <w:divId w:val="393893056"/>
        <w:rPr>
          <w:rFonts w:eastAsia="Times New Roman"/>
        </w:rPr>
      </w:pPr>
      <w:r>
        <w:rPr>
          <w:rFonts w:eastAsia="Times New Roman"/>
          <w:color w:val="000000"/>
          <w:sz w:val="20"/>
          <w:szCs w:val="20"/>
          <w:u w:val="single"/>
        </w:rPr>
        <w:t>Level Classifications of the Company’s Financial Instruments</w:t>
      </w:r>
    </w:p>
    <w:p w:rsidR="00000000" w:rsidRDefault="000C147A">
      <w:pPr>
        <w:jc w:val="both"/>
        <w:divId w:val="2028679577"/>
        <w:rPr>
          <w:rFonts w:eastAsia="Times New Roman"/>
        </w:rPr>
      </w:pPr>
      <w:r>
        <w:rPr>
          <w:rFonts w:eastAsia="Times New Roman"/>
          <w:b/>
          <w:bCs/>
          <w:i/>
          <w:iCs/>
          <w:color w:val="000000"/>
          <w:sz w:val="20"/>
          <w:szCs w:val="20"/>
        </w:rPr>
        <w:t>Financial Instruments Classified as Level 1</w:t>
      </w:r>
    </w:p>
    <w:p w:rsidR="00000000" w:rsidRDefault="000C147A">
      <w:pPr>
        <w:divId w:val="1458989305"/>
        <w:rPr>
          <w:rFonts w:eastAsia="Times New Roman"/>
        </w:rPr>
      </w:pPr>
      <w:r>
        <w:rPr>
          <w:rFonts w:eastAsia="Times New Roman"/>
          <w:color w:val="000000"/>
          <w:sz w:val="20"/>
          <w:szCs w:val="20"/>
        </w:rPr>
        <w:t>Investments classified as Level 1</w:t>
      </w:r>
      <w:r>
        <w:rPr>
          <w:rFonts w:eastAsia="Times New Roman"/>
          <w:color w:val="000000"/>
          <w:sz w:val="20"/>
          <w:szCs w:val="20"/>
        </w:rPr>
        <w:t xml:space="preserve"> primarily include redeemable preferred stock, trading securities, cash equivalents and Separate Accounts assets. Fair value measurements classified as Level 1 include exchange-traded prices of fixed maturities, equity securities and derivative contracts, </w:t>
      </w:r>
      <w:r>
        <w:rPr>
          <w:rFonts w:eastAsia="Times New Roman"/>
          <w:color w:val="000000"/>
          <w:sz w:val="20"/>
          <w:szCs w:val="20"/>
        </w:rPr>
        <w:t>and net asset values for transacting subscriptions and redemptions of mutual fund shares held by Separate Accounts. Cash equivalents classified as Level 1 include money market accounts, overnight commercial paper and highly liquid debt instruments purchase</w:t>
      </w:r>
      <w:r>
        <w:rPr>
          <w:rFonts w:eastAsia="Times New Roman"/>
          <w:color w:val="000000"/>
          <w:sz w:val="20"/>
          <w:szCs w:val="20"/>
        </w:rPr>
        <w:t>d with an original maturity of three months or less and are carried at cost as a proxy for fair value measurement due to their short-term nature.</w:t>
      </w:r>
    </w:p>
    <w:p w:rsidR="00000000" w:rsidRDefault="000C147A">
      <w:pPr>
        <w:jc w:val="both"/>
        <w:divId w:val="1185830779"/>
        <w:rPr>
          <w:rFonts w:eastAsia="Times New Roman"/>
        </w:rPr>
      </w:pPr>
      <w:r>
        <w:rPr>
          <w:rFonts w:eastAsia="Times New Roman"/>
          <w:b/>
          <w:bCs/>
          <w:i/>
          <w:iCs/>
          <w:color w:val="000000"/>
          <w:sz w:val="20"/>
          <w:szCs w:val="20"/>
        </w:rPr>
        <w:t>Financial Instruments Classified as Level 2</w:t>
      </w:r>
    </w:p>
    <w:p w:rsidR="00000000" w:rsidRDefault="000C147A">
      <w:pPr>
        <w:divId w:val="946738652"/>
        <w:rPr>
          <w:rFonts w:eastAsia="Times New Roman"/>
        </w:rPr>
      </w:pPr>
      <w:r>
        <w:rPr>
          <w:rFonts w:eastAsia="Times New Roman"/>
          <w:color w:val="000000"/>
          <w:sz w:val="20"/>
          <w:szCs w:val="20"/>
        </w:rPr>
        <w:t xml:space="preserve">Investments classified as Level 2 are measured at fair value on a </w:t>
      </w:r>
      <w:r>
        <w:rPr>
          <w:rFonts w:eastAsia="Times New Roman"/>
          <w:color w:val="000000"/>
          <w:sz w:val="20"/>
          <w:szCs w:val="20"/>
        </w:rPr>
        <w:t>recurring basis and primarily include U.S. government and agency securities and certain corporate debt securities, such as public and private fixed maturities. As market quotes generally are not readily available or accessible for these securities, their f</w:t>
      </w:r>
      <w:r>
        <w:rPr>
          <w:rFonts w:eastAsia="Times New Roman"/>
          <w:color w:val="000000"/>
          <w:sz w:val="20"/>
          <w:szCs w:val="20"/>
        </w:rPr>
        <w:t>air value measures are determined utilizing relevant information generated by market transactions involving comparable securities and often are based on model pricing techniques that effectively discount prospective cash flows to present value using approp</w:t>
      </w:r>
      <w:r>
        <w:rPr>
          <w:rFonts w:eastAsia="Times New Roman"/>
          <w:color w:val="000000"/>
          <w:sz w:val="20"/>
          <w:szCs w:val="20"/>
        </w:rPr>
        <w:t>riate sector-adjusted credit spreads commensurate with the security’s duration, also taking into consideration issuer-specific credit quality and liquidity. Segregated securities classified as Level 2 are U.S. Treasury bills segregated by AB in a special r</w:t>
      </w:r>
      <w:r>
        <w:rPr>
          <w:rFonts w:eastAsia="Times New Roman"/>
          <w:color w:val="000000"/>
          <w:sz w:val="20"/>
          <w:szCs w:val="20"/>
        </w:rPr>
        <w:t>eserve bank custody account for the exclusive benefit of brokerage customers, as required by Rule 15c3-3 of the Exchange Act and for which fair values are based on quoted yields in secondary markets.</w:t>
      </w:r>
    </w:p>
    <w:p w:rsidR="00000000" w:rsidRDefault="000C147A">
      <w:pPr>
        <w:jc w:val="center"/>
        <w:divId w:val="805468678"/>
        <w:rPr>
          <w:rFonts w:eastAsia="Times New Roman"/>
        </w:rPr>
      </w:pPr>
    </w:p>
    <w:p w:rsidR="00000000" w:rsidRDefault="000C147A">
      <w:pPr>
        <w:jc w:val="center"/>
        <w:divId w:val="805468678"/>
        <w:rPr>
          <w:rFonts w:eastAsia="Times New Roman"/>
        </w:rPr>
      </w:pPr>
      <w:r>
        <w:rPr>
          <w:rFonts w:eastAsia="Times New Roman"/>
          <w:color w:val="000000"/>
          <w:sz w:val="20"/>
          <w:szCs w:val="20"/>
        </w:rPr>
        <w:t>43</w:t>
      </w:r>
    </w:p>
    <w:p w:rsidR="00000000" w:rsidRDefault="000C147A">
      <w:pPr>
        <w:rPr>
          <w:rFonts w:eastAsia="Times New Roman"/>
        </w:rPr>
      </w:pPr>
      <w:r>
        <w:rPr>
          <w:rFonts w:eastAsia="Times New Roman"/>
        </w:rPr>
        <w:pict>
          <v:rect id="_x0000_i1069" style="width:0;height:1.5pt" o:hralign="center" o:hrstd="t" o:hr="t" fillcolor="#a0a0a0" stroked="f"/>
        </w:pict>
      </w:r>
    </w:p>
    <w:p w:rsidR="00000000" w:rsidRDefault="000C147A">
      <w:pPr>
        <w:jc w:val="center"/>
        <w:divId w:val="2058166361"/>
        <w:rPr>
          <w:rFonts w:eastAsia="Times New Roman"/>
        </w:rPr>
      </w:pPr>
      <w:r>
        <w:rPr>
          <w:rFonts w:eastAsia="Times New Roman"/>
          <w:b/>
          <w:bCs/>
          <w:color w:val="000000"/>
          <w:sz w:val="20"/>
          <w:szCs w:val="20"/>
        </w:rPr>
        <w:t>EQUITABLE HOLD</w:t>
      </w:r>
      <w:r>
        <w:rPr>
          <w:rFonts w:eastAsia="Times New Roman"/>
          <w:b/>
          <w:bCs/>
          <w:color w:val="000000"/>
          <w:sz w:val="20"/>
          <w:szCs w:val="20"/>
        </w:rPr>
        <w:t>INGS, INC.</w:t>
      </w:r>
    </w:p>
    <w:p w:rsidR="00000000" w:rsidRDefault="000C147A">
      <w:pPr>
        <w:jc w:val="center"/>
        <w:divId w:val="2058166361"/>
        <w:rPr>
          <w:rFonts w:eastAsia="Times New Roman"/>
        </w:rPr>
      </w:pPr>
      <w:r>
        <w:rPr>
          <w:rFonts w:eastAsia="Times New Roman"/>
          <w:b/>
          <w:bCs/>
          <w:color w:val="000000"/>
          <w:sz w:val="20"/>
          <w:szCs w:val="20"/>
        </w:rPr>
        <w:t>Notes to Consolidated Financial Statements (Unaudited), Continued</w:t>
      </w:r>
    </w:p>
    <w:p w:rsidR="00000000" w:rsidRDefault="000C147A">
      <w:pPr>
        <w:divId w:val="2030138651"/>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trades, issuer spreads, benchmark secur</w:t>
      </w:r>
      <w:r>
        <w:rPr>
          <w:rFonts w:eastAsia="Times New Roman"/>
          <w:color w:val="000000"/>
          <w:sz w:val="20"/>
          <w:szCs w:val="20"/>
        </w:rPr>
        <w:t>ities and other reference data. Additional observable inputs are used when available, and as may be appropriate, for certain security types, such as prepayment, default, and collateral information for the purpose of measuring the fair value of mortgage- an</w:t>
      </w:r>
      <w:r>
        <w:rPr>
          <w:rFonts w:eastAsia="Times New Roman"/>
          <w:color w:val="000000"/>
          <w:sz w:val="20"/>
          <w:szCs w:val="20"/>
        </w:rPr>
        <w:t>d asset-backed securities. The Company’s AAA-rated mortgage- and asset-backed securities are classified as Level 2 for which the observability of market inputs to their pricing models is supported by sufficient, albeit more recently contracted, market acti</w:t>
      </w:r>
      <w:r>
        <w:rPr>
          <w:rFonts w:eastAsia="Times New Roman"/>
          <w:color w:val="000000"/>
          <w:sz w:val="20"/>
          <w:szCs w:val="20"/>
        </w:rPr>
        <w:t>vity in these sectors.</w:t>
      </w:r>
    </w:p>
    <w:p w:rsidR="00000000" w:rsidRDefault="000C147A">
      <w:pPr>
        <w:divId w:val="977028161"/>
        <w:rPr>
          <w:rFonts w:eastAsia="Times New Roman"/>
        </w:rPr>
      </w:pPr>
      <w:r>
        <w:rPr>
          <w:rFonts w:eastAsia="Times New Roman"/>
          <w:color w:val="000000"/>
          <w:sz w:val="20"/>
          <w:szCs w:val="20"/>
        </w:rPr>
        <w:t>Certain Company products, such as the SCS and EQUI-VEST variable annuity products, IUL and the MSO fund available in some life contracts, offer investment options which permit the contract owner to participate in the performance of a</w:t>
      </w:r>
      <w:r>
        <w:rPr>
          <w:rFonts w:eastAsia="Times New Roman"/>
          <w:color w:val="000000"/>
          <w:sz w:val="20"/>
          <w:szCs w:val="20"/>
        </w:rPr>
        <w:t xml:space="preserve">n index, ETF or commodity price. These investment options, which depending on the product and on the index selected, can currently have one, three, five or six year terms, provide for participation in the performance of specified indices, ETF or commodity </w:t>
      </w:r>
      <w:r>
        <w:rPr>
          <w:rFonts w:eastAsia="Times New Roman"/>
          <w:color w:val="000000"/>
          <w:sz w:val="20"/>
          <w:szCs w:val="20"/>
        </w:rPr>
        <w:t>price movement up to a segment-specific declared maximum rate. Under certain conditions that vary by product, e.g., holding these segments for the full term, these segments also shield policyholders from some or all negative investment performance associat</w:t>
      </w:r>
      <w:r>
        <w:rPr>
          <w:rFonts w:eastAsia="Times New Roman"/>
          <w:color w:val="000000"/>
          <w:sz w:val="20"/>
          <w:szCs w:val="20"/>
        </w:rPr>
        <w:t>ed with these indices, ETF or commodity prices. These investment options have defined formulaic liability amounts, and the current values of the option component of these segment reserves are accounted for as Level 2 embedded derivatives. The fair values o</w:t>
      </w:r>
      <w:r>
        <w:rPr>
          <w:rFonts w:eastAsia="Times New Roman"/>
          <w:color w:val="000000"/>
          <w:sz w:val="20"/>
          <w:szCs w:val="20"/>
        </w:rPr>
        <w:t>f these embedded derivatives are based on data obtained from independent valuation service providers.</w:t>
      </w:r>
    </w:p>
    <w:p w:rsidR="00000000" w:rsidRDefault="000C147A">
      <w:pPr>
        <w:jc w:val="both"/>
        <w:divId w:val="140469076"/>
        <w:rPr>
          <w:rFonts w:eastAsia="Times New Roman"/>
        </w:rPr>
      </w:pPr>
      <w:r>
        <w:rPr>
          <w:rFonts w:eastAsia="Times New Roman"/>
          <w:b/>
          <w:bCs/>
          <w:i/>
          <w:iCs/>
          <w:color w:val="000000"/>
          <w:sz w:val="20"/>
          <w:szCs w:val="20"/>
        </w:rPr>
        <w:t>Financial Instruments Classified as Level 3</w:t>
      </w:r>
    </w:p>
    <w:p w:rsidR="00000000" w:rsidRDefault="000C147A">
      <w:pPr>
        <w:divId w:val="1000741859"/>
        <w:rPr>
          <w:rFonts w:eastAsia="Times New Roman"/>
        </w:rPr>
      </w:pPr>
      <w:r>
        <w:rPr>
          <w:rFonts w:eastAsia="Times New Roman"/>
          <w:color w:val="000000"/>
          <w:sz w:val="20"/>
          <w:szCs w:val="20"/>
        </w:rPr>
        <w:t>The Company’s investments classified as Level 3 primarily include corporate debt securities, such as private f</w:t>
      </w:r>
      <w:r>
        <w:rPr>
          <w:rFonts w:eastAsia="Times New Roman"/>
          <w:color w:val="000000"/>
          <w:sz w:val="20"/>
          <w:szCs w:val="20"/>
        </w:rPr>
        <w:t>ixed maturities and asset-backed securities. Determinations to classify fair value measures within Level 3 of the valuation hierarchy generally are based upon the significance of the unobservable factors to the overall fair value measurement. Included in t</w:t>
      </w:r>
      <w:r>
        <w:rPr>
          <w:rFonts w:eastAsia="Times New Roman"/>
          <w:color w:val="000000"/>
          <w:sz w:val="20"/>
          <w:szCs w:val="20"/>
        </w:rPr>
        <w:t>he Level 3 classification are fixed maturities with indicative pricing obtained from brokers that otherwise could not be corroborated to market observable data.</w:t>
      </w:r>
    </w:p>
    <w:p w:rsidR="00000000" w:rsidRDefault="000C147A">
      <w:pPr>
        <w:divId w:val="1385829810"/>
        <w:rPr>
          <w:rFonts w:eastAsia="Times New Roman"/>
        </w:rPr>
      </w:pPr>
      <w:r>
        <w:rPr>
          <w:rFonts w:eastAsia="Times New Roman"/>
          <w:color w:val="000000"/>
          <w:sz w:val="20"/>
          <w:szCs w:val="20"/>
        </w:rPr>
        <w:t>The Company also issues certain benefits on its variable annuity products that are accounted fo</w:t>
      </w:r>
      <w:r>
        <w:rPr>
          <w:rFonts w:eastAsia="Times New Roman"/>
          <w:color w:val="000000"/>
          <w:sz w:val="20"/>
          <w:szCs w:val="20"/>
        </w:rPr>
        <w:t>r as derivatives and are also considered Level 3. The GMIBNLG feature allows the policyholder to receive guaranteed minimum lifetime annuity payments based on predetermined annuity purchase rates applied to the contract’s benefit base if and when the contr</w:t>
      </w:r>
      <w:r>
        <w:rPr>
          <w:rFonts w:eastAsia="Times New Roman"/>
          <w:color w:val="000000"/>
          <w:sz w:val="20"/>
          <w:szCs w:val="20"/>
        </w:rPr>
        <w:t>act account value is depleted and the NLG feature is activated. The GMWB feature allows the policyholder to withdraw at minimum, over the life of the contract, an amount based on the contract’s benefit base. The GWBL feature allows the policyholder to with</w:t>
      </w:r>
      <w:r>
        <w:rPr>
          <w:rFonts w:eastAsia="Times New Roman"/>
          <w:color w:val="000000"/>
          <w:sz w:val="20"/>
          <w:szCs w:val="20"/>
        </w:rPr>
        <w:t>draw, each year for the life of the contract, a specified annual percentage of an amount based on the contract’s benefit base. The GMAB feature increases the contract account value at the end of a specified period to a GMAB base. The GIB feature provides a</w:t>
      </w:r>
      <w:r>
        <w:rPr>
          <w:rFonts w:eastAsia="Times New Roman"/>
          <w:color w:val="000000"/>
          <w:sz w:val="20"/>
          <w:szCs w:val="20"/>
        </w:rPr>
        <w:t xml:space="preserve"> lifetime annuity based on predetermined annuity purchase rates if and when the contract account value is depleted. This lifetime annuity is based on predetermined annuity purchase rates applied to a GIB base.</w:t>
      </w:r>
    </w:p>
    <w:p w:rsidR="00000000" w:rsidRDefault="000C147A">
      <w:pPr>
        <w:divId w:val="1376615920"/>
        <w:rPr>
          <w:rFonts w:eastAsia="Times New Roman"/>
        </w:rPr>
      </w:pPr>
      <w:r>
        <w:rPr>
          <w:rFonts w:eastAsia="Times New Roman"/>
          <w:color w:val="000000"/>
          <w:sz w:val="20"/>
          <w:szCs w:val="20"/>
        </w:rPr>
        <w:t xml:space="preserve">Level 3 also includes the GMIB reinsurance contract assets, which are accounted for as derivative contracts. The GMIB reinsurance contract asset and liabilities’ fair value reflects the present value of reinsurance premiums and recoveries and risk margins </w:t>
      </w:r>
      <w:r>
        <w:rPr>
          <w:rFonts w:eastAsia="Times New Roman"/>
          <w:color w:val="000000"/>
          <w:sz w:val="20"/>
          <w:szCs w:val="20"/>
        </w:rPr>
        <w:t>over a range of market consistent economic scenarios while GMxB derivative features liability reflects the present value of expected future payments (benefits) less fees, adjusted for risk margins and nonperformance risk, attributable to GMxB derivative fe</w:t>
      </w:r>
      <w:r>
        <w:rPr>
          <w:rFonts w:eastAsia="Times New Roman"/>
          <w:color w:val="000000"/>
          <w:sz w:val="20"/>
          <w:szCs w:val="20"/>
        </w:rPr>
        <w:t>atures’ liability over a range of market-consistent economic scenarios. </w:t>
      </w:r>
    </w:p>
    <w:p w:rsidR="00000000" w:rsidRDefault="000C147A">
      <w:pPr>
        <w:divId w:val="2064717153"/>
        <w:rPr>
          <w:rFonts w:eastAsia="Times New Roman"/>
        </w:rPr>
      </w:pPr>
      <w:r>
        <w:rPr>
          <w:rFonts w:eastAsia="Times New Roman"/>
          <w:color w:val="000000"/>
          <w:sz w:val="20"/>
          <w:szCs w:val="20"/>
        </w:rPr>
        <w:t xml:space="preserve">The valuations of the GMIB reinsurance contract asset and GMxB derivative features liability incorporate significant non-observable assumptions related to policyholder behavior, risk </w:t>
      </w:r>
      <w:r>
        <w:rPr>
          <w:rFonts w:eastAsia="Times New Roman"/>
          <w:color w:val="000000"/>
          <w:sz w:val="20"/>
          <w:szCs w:val="20"/>
        </w:rPr>
        <w:t>margins and projections of equity Separate Accounts funds. The credit risks of the counterparty and of the Company are considered in determining the fair values of its GMIB reinsurance contract asset and GMxB derivative features liability positions, respec</w:t>
      </w:r>
      <w:r>
        <w:rPr>
          <w:rFonts w:eastAsia="Times New Roman"/>
          <w:color w:val="000000"/>
          <w:sz w:val="20"/>
          <w:szCs w:val="20"/>
        </w:rPr>
        <w:t>tively, after taking into account the effects of collateral arrangements. Incremental adjustment to the swap curve for non-performance risk is made to the fair values of the GMIB reinsurance contract asset and liabilities and GMIBNLG feature to reflect the</w:t>
      </w:r>
      <w:r>
        <w:rPr>
          <w:rFonts w:eastAsia="Times New Roman"/>
          <w:color w:val="000000"/>
          <w:sz w:val="20"/>
          <w:szCs w:val="20"/>
        </w:rPr>
        <w:t xml:space="preserve"> claims-paying ratings of counterparties and the Company. Equity and fixed income volatilities were modeled to reflect current market volatilities. Due to the unique, long duration of the GMIBNLG feature, adjustments were made to the equity volatilities to</w:t>
      </w:r>
      <w:r>
        <w:rPr>
          <w:rFonts w:eastAsia="Times New Roman"/>
          <w:color w:val="000000"/>
          <w:sz w:val="20"/>
          <w:szCs w:val="20"/>
        </w:rPr>
        <w:t xml:space="preserve"> remove the illiquidity bias associated with the longer tenors and risk margins were applied to the non-capital markets inputs to the GMIBNLG valuations.</w:t>
      </w:r>
    </w:p>
    <w:p w:rsidR="00000000" w:rsidRDefault="000C147A">
      <w:pPr>
        <w:divId w:val="738331999"/>
        <w:rPr>
          <w:rFonts w:eastAsia="Times New Roman"/>
        </w:rPr>
      </w:pPr>
      <w:r>
        <w:rPr>
          <w:rFonts w:eastAsia="Times New Roman"/>
          <w:color w:val="000000"/>
          <w:sz w:val="20"/>
          <w:szCs w:val="20"/>
        </w:rPr>
        <w:t xml:space="preserve">After giving consideration to collateral arrangements, the Company reduced the fair value of its GMIB </w:t>
      </w:r>
      <w:r>
        <w:rPr>
          <w:rFonts w:eastAsia="Times New Roman"/>
          <w:color w:val="000000"/>
          <w:sz w:val="20"/>
          <w:szCs w:val="20"/>
        </w:rPr>
        <w:t>reinsurance contract asset by $161 million and $110 million at September 30, 2020 and December 31, 2019, respectively, to recognize incremental counterparty non-performance risk and reduced the fair value of its GMIB reinsurance contract liabilities by $29</w:t>
      </w:r>
      <w:r>
        <w:rPr>
          <w:rFonts w:eastAsia="Times New Roman"/>
          <w:color w:val="000000"/>
          <w:sz w:val="20"/>
          <w:szCs w:val="20"/>
        </w:rPr>
        <w:t xml:space="preserve"> million and $25 million at September 30, 2020 and December 31, 2019, respectively, to recognize its own incremental non-performance risk.</w:t>
      </w:r>
    </w:p>
    <w:p w:rsidR="00000000" w:rsidRDefault="000C147A">
      <w:pPr>
        <w:jc w:val="center"/>
        <w:divId w:val="2028368807"/>
        <w:rPr>
          <w:rFonts w:eastAsia="Times New Roman"/>
        </w:rPr>
      </w:pPr>
    </w:p>
    <w:p w:rsidR="00000000" w:rsidRDefault="000C147A">
      <w:pPr>
        <w:jc w:val="center"/>
        <w:divId w:val="2028368807"/>
        <w:rPr>
          <w:rFonts w:eastAsia="Times New Roman"/>
        </w:rPr>
      </w:pPr>
      <w:r>
        <w:rPr>
          <w:rFonts w:eastAsia="Times New Roman"/>
          <w:color w:val="000000"/>
          <w:sz w:val="20"/>
          <w:szCs w:val="20"/>
        </w:rPr>
        <w:t>44</w:t>
      </w:r>
    </w:p>
    <w:p w:rsidR="00000000" w:rsidRDefault="000C147A">
      <w:pPr>
        <w:rPr>
          <w:rFonts w:eastAsia="Times New Roman"/>
        </w:rPr>
      </w:pPr>
      <w:r>
        <w:rPr>
          <w:rFonts w:eastAsia="Times New Roman"/>
        </w:rPr>
        <w:pict>
          <v:rect id="_x0000_i1070" style="width:0;height:1.5pt" o:hralign="center" o:hrstd="t" o:hr="t" fillcolor="#a0a0a0" stroked="f"/>
        </w:pict>
      </w:r>
    </w:p>
    <w:p w:rsidR="00000000" w:rsidRDefault="000C147A">
      <w:pPr>
        <w:jc w:val="center"/>
        <w:divId w:val="1051227598"/>
        <w:rPr>
          <w:rFonts w:eastAsia="Times New Roman"/>
        </w:rPr>
      </w:pPr>
      <w:r>
        <w:rPr>
          <w:rFonts w:eastAsia="Times New Roman"/>
          <w:b/>
          <w:bCs/>
          <w:color w:val="000000"/>
          <w:sz w:val="20"/>
          <w:szCs w:val="20"/>
        </w:rPr>
        <w:t>EQUITABLE HOLDINGS, INC.</w:t>
      </w:r>
    </w:p>
    <w:p w:rsidR="00000000" w:rsidRDefault="000C147A">
      <w:pPr>
        <w:jc w:val="center"/>
        <w:divId w:val="1051227598"/>
        <w:rPr>
          <w:rFonts w:eastAsia="Times New Roman"/>
        </w:rPr>
      </w:pPr>
      <w:r>
        <w:rPr>
          <w:rFonts w:eastAsia="Times New Roman"/>
          <w:b/>
          <w:bCs/>
          <w:color w:val="000000"/>
          <w:sz w:val="20"/>
          <w:szCs w:val="20"/>
        </w:rPr>
        <w:t>Notes to Consolidated Financial Statements (Unaudited), Continued</w:t>
      </w:r>
    </w:p>
    <w:p w:rsidR="00000000" w:rsidRDefault="000C147A">
      <w:pPr>
        <w:divId w:val="135877940"/>
        <w:rPr>
          <w:rFonts w:eastAsia="Times New Roman"/>
        </w:rPr>
      </w:pPr>
      <w:r>
        <w:rPr>
          <w:rFonts w:eastAsia="Times New Roman"/>
          <w:color w:val="000000"/>
          <w:sz w:val="20"/>
          <w:szCs w:val="20"/>
        </w:rPr>
        <w:t>Lapse rates are adjusted at the contract level based on a comparison of the actuarial calculated guaranteed values and the current policyholder account value, which include other factors suc</w:t>
      </w:r>
      <w:r>
        <w:rPr>
          <w:rFonts w:eastAsia="Times New Roman"/>
          <w:color w:val="000000"/>
          <w:sz w:val="20"/>
          <w:szCs w:val="20"/>
        </w:rPr>
        <w:t>h as considering surrender charges. Generally, lapse rates are assumed to be lower in periods when a surrender charge applies. A dynamic lapse function reduces the base lapse rate when the guaranteed amount is greater than the account value as in-the-money</w:t>
      </w:r>
      <w:r>
        <w:rPr>
          <w:rFonts w:eastAsia="Times New Roman"/>
          <w:color w:val="000000"/>
          <w:sz w:val="20"/>
          <w:szCs w:val="20"/>
        </w:rPr>
        <w:t xml:space="preserve"> contracts are less likely to lapse. For valuing the embedded derivative, lapse rates vary throughout the period over which cash flows are projected. </w:t>
      </w:r>
    </w:p>
    <w:p w:rsidR="00000000" w:rsidRDefault="000C147A">
      <w:pPr>
        <w:divId w:val="990057419"/>
        <w:rPr>
          <w:rFonts w:eastAsia="Times New Roman"/>
        </w:rPr>
      </w:pPr>
      <w:r>
        <w:rPr>
          <w:rFonts w:eastAsia="Times New Roman"/>
          <w:color w:val="000000"/>
          <w:sz w:val="20"/>
          <w:szCs w:val="20"/>
        </w:rPr>
        <w:t>The Company’s Level 3 liabilities include contingent payment arrangements associated with acquisitions in</w:t>
      </w:r>
      <w:r>
        <w:rPr>
          <w:rFonts w:eastAsia="Times New Roman"/>
          <w:color w:val="000000"/>
          <w:sz w:val="20"/>
          <w:szCs w:val="20"/>
        </w:rPr>
        <w:t xml:space="preserve"> 2016 and 2019 by AB. At each reporting date, AB estimates the fair values of the contingent consideration expected to be paid based upon revenue and discount rate projections, using unobservable market data inputs, which are included in Level 3 of the val</w:t>
      </w:r>
      <w:r>
        <w:rPr>
          <w:rFonts w:eastAsia="Times New Roman"/>
          <w:color w:val="000000"/>
          <w:sz w:val="20"/>
          <w:szCs w:val="20"/>
        </w:rPr>
        <w:t xml:space="preserve">uation hierarchy. The Company’s consolidated VIEs/VOEs hold investments that are classified as Level 3, primarily corporate bonds that are vendor priced with no ratings available, bank loans, non-agency collateralized mortgage obligations and asset-backed </w:t>
      </w:r>
      <w:r>
        <w:rPr>
          <w:rFonts w:eastAsia="Times New Roman"/>
          <w:color w:val="000000"/>
          <w:sz w:val="20"/>
          <w:szCs w:val="20"/>
        </w:rPr>
        <w:t>securities.</w:t>
      </w:r>
    </w:p>
    <w:p w:rsidR="00000000" w:rsidRDefault="000C147A">
      <w:pPr>
        <w:divId w:val="1300459491"/>
        <w:rPr>
          <w:rFonts w:eastAsia="Times New Roman"/>
        </w:rPr>
      </w:pPr>
      <w:r>
        <w:rPr>
          <w:rFonts w:eastAsia="Times New Roman"/>
          <w:color w:val="000000"/>
          <w:sz w:val="20"/>
          <w:szCs w:val="20"/>
          <w:u w:val="single"/>
        </w:rPr>
        <w:t>Transfers of Financial Instruments Between Levels 2 and 3</w:t>
      </w:r>
    </w:p>
    <w:p w:rsidR="00000000" w:rsidRDefault="000C147A">
      <w:pPr>
        <w:divId w:val="75327174"/>
        <w:rPr>
          <w:rFonts w:eastAsia="Times New Roman"/>
        </w:rPr>
      </w:pPr>
      <w:r>
        <w:rPr>
          <w:rFonts w:eastAsia="Times New Roman"/>
          <w:color w:val="000000"/>
          <w:sz w:val="20"/>
          <w:szCs w:val="20"/>
        </w:rPr>
        <w:t>During the nine months ended September 30, 2020, AFS fixed maturities with fair values of $103 million were transferred out of Level 3 and into Level 2 principally due to the availabilit</w:t>
      </w:r>
      <w:r>
        <w:rPr>
          <w:rFonts w:eastAsia="Times New Roman"/>
          <w:color w:val="000000"/>
          <w:sz w:val="20"/>
          <w:szCs w:val="20"/>
        </w:rPr>
        <w:t>y of trading activity and/or market observable inputs to measure and validate their fair values. In addition, AFS fixed maturities with fair value of $195 million were transferred from Level 2 into the Level 3 classification. These transfers in the aggrega</w:t>
      </w:r>
      <w:r>
        <w:rPr>
          <w:rFonts w:eastAsia="Times New Roman"/>
          <w:color w:val="000000"/>
          <w:sz w:val="20"/>
          <w:szCs w:val="20"/>
        </w:rPr>
        <w:t>te represent approximately 1.6% of total equity at September 30, 2020.</w:t>
      </w:r>
    </w:p>
    <w:p w:rsidR="00000000" w:rsidRDefault="000C147A">
      <w:pPr>
        <w:divId w:val="1367557785"/>
        <w:rPr>
          <w:rFonts w:eastAsia="Times New Roman"/>
        </w:rPr>
      </w:pPr>
      <w:r>
        <w:rPr>
          <w:rFonts w:eastAsia="Times New Roman"/>
          <w:color w:val="000000"/>
          <w:sz w:val="20"/>
          <w:szCs w:val="20"/>
        </w:rPr>
        <w:t>During the nine months ended September 30, 2019, AFS fixed maturities with fair values of $104 million were transferred out of Level 3 and into Level 2 principally due to the availabili</w:t>
      </w:r>
      <w:r>
        <w:rPr>
          <w:rFonts w:eastAsia="Times New Roman"/>
          <w:color w:val="000000"/>
          <w:sz w:val="20"/>
          <w:szCs w:val="20"/>
        </w:rPr>
        <w:t>ty of trading activity and/or market observable inputs to measure and validate their fair values. In addition, AFS fixed maturities with fair value of $14 million were transferred from Level 2 into the Level 3 classification. These transfers in the aggrega</w:t>
      </w:r>
      <w:r>
        <w:rPr>
          <w:rFonts w:eastAsia="Times New Roman"/>
          <w:color w:val="000000"/>
          <w:sz w:val="20"/>
          <w:szCs w:val="20"/>
        </w:rPr>
        <w:t>te represent approximately 0.7% of total equity at September 30, 2019.</w:t>
      </w:r>
    </w:p>
    <w:p w:rsidR="00000000" w:rsidRDefault="000C147A">
      <w:pPr>
        <w:divId w:val="1745028311"/>
        <w:rPr>
          <w:rFonts w:eastAsia="Times New Roman"/>
        </w:rPr>
      </w:pPr>
      <w:r>
        <w:rPr>
          <w:rFonts w:eastAsia="Times New Roman"/>
          <w:color w:val="000000"/>
          <w:sz w:val="20"/>
          <w:szCs w:val="20"/>
        </w:rPr>
        <w:t>The tables below present reconciliations for all Level 3 assets and liabilities for the three and nine months ended September 30, 2020 and 2019, respectively.</w:t>
      </w:r>
    </w:p>
    <w:p w:rsidR="00000000" w:rsidRDefault="000C147A">
      <w:pPr>
        <w:jc w:val="center"/>
        <w:rPr>
          <w:rFonts w:eastAsia="Times New Roman"/>
        </w:rPr>
      </w:pPr>
      <w:r>
        <w:rPr>
          <w:rFonts w:eastAsia="Times New Roman"/>
          <w:b/>
          <w:bCs/>
          <w:color w:val="000000"/>
          <w:sz w:val="20"/>
          <w:szCs w:val="20"/>
        </w:rPr>
        <w:t>Level 3 Instruments - Fair</w:t>
      </w:r>
      <w:r>
        <w:rPr>
          <w:rFonts w:eastAsia="Times New Roman"/>
          <w:b/>
          <w:bCs/>
          <w:color w:val="000000"/>
          <w:sz w:val="20"/>
          <w:szCs w:val="20"/>
        </w:rPr>
        <w:t xml:space="preserve"> Value Measurements</w:t>
      </w:r>
    </w:p>
    <w:p w:rsidR="00000000" w:rsidRDefault="000C147A">
      <w:pPr>
        <w:divId w:val="735130874"/>
        <w:rPr>
          <w:rFonts w:eastAsia="Times New Roman"/>
        </w:rPr>
      </w:pPr>
    </w:p>
    <w:tbl>
      <w:tblPr>
        <w:tblW w:w="4641" w:type="pct"/>
        <w:tblCellMar>
          <w:top w:w="15" w:type="dxa"/>
          <w:left w:w="15" w:type="dxa"/>
          <w:bottom w:w="15" w:type="dxa"/>
          <w:right w:w="15" w:type="dxa"/>
        </w:tblCellMar>
        <w:tblLook w:val="04A0" w:firstRow="1" w:lastRow="0" w:firstColumn="1" w:lastColumn="0" w:noHBand="0" w:noVBand="1"/>
      </w:tblPr>
      <w:tblGrid>
        <w:gridCol w:w="40"/>
        <w:gridCol w:w="4413"/>
        <w:gridCol w:w="39"/>
        <w:gridCol w:w="121"/>
        <w:gridCol w:w="672"/>
        <w:gridCol w:w="36"/>
        <w:gridCol w:w="36"/>
        <w:gridCol w:w="36"/>
        <w:gridCol w:w="36"/>
        <w:gridCol w:w="121"/>
        <w:gridCol w:w="810"/>
        <w:gridCol w:w="36"/>
        <w:gridCol w:w="36"/>
        <w:gridCol w:w="36"/>
        <w:gridCol w:w="36"/>
        <w:gridCol w:w="36"/>
        <w:gridCol w:w="36"/>
        <w:gridCol w:w="36"/>
        <w:gridCol w:w="36"/>
        <w:gridCol w:w="36"/>
        <w:gridCol w:w="36"/>
        <w:gridCol w:w="36"/>
        <w:gridCol w:w="36"/>
        <w:gridCol w:w="36"/>
        <w:gridCol w:w="36"/>
        <w:gridCol w:w="121"/>
        <w:gridCol w:w="473"/>
        <w:gridCol w:w="36"/>
        <w:gridCol w:w="36"/>
        <w:gridCol w:w="36"/>
        <w:gridCol w:w="36"/>
        <w:gridCol w:w="36"/>
        <w:gridCol w:w="36"/>
        <w:gridCol w:w="36"/>
      </w:tblGrid>
      <w:tr w:rsidR="00000000">
        <w:trPr>
          <w:divId w:val="975183941"/>
        </w:trPr>
        <w:tc>
          <w:tcPr>
            <w:tcW w:w="50" w:type="pct"/>
            <w:vAlign w:val="center"/>
            <w:hideMark/>
          </w:tcPr>
          <w:p w:rsidR="00000000" w:rsidRDefault="000C147A">
            <w:pPr>
              <w:rPr>
                <w:rFonts w:eastAsia="Times New Roman"/>
              </w:rPr>
            </w:pPr>
          </w:p>
        </w:tc>
        <w:tc>
          <w:tcPr>
            <w:tcW w:w="32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Asset- backed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7518394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July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1,685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58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5183941"/>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divId w:val="196630169"/>
        <w:rPr>
          <w:rFonts w:eastAsia="Times New Roman"/>
        </w:rPr>
      </w:pPr>
    </w:p>
    <w:p w:rsidR="00000000" w:rsidRDefault="000C147A">
      <w:pPr>
        <w:jc w:val="center"/>
        <w:divId w:val="196630169"/>
        <w:rPr>
          <w:rFonts w:eastAsia="Times New Roman"/>
        </w:rPr>
      </w:pPr>
      <w:r>
        <w:rPr>
          <w:rFonts w:eastAsia="Times New Roman"/>
          <w:color w:val="000000"/>
          <w:sz w:val="20"/>
          <w:szCs w:val="20"/>
        </w:rPr>
        <w:t>45</w:t>
      </w:r>
    </w:p>
    <w:p w:rsidR="00000000" w:rsidRDefault="000C147A">
      <w:pPr>
        <w:rPr>
          <w:rFonts w:eastAsia="Times New Roman"/>
        </w:rPr>
      </w:pPr>
      <w:r>
        <w:rPr>
          <w:rFonts w:eastAsia="Times New Roman"/>
        </w:rPr>
        <w:pict>
          <v:rect id="_x0000_i1071" style="width:0;height:1.5pt" o:hralign="center" o:hrstd="t" o:hr="t" fillcolor="#a0a0a0" stroked="f"/>
        </w:pict>
      </w:r>
    </w:p>
    <w:p w:rsidR="00000000" w:rsidRDefault="000C147A">
      <w:pPr>
        <w:jc w:val="center"/>
        <w:divId w:val="1096288143"/>
        <w:rPr>
          <w:rFonts w:eastAsia="Times New Roman"/>
        </w:rPr>
      </w:pPr>
      <w:r>
        <w:rPr>
          <w:rFonts w:eastAsia="Times New Roman"/>
          <w:b/>
          <w:bCs/>
          <w:color w:val="000000"/>
          <w:sz w:val="20"/>
          <w:szCs w:val="20"/>
        </w:rPr>
        <w:t>EQUITABLE HOLDINGS, INC.</w:t>
      </w:r>
    </w:p>
    <w:p w:rsidR="00000000" w:rsidRDefault="000C147A">
      <w:pPr>
        <w:jc w:val="center"/>
        <w:divId w:val="1096288143"/>
        <w:rPr>
          <w:rFonts w:eastAsia="Times New Roman"/>
        </w:rPr>
      </w:pPr>
      <w:r>
        <w:rPr>
          <w:rFonts w:eastAsia="Times New Roman"/>
          <w:b/>
          <w:bCs/>
          <w:color w:val="000000"/>
          <w:sz w:val="20"/>
          <w:szCs w:val="20"/>
        </w:rPr>
        <w:t>Notes to Consolidated Financial Statements (Unaudited), Continued</w:t>
      </w:r>
    </w:p>
    <w:tbl>
      <w:tblPr>
        <w:tblW w:w="4641" w:type="pct"/>
        <w:tblCellMar>
          <w:top w:w="15" w:type="dxa"/>
          <w:left w:w="15" w:type="dxa"/>
          <w:bottom w:w="15" w:type="dxa"/>
          <w:right w:w="15" w:type="dxa"/>
        </w:tblCellMar>
        <w:tblLook w:val="04A0" w:firstRow="1" w:lastRow="0" w:firstColumn="1" w:lastColumn="0" w:noHBand="0" w:noVBand="1"/>
      </w:tblPr>
      <w:tblGrid>
        <w:gridCol w:w="40"/>
        <w:gridCol w:w="4413"/>
        <w:gridCol w:w="39"/>
        <w:gridCol w:w="121"/>
        <w:gridCol w:w="672"/>
        <w:gridCol w:w="36"/>
        <w:gridCol w:w="36"/>
        <w:gridCol w:w="36"/>
        <w:gridCol w:w="36"/>
        <w:gridCol w:w="121"/>
        <w:gridCol w:w="810"/>
        <w:gridCol w:w="36"/>
        <w:gridCol w:w="36"/>
        <w:gridCol w:w="36"/>
        <w:gridCol w:w="36"/>
        <w:gridCol w:w="36"/>
        <w:gridCol w:w="36"/>
        <w:gridCol w:w="36"/>
        <w:gridCol w:w="36"/>
        <w:gridCol w:w="36"/>
        <w:gridCol w:w="36"/>
        <w:gridCol w:w="36"/>
        <w:gridCol w:w="36"/>
        <w:gridCol w:w="36"/>
        <w:gridCol w:w="36"/>
        <w:gridCol w:w="121"/>
        <w:gridCol w:w="473"/>
        <w:gridCol w:w="36"/>
        <w:gridCol w:w="36"/>
        <w:gridCol w:w="36"/>
        <w:gridCol w:w="36"/>
        <w:gridCol w:w="36"/>
        <w:gridCol w:w="36"/>
        <w:gridCol w:w="36"/>
      </w:tblGrid>
      <w:tr w:rsidR="00000000">
        <w:trPr>
          <w:divId w:val="831868613"/>
        </w:trPr>
        <w:tc>
          <w:tcPr>
            <w:tcW w:w="50" w:type="pct"/>
            <w:vAlign w:val="center"/>
            <w:hideMark/>
          </w:tcPr>
          <w:p w:rsidR="00000000" w:rsidRDefault="000C147A">
            <w:pPr>
              <w:jc w:val="center"/>
              <w:rPr>
                <w:rFonts w:eastAsia="Times New Roman"/>
              </w:rPr>
            </w:pPr>
          </w:p>
        </w:tc>
        <w:tc>
          <w:tcPr>
            <w:tcW w:w="32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Asset- backed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July 1, 2019</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86861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878198600"/>
        <w:rPr>
          <w:rFonts w:eastAsia="Times New Roman"/>
        </w:rPr>
      </w:pPr>
      <w:r>
        <w:rPr>
          <w:rFonts w:eastAsia="Times New Roman"/>
          <w:color w:val="000000"/>
          <w:sz w:val="18"/>
          <w:szCs w:val="18"/>
        </w:rPr>
        <w:t>_____________</w:t>
      </w:r>
    </w:p>
    <w:p w:rsidR="00000000" w:rsidRDefault="000C147A">
      <w:pPr>
        <w:ind w:hanging="360"/>
        <w:divId w:val="183255064"/>
        <w:rPr>
          <w:rFonts w:eastAsia="Times New Roman"/>
        </w:rPr>
      </w:pPr>
      <w:r>
        <w:rPr>
          <w:rFonts w:eastAsia="Times New Roman"/>
          <w:color w:val="000000"/>
          <w:sz w:val="18"/>
          <w:szCs w:val="18"/>
        </w:rPr>
        <w:t>(1)Transfers into/out of the Level 3 classification are reflected at beginning-of-period fair values.</w:t>
      </w:r>
    </w:p>
    <w:tbl>
      <w:tblPr>
        <w:tblW w:w="4649" w:type="pct"/>
        <w:tblCellMar>
          <w:top w:w="15" w:type="dxa"/>
          <w:left w:w="15" w:type="dxa"/>
          <w:bottom w:w="15" w:type="dxa"/>
          <w:right w:w="15" w:type="dxa"/>
        </w:tblCellMar>
        <w:tblLook w:val="04A0" w:firstRow="1" w:lastRow="0" w:firstColumn="1" w:lastColumn="0" w:noHBand="0" w:noVBand="1"/>
      </w:tblPr>
      <w:tblGrid>
        <w:gridCol w:w="40"/>
        <w:gridCol w:w="4427"/>
        <w:gridCol w:w="39"/>
        <w:gridCol w:w="121"/>
        <w:gridCol w:w="672"/>
        <w:gridCol w:w="36"/>
        <w:gridCol w:w="36"/>
        <w:gridCol w:w="36"/>
        <w:gridCol w:w="36"/>
        <w:gridCol w:w="121"/>
        <w:gridCol w:w="809"/>
        <w:gridCol w:w="36"/>
        <w:gridCol w:w="36"/>
        <w:gridCol w:w="36"/>
        <w:gridCol w:w="36"/>
        <w:gridCol w:w="36"/>
        <w:gridCol w:w="36"/>
        <w:gridCol w:w="36"/>
        <w:gridCol w:w="36"/>
        <w:gridCol w:w="36"/>
        <w:gridCol w:w="36"/>
        <w:gridCol w:w="36"/>
        <w:gridCol w:w="36"/>
        <w:gridCol w:w="36"/>
        <w:gridCol w:w="36"/>
        <w:gridCol w:w="121"/>
        <w:gridCol w:w="473"/>
        <w:gridCol w:w="36"/>
        <w:gridCol w:w="36"/>
        <w:gridCol w:w="36"/>
        <w:gridCol w:w="36"/>
        <w:gridCol w:w="36"/>
        <w:gridCol w:w="36"/>
        <w:gridCol w:w="36"/>
      </w:tblGrid>
      <w:tr w:rsidR="00000000">
        <w:trPr>
          <w:divId w:val="1143426386"/>
        </w:trPr>
        <w:tc>
          <w:tcPr>
            <w:tcW w:w="50" w:type="pct"/>
            <w:vAlign w:val="center"/>
            <w:hideMark/>
          </w:tcPr>
          <w:p w:rsidR="00000000" w:rsidRDefault="000C147A">
            <w:pPr>
              <w:ind w:hanging="360"/>
              <w:rPr>
                <w:rFonts w:eastAsia="Times New Roman"/>
              </w:rPr>
            </w:pPr>
          </w:p>
        </w:tc>
        <w:tc>
          <w:tcPr>
            <w:tcW w:w="328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Asset-backed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14342638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January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1,257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58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434263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437361148"/>
        <w:rPr>
          <w:rFonts w:eastAsia="Times New Roman"/>
        </w:rPr>
      </w:pPr>
      <w:r>
        <w:rPr>
          <w:rFonts w:eastAsia="Times New Roman"/>
          <w:color w:val="000000"/>
          <w:sz w:val="18"/>
          <w:szCs w:val="18"/>
        </w:rPr>
        <w:t>_____________</w:t>
      </w:r>
    </w:p>
    <w:p w:rsidR="00000000" w:rsidRDefault="000C147A">
      <w:pPr>
        <w:ind w:hanging="360"/>
        <w:divId w:val="1461261732"/>
        <w:rPr>
          <w:rFonts w:eastAsia="Times New Roman"/>
        </w:rPr>
      </w:pPr>
      <w:r>
        <w:rPr>
          <w:rFonts w:eastAsia="Times New Roman"/>
          <w:color w:val="000000"/>
          <w:sz w:val="18"/>
          <w:szCs w:val="18"/>
        </w:rPr>
        <w:t>(1)</w:t>
      </w:r>
      <w:r>
        <w:rPr>
          <w:rFonts w:eastAsia="Times New Roman"/>
          <w:color w:val="000000"/>
          <w:sz w:val="18"/>
          <w:szCs w:val="18"/>
        </w:rPr>
        <w:t>Transfers into/out of the Level 3 classification are reflected at beginning-of-period fair values.</w:t>
      </w:r>
    </w:p>
    <w:p w:rsidR="00000000" w:rsidRDefault="000C147A">
      <w:pPr>
        <w:jc w:val="center"/>
        <w:divId w:val="1331517044"/>
        <w:rPr>
          <w:rFonts w:eastAsia="Times New Roman"/>
        </w:rPr>
      </w:pPr>
    </w:p>
    <w:p w:rsidR="00000000" w:rsidRDefault="000C147A">
      <w:pPr>
        <w:jc w:val="center"/>
        <w:divId w:val="1331517044"/>
        <w:rPr>
          <w:rFonts w:eastAsia="Times New Roman"/>
        </w:rPr>
      </w:pPr>
      <w:r>
        <w:rPr>
          <w:rFonts w:eastAsia="Times New Roman"/>
          <w:color w:val="000000"/>
          <w:sz w:val="20"/>
          <w:szCs w:val="20"/>
        </w:rPr>
        <w:t>46</w:t>
      </w:r>
    </w:p>
    <w:p w:rsidR="00000000" w:rsidRDefault="000C147A">
      <w:pPr>
        <w:rPr>
          <w:rFonts w:eastAsia="Times New Roman"/>
        </w:rPr>
      </w:pPr>
      <w:r>
        <w:rPr>
          <w:rFonts w:eastAsia="Times New Roman"/>
        </w:rPr>
        <w:pict>
          <v:rect id="_x0000_i1072" style="width:0;height:1.5pt" o:hralign="center" o:hrstd="t" o:hr="t" fillcolor="#a0a0a0" stroked="f"/>
        </w:pict>
      </w:r>
    </w:p>
    <w:p w:rsidR="00000000" w:rsidRDefault="000C147A">
      <w:pPr>
        <w:jc w:val="center"/>
        <w:divId w:val="925726193"/>
        <w:rPr>
          <w:rFonts w:eastAsia="Times New Roman"/>
        </w:rPr>
      </w:pPr>
      <w:r>
        <w:rPr>
          <w:rFonts w:eastAsia="Times New Roman"/>
          <w:b/>
          <w:bCs/>
          <w:color w:val="000000"/>
          <w:sz w:val="20"/>
          <w:szCs w:val="20"/>
        </w:rPr>
        <w:t>EQUITABLE HOLDINGS, INC.</w:t>
      </w:r>
    </w:p>
    <w:p w:rsidR="00000000" w:rsidRDefault="000C147A">
      <w:pPr>
        <w:jc w:val="center"/>
        <w:divId w:val="925726193"/>
        <w:rPr>
          <w:rFonts w:eastAsia="Times New Roman"/>
        </w:rPr>
      </w:pPr>
      <w:r>
        <w:rPr>
          <w:rFonts w:eastAsia="Times New Roman"/>
          <w:b/>
          <w:bCs/>
          <w:color w:val="000000"/>
          <w:sz w:val="20"/>
          <w:szCs w:val="20"/>
        </w:rPr>
        <w:t>Notes to Consolidated Financial Statements (Unaudited), Continued</w:t>
      </w:r>
    </w:p>
    <w:tbl>
      <w:tblPr>
        <w:tblW w:w="4627" w:type="pct"/>
        <w:tblCellMar>
          <w:top w:w="15" w:type="dxa"/>
          <w:left w:w="15" w:type="dxa"/>
          <w:bottom w:w="15" w:type="dxa"/>
          <w:right w:w="15" w:type="dxa"/>
        </w:tblCellMar>
        <w:tblLook w:val="04A0" w:firstRow="1" w:lastRow="0" w:firstColumn="1" w:lastColumn="0" w:noHBand="0" w:noVBand="1"/>
      </w:tblPr>
      <w:tblGrid>
        <w:gridCol w:w="41"/>
        <w:gridCol w:w="2631"/>
        <w:gridCol w:w="40"/>
        <w:gridCol w:w="121"/>
        <w:gridCol w:w="784"/>
        <w:gridCol w:w="36"/>
        <w:gridCol w:w="36"/>
        <w:gridCol w:w="36"/>
        <w:gridCol w:w="36"/>
        <w:gridCol w:w="121"/>
        <w:gridCol w:w="809"/>
        <w:gridCol w:w="36"/>
        <w:gridCol w:w="36"/>
        <w:gridCol w:w="36"/>
        <w:gridCol w:w="36"/>
        <w:gridCol w:w="121"/>
        <w:gridCol w:w="608"/>
        <w:gridCol w:w="36"/>
        <w:gridCol w:w="36"/>
        <w:gridCol w:w="36"/>
        <w:gridCol w:w="36"/>
        <w:gridCol w:w="120"/>
        <w:gridCol w:w="684"/>
        <w:gridCol w:w="36"/>
        <w:gridCol w:w="36"/>
        <w:gridCol w:w="36"/>
        <w:gridCol w:w="36"/>
        <w:gridCol w:w="121"/>
        <w:gridCol w:w="873"/>
        <w:gridCol w:w="36"/>
      </w:tblGrid>
      <w:tr w:rsidR="00000000">
        <w:trPr>
          <w:divId w:val="1583757886"/>
        </w:trPr>
        <w:tc>
          <w:tcPr>
            <w:tcW w:w="50" w:type="pct"/>
            <w:vAlign w:val="center"/>
            <w:hideMark/>
          </w:tcPr>
          <w:p w:rsidR="00000000" w:rsidRDefault="000C147A">
            <w:pPr>
              <w:jc w:val="center"/>
              <w:rPr>
                <w:rFonts w:eastAsia="Times New Roman"/>
              </w:rPr>
            </w:pPr>
          </w:p>
        </w:tc>
        <w:tc>
          <w:tcPr>
            <w:tcW w:w="19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58375788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Contingent Payment Arrangement</w:t>
            </w:r>
          </w:p>
        </w:tc>
      </w:tr>
      <w:tr w:rsidR="00000000">
        <w:trPr>
          <w:divId w:val="158375788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58375788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July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2,931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(12,689)</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8375788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58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July 1, 2019</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w:t>
            </w:r>
            <w:r>
              <w:rPr>
                <w:rFonts w:eastAsia="Times New Roman"/>
                <w:color w:val="000000"/>
                <w:sz w:val="20"/>
                <w:szCs w:val="20"/>
              </w:rPr>
              <w:t>7,004)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8375788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w:t>
            </w:r>
            <w:r>
              <w:rPr>
                <w:rFonts w:eastAsia="Times New Roman"/>
                <w:color w:val="000000"/>
                <w:sz w:val="20"/>
                <w:szCs w:val="20"/>
              </w:rPr>
              <w:t>2,548)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58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(9,641)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8375788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8375788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738089525"/>
        <w:rPr>
          <w:rFonts w:eastAsia="Times New Roman"/>
        </w:rPr>
      </w:pPr>
      <w:r>
        <w:rPr>
          <w:rFonts w:eastAsia="Times New Roman"/>
          <w:color w:val="000000"/>
          <w:sz w:val="20"/>
          <w:szCs w:val="20"/>
        </w:rPr>
        <w:t>_____________</w:t>
      </w:r>
    </w:p>
    <w:p w:rsidR="00000000" w:rsidRDefault="000C147A">
      <w:pPr>
        <w:ind w:hanging="360"/>
        <w:divId w:val="701782645"/>
        <w:rPr>
          <w:rFonts w:eastAsia="Times New Roman"/>
        </w:rPr>
      </w:pPr>
      <w:r>
        <w:rPr>
          <w:rFonts w:eastAsia="Times New Roman"/>
          <w:color w:val="000000"/>
          <w:sz w:val="18"/>
          <w:szCs w:val="18"/>
        </w:rPr>
        <w:t>(1)The Company’s nonperformance risk impact of ($464) million for the GMxB derivative features liability and ($8) million for the GMIB reinsurance contract asset the three months ended September 2020, respectively, is recorded through Net der</w:t>
      </w:r>
      <w:r>
        <w:rPr>
          <w:rFonts w:eastAsia="Times New Roman"/>
          <w:color w:val="000000"/>
          <w:sz w:val="18"/>
          <w:szCs w:val="18"/>
        </w:rPr>
        <w:t>ivative gains (losses).</w:t>
      </w:r>
    </w:p>
    <w:p w:rsidR="00000000" w:rsidRDefault="000C147A">
      <w:pPr>
        <w:ind w:hanging="360"/>
        <w:divId w:val="1386370280"/>
        <w:rPr>
          <w:rFonts w:eastAsia="Times New Roman"/>
        </w:rPr>
      </w:pPr>
      <w:r>
        <w:rPr>
          <w:rFonts w:eastAsia="Times New Roman"/>
          <w:color w:val="000000"/>
          <w:sz w:val="18"/>
          <w:szCs w:val="18"/>
        </w:rPr>
        <w:t>(2)For the GMIB reinsurance contract asset, and GMxB derivative features liability, represents attributed fee.</w:t>
      </w:r>
    </w:p>
    <w:p w:rsidR="00000000" w:rsidRDefault="000C147A">
      <w:pPr>
        <w:ind w:hanging="360"/>
        <w:divId w:val="1545865825"/>
        <w:rPr>
          <w:rFonts w:eastAsia="Times New Roman"/>
        </w:rPr>
      </w:pPr>
      <w:r>
        <w:rPr>
          <w:rFonts w:eastAsia="Times New Roman"/>
          <w:color w:val="000000"/>
          <w:sz w:val="18"/>
          <w:szCs w:val="18"/>
        </w:rPr>
        <w:t>(3)For the GMIB reinsurance contract asset, represents recoveries from reinsurers and for GMxB derivative features liabil</w:t>
      </w:r>
      <w:r>
        <w:rPr>
          <w:rFonts w:eastAsia="Times New Roman"/>
          <w:color w:val="000000"/>
          <w:sz w:val="18"/>
          <w:szCs w:val="18"/>
        </w:rPr>
        <w:t>ity represents benefits paid.</w:t>
      </w:r>
    </w:p>
    <w:p w:rsidR="00000000" w:rsidRDefault="000C147A">
      <w:pPr>
        <w:ind w:hanging="360"/>
        <w:divId w:val="895624251"/>
        <w:rPr>
          <w:rFonts w:eastAsia="Times New Roman"/>
        </w:rPr>
      </w:pPr>
      <w:r>
        <w:rPr>
          <w:rFonts w:eastAsia="Times New Roman"/>
          <w:color w:val="000000"/>
          <w:sz w:val="18"/>
          <w:szCs w:val="18"/>
        </w:rPr>
        <w:t>(4)For contingent payment arrangements, it represents payments settled under the arrangement related to AB acquisitions.</w:t>
      </w:r>
    </w:p>
    <w:p w:rsidR="00000000" w:rsidRDefault="000C147A">
      <w:pPr>
        <w:ind w:hanging="360"/>
        <w:divId w:val="182671272"/>
        <w:rPr>
          <w:rFonts w:eastAsia="Times New Roman"/>
        </w:rPr>
      </w:pPr>
      <w:r>
        <w:rPr>
          <w:rFonts w:eastAsia="Times New Roman"/>
          <w:color w:val="000000"/>
          <w:sz w:val="18"/>
          <w:szCs w:val="18"/>
        </w:rPr>
        <w:t>(5)Transfers into/out of the Level 3 classification are reflected at beginning-of-period fair values.</w:t>
      </w:r>
    </w:p>
    <w:p w:rsidR="00000000" w:rsidRDefault="000C147A">
      <w:pPr>
        <w:jc w:val="center"/>
        <w:divId w:val="2093428397"/>
        <w:rPr>
          <w:rFonts w:eastAsia="Times New Roman"/>
        </w:rPr>
      </w:pPr>
    </w:p>
    <w:p w:rsidR="00000000" w:rsidRDefault="000C147A">
      <w:pPr>
        <w:jc w:val="center"/>
        <w:divId w:val="2093428397"/>
        <w:rPr>
          <w:rFonts w:eastAsia="Times New Roman"/>
        </w:rPr>
      </w:pPr>
      <w:r>
        <w:rPr>
          <w:rFonts w:eastAsia="Times New Roman"/>
          <w:color w:val="000000"/>
          <w:sz w:val="20"/>
          <w:szCs w:val="20"/>
        </w:rPr>
        <w:t>4</w:t>
      </w:r>
      <w:r>
        <w:rPr>
          <w:rFonts w:eastAsia="Times New Roman"/>
          <w:color w:val="000000"/>
          <w:sz w:val="20"/>
          <w:szCs w:val="20"/>
        </w:rPr>
        <w:t>7</w:t>
      </w:r>
    </w:p>
    <w:p w:rsidR="00000000" w:rsidRDefault="000C147A">
      <w:pPr>
        <w:rPr>
          <w:rFonts w:eastAsia="Times New Roman"/>
        </w:rPr>
      </w:pPr>
      <w:r>
        <w:rPr>
          <w:rFonts w:eastAsia="Times New Roman"/>
        </w:rPr>
        <w:pict>
          <v:rect id="_x0000_i1073" style="width:0;height:1.5pt" o:hralign="center" o:hrstd="t" o:hr="t" fillcolor="#a0a0a0" stroked="f"/>
        </w:pict>
      </w:r>
    </w:p>
    <w:p w:rsidR="00000000" w:rsidRDefault="000C147A">
      <w:pPr>
        <w:jc w:val="center"/>
        <w:divId w:val="237255946"/>
        <w:rPr>
          <w:rFonts w:eastAsia="Times New Roman"/>
        </w:rPr>
      </w:pPr>
      <w:r>
        <w:rPr>
          <w:rFonts w:eastAsia="Times New Roman"/>
          <w:b/>
          <w:bCs/>
          <w:color w:val="000000"/>
          <w:sz w:val="20"/>
          <w:szCs w:val="20"/>
        </w:rPr>
        <w:t>EQUITABLE HOLDINGS, INC.</w:t>
      </w:r>
    </w:p>
    <w:p w:rsidR="00000000" w:rsidRDefault="000C147A">
      <w:pPr>
        <w:jc w:val="center"/>
        <w:divId w:val="237255946"/>
        <w:rPr>
          <w:rFonts w:eastAsia="Times New Roman"/>
        </w:rPr>
      </w:pPr>
      <w:r>
        <w:rPr>
          <w:rFonts w:eastAsia="Times New Roman"/>
          <w:b/>
          <w:bCs/>
          <w:color w:val="000000"/>
          <w:sz w:val="20"/>
          <w:szCs w:val="20"/>
        </w:rPr>
        <w:t>Notes to Consolidated Financial Statements (Unaudited), Continued</w:t>
      </w:r>
    </w:p>
    <w:tbl>
      <w:tblPr>
        <w:tblW w:w="4649" w:type="pct"/>
        <w:tblCellMar>
          <w:top w:w="15" w:type="dxa"/>
          <w:left w:w="15" w:type="dxa"/>
          <w:bottom w:w="15" w:type="dxa"/>
          <w:right w:w="15" w:type="dxa"/>
        </w:tblCellMar>
        <w:tblLook w:val="04A0" w:firstRow="1" w:lastRow="0" w:firstColumn="1" w:lastColumn="0" w:noHBand="0" w:noVBand="1"/>
      </w:tblPr>
      <w:tblGrid>
        <w:gridCol w:w="43"/>
        <w:gridCol w:w="2666"/>
        <w:gridCol w:w="42"/>
        <w:gridCol w:w="121"/>
        <w:gridCol w:w="784"/>
        <w:gridCol w:w="36"/>
        <w:gridCol w:w="36"/>
        <w:gridCol w:w="36"/>
        <w:gridCol w:w="36"/>
        <w:gridCol w:w="121"/>
        <w:gridCol w:w="808"/>
        <w:gridCol w:w="36"/>
        <w:gridCol w:w="36"/>
        <w:gridCol w:w="36"/>
        <w:gridCol w:w="36"/>
        <w:gridCol w:w="121"/>
        <w:gridCol w:w="608"/>
        <w:gridCol w:w="36"/>
        <w:gridCol w:w="36"/>
        <w:gridCol w:w="36"/>
        <w:gridCol w:w="36"/>
        <w:gridCol w:w="120"/>
        <w:gridCol w:w="684"/>
        <w:gridCol w:w="36"/>
        <w:gridCol w:w="36"/>
        <w:gridCol w:w="36"/>
        <w:gridCol w:w="36"/>
        <w:gridCol w:w="121"/>
        <w:gridCol w:w="872"/>
        <w:gridCol w:w="36"/>
      </w:tblGrid>
      <w:tr w:rsidR="00000000">
        <w:trPr>
          <w:divId w:val="1856919333"/>
        </w:trPr>
        <w:tc>
          <w:tcPr>
            <w:tcW w:w="50" w:type="pct"/>
            <w:vAlign w:val="center"/>
            <w:hideMark/>
          </w:tcPr>
          <w:p w:rsidR="00000000" w:rsidRDefault="000C147A">
            <w:pPr>
              <w:jc w:val="center"/>
              <w:rPr>
                <w:rFonts w:eastAsia="Times New Roman"/>
              </w:rPr>
            </w:pPr>
          </w:p>
        </w:tc>
        <w:tc>
          <w:tcPr>
            <w:tcW w:w="19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5691933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GMIB Reinsurance </w:t>
            </w:r>
          </w:p>
          <w:p w:rsidR="00000000" w:rsidRDefault="000C147A">
            <w:pPr>
              <w:jc w:val="center"/>
              <w:rPr>
                <w:rFonts w:eastAsia="Times New Roman"/>
              </w:rPr>
            </w:pPr>
            <w:r>
              <w:rPr>
                <w:rFonts w:eastAsia="Times New Roman"/>
                <w:b/>
                <w:bCs/>
                <w:color w:val="000000"/>
                <w:sz w:val="16"/>
                <w:szCs w:val="16"/>
              </w:rPr>
              <w:t> Contract Asset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Contingent Payment Arrangement</w:t>
            </w:r>
          </w:p>
        </w:tc>
      </w:tr>
      <w:tr w:rsidR="00000000">
        <w:trPr>
          <w:divId w:val="185691933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85691933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January 1, 2020</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2,139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(8,502)</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divId w:val="1179152197"/>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divId w:val="1522157583"/>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divId w:val="2139567789"/>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divId w:val="764305452"/>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divId w:val="652874095"/>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divId w:val="1283346804"/>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Change in estimate (5)</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(6)</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(6)</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September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56919333"/>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(3,677)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58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estimate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into Level 3 (6)</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Transfers out of Level 3 (6)</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Balance, September 30,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(9,641)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5691933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5691933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251042163"/>
        <w:rPr>
          <w:rFonts w:eastAsia="Times New Roman"/>
        </w:rPr>
      </w:pPr>
      <w:r>
        <w:rPr>
          <w:rFonts w:eastAsia="Times New Roman"/>
          <w:color w:val="000000"/>
          <w:sz w:val="18"/>
          <w:szCs w:val="18"/>
        </w:rPr>
        <w:t>______________</w:t>
      </w:r>
    </w:p>
    <w:p w:rsidR="00000000" w:rsidRDefault="000C147A">
      <w:pPr>
        <w:ind w:hanging="360"/>
        <w:divId w:val="1568615952"/>
        <w:rPr>
          <w:rFonts w:eastAsia="Times New Roman"/>
        </w:rPr>
      </w:pPr>
      <w:r>
        <w:rPr>
          <w:rFonts w:eastAsia="Times New Roman"/>
          <w:color w:val="000000"/>
          <w:sz w:val="18"/>
          <w:szCs w:val="18"/>
        </w:rPr>
        <w:t>(1)The Company’s nonperformance risk impact of $42 </w:t>
      </w:r>
      <w:r>
        <w:rPr>
          <w:rFonts w:eastAsia="Times New Roman"/>
          <w:color w:val="000000"/>
          <w:sz w:val="18"/>
          <w:szCs w:val="18"/>
        </w:rPr>
        <w:t>million for the GMxB derivative features liability and ($33) million for the GMIB reinsurance contract asset the nine months ended September 2020, respectively, is recorded through Net derivative gains (losses).</w:t>
      </w:r>
    </w:p>
    <w:p w:rsidR="00000000" w:rsidRDefault="000C147A">
      <w:pPr>
        <w:ind w:hanging="360"/>
        <w:divId w:val="715736968"/>
        <w:rPr>
          <w:rFonts w:eastAsia="Times New Roman"/>
        </w:rPr>
      </w:pPr>
      <w:r>
        <w:rPr>
          <w:rFonts w:eastAsia="Times New Roman"/>
          <w:color w:val="000000"/>
          <w:sz w:val="18"/>
          <w:szCs w:val="18"/>
        </w:rPr>
        <w:t xml:space="preserve">(2)For the GMIB reinsurance contract asset, </w:t>
      </w:r>
      <w:r>
        <w:rPr>
          <w:rFonts w:eastAsia="Times New Roman"/>
          <w:color w:val="000000"/>
          <w:sz w:val="18"/>
          <w:szCs w:val="18"/>
        </w:rPr>
        <w:t>and GMxB derivative features liability, represents attributed fee.</w:t>
      </w:r>
    </w:p>
    <w:p w:rsidR="00000000" w:rsidRDefault="000C147A">
      <w:pPr>
        <w:ind w:hanging="360"/>
        <w:divId w:val="1413502008"/>
        <w:rPr>
          <w:rFonts w:eastAsia="Times New Roman"/>
        </w:rPr>
      </w:pPr>
      <w:r>
        <w:rPr>
          <w:rFonts w:eastAsia="Times New Roman"/>
          <w:color w:val="000000"/>
          <w:sz w:val="18"/>
          <w:szCs w:val="18"/>
        </w:rPr>
        <w:t>(3)For the GMIB reinsurance contract asset, represents recoveries from reinsurers and for GMxB derivative features liability represents benefits paid.</w:t>
      </w:r>
    </w:p>
    <w:p w:rsidR="00000000" w:rsidRDefault="000C147A">
      <w:pPr>
        <w:ind w:hanging="360"/>
        <w:divId w:val="142040208"/>
        <w:rPr>
          <w:rFonts w:eastAsia="Times New Roman"/>
        </w:rPr>
      </w:pPr>
      <w:r>
        <w:rPr>
          <w:rFonts w:eastAsia="Times New Roman"/>
          <w:color w:val="000000"/>
          <w:sz w:val="18"/>
          <w:szCs w:val="18"/>
        </w:rPr>
        <w:t>(4)For contingent payment arrangements</w:t>
      </w:r>
      <w:r>
        <w:rPr>
          <w:rFonts w:eastAsia="Times New Roman"/>
          <w:color w:val="000000"/>
          <w:sz w:val="18"/>
          <w:szCs w:val="18"/>
        </w:rPr>
        <w:t>, it represents payments under the arrangement.</w:t>
      </w:r>
    </w:p>
    <w:p w:rsidR="00000000" w:rsidRDefault="000C147A">
      <w:pPr>
        <w:ind w:hanging="360"/>
        <w:divId w:val="670303717"/>
        <w:rPr>
          <w:rFonts w:eastAsia="Times New Roman"/>
        </w:rPr>
      </w:pPr>
      <w:r>
        <w:rPr>
          <w:rFonts w:eastAsia="Times New Roman"/>
          <w:color w:val="000000"/>
          <w:sz w:val="18"/>
          <w:szCs w:val="18"/>
        </w:rPr>
        <w:t>(5)For the GMIB reinsurance contract asset, represents a transfer from amounts due from reinsurers.</w:t>
      </w:r>
    </w:p>
    <w:p w:rsidR="00000000" w:rsidRDefault="000C147A">
      <w:pPr>
        <w:ind w:hanging="360"/>
        <w:divId w:val="774059454"/>
        <w:rPr>
          <w:rFonts w:eastAsia="Times New Roman"/>
        </w:rPr>
      </w:pPr>
      <w:r>
        <w:rPr>
          <w:rFonts w:eastAsia="Times New Roman"/>
          <w:color w:val="000000"/>
          <w:sz w:val="18"/>
          <w:szCs w:val="18"/>
        </w:rPr>
        <w:t>(6)Transfers into/out of the Level 3 classification are reflected at beginning-of-period fair values.</w:t>
      </w:r>
    </w:p>
    <w:p w:rsidR="00000000" w:rsidRDefault="000C147A">
      <w:pPr>
        <w:divId w:val="1477599606"/>
        <w:rPr>
          <w:rFonts w:eastAsia="Times New Roman"/>
        </w:rPr>
      </w:pPr>
      <w:r>
        <w:rPr>
          <w:rFonts w:eastAsia="Times New Roman"/>
          <w:color w:val="000000"/>
          <w:sz w:val="20"/>
          <w:szCs w:val="20"/>
        </w:rPr>
        <w:t>The ta</w:t>
      </w:r>
      <w:r>
        <w:rPr>
          <w:rFonts w:eastAsia="Times New Roman"/>
          <w:color w:val="000000"/>
          <w:sz w:val="20"/>
          <w:szCs w:val="20"/>
        </w:rPr>
        <w:t>ble below details changes in unrealized gains (losses) for the nine months ended September 30, 2020 and 2019 by category for Level 3 assets and liabilities still held at September 30, 2020 and 2019, respectively.</w:t>
      </w:r>
    </w:p>
    <w:p w:rsidR="00000000" w:rsidRDefault="000C147A">
      <w:pPr>
        <w:jc w:val="center"/>
        <w:divId w:val="129252170"/>
        <w:rPr>
          <w:rFonts w:eastAsia="Times New Roman"/>
        </w:rPr>
      </w:pPr>
    </w:p>
    <w:p w:rsidR="00000000" w:rsidRDefault="000C147A">
      <w:pPr>
        <w:jc w:val="center"/>
        <w:divId w:val="129252170"/>
        <w:rPr>
          <w:rFonts w:eastAsia="Times New Roman"/>
        </w:rPr>
      </w:pPr>
      <w:r>
        <w:rPr>
          <w:rFonts w:eastAsia="Times New Roman"/>
          <w:color w:val="000000"/>
          <w:sz w:val="20"/>
          <w:szCs w:val="20"/>
        </w:rPr>
        <w:t>48</w:t>
      </w:r>
    </w:p>
    <w:p w:rsidR="00000000" w:rsidRDefault="000C147A">
      <w:pPr>
        <w:rPr>
          <w:rFonts w:eastAsia="Times New Roman"/>
        </w:rPr>
      </w:pPr>
      <w:r>
        <w:rPr>
          <w:rFonts w:eastAsia="Times New Roman"/>
        </w:rPr>
        <w:pict>
          <v:rect id="_x0000_i1074" style="width:0;height:1.5pt" o:hralign="center" o:hrstd="t" o:hr="t" fillcolor="#a0a0a0" stroked="f"/>
        </w:pict>
      </w:r>
    </w:p>
    <w:p w:rsidR="00000000" w:rsidRDefault="000C147A">
      <w:pPr>
        <w:jc w:val="center"/>
        <w:divId w:val="1198854334"/>
        <w:rPr>
          <w:rFonts w:eastAsia="Times New Roman"/>
        </w:rPr>
      </w:pPr>
      <w:r>
        <w:rPr>
          <w:rFonts w:eastAsia="Times New Roman"/>
          <w:b/>
          <w:bCs/>
          <w:color w:val="000000"/>
          <w:sz w:val="20"/>
          <w:szCs w:val="20"/>
        </w:rPr>
        <w:t>EQ</w:t>
      </w:r>
      <w:r>
        <w:rPr>
          <w:rFonts w:eastAsia="Times New Roman"/>
          <w:b/>
          <w:bCs/>
          <w:color w:val="000000"/>
          <w:sz w:val="20"/>
          <w:szCs w:val="20"/>
        </w:rPr>
        <w:t>UITABLE HOLDINGS, INC.</w:t>
      </w:r>
    </w:p>
    <w:p w:rsidR="00000000" w:rsidRDefault="000C147A">
      <w:pPr>
        <w:jc w:val="center"/>
        <w:divId w:val="1198854334"/>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Change in Unrealized Gains (Losses) for Level 3 Instruments</w:t>
      </w:r>
    </w:p>
    <w:tbl>
      <w:tblPr>
        <w:tblW w:w="4656" w:type="pct"/>
        <w:tblCellMar>
          <w:top w:w="15" w:type="dxa"/>
          <w:left w:w="15" w:type="dxa"/>
          <w:bottom w:w="15" w:type="dxa"/>
          <w:right w:w="15" w:type="dxa"/>
        </w:tblCellMar>
        <w:tblLook w:val="04A0" w:firstRow="1" w:lastRow="0" w:firstColumn="1" w:lastColumn="0" w:noHBand="0" w:noVBand="1"/>
      </w:tblPr>
      <w:tblGrid>
        <w:gridCol w:w="40"/>
        <w:gridCol w:w="3780"/>
        <w:gridCol w:w="39"/>
        <w:gridCol w:w="121"/>
        <w:gridCol w:w="1080"/>
        <w:gridCol w:w="36"/>
        <w:gridCol w:w="36"/>
        <w:gridCol w:w="36"/>
        <w:gridCol w:w="36"/>
        <w:gridCol w:w="121"/>
        <w:gridCol w:w="1080"/>
        <w:gridCol w:w="37"/>
        <w:gridCol w:w="36"/>
        <w:gridCol w:w="36"/>
        <w:gridCol w:w="36"/>
        <w:gridCol w:w="120"/>
        <w:gridCol w:w="1029"/>
        <w:gridCol w:w="36"/>
      </w:tblGrid>
      <w:tr w:rsidR="00000000">
        <w:trPr>
          <w:divId w:val="656612854"/>
        </w:trPr>
        <w:tc>
          <w:tcPr>
            <w:tcW w:w="50" w:type="pct"/>
            <w:vAlign w:val="center"/>
            <w:hideMark/>
          </w:tcPr>
          <w:p w:rsidR="00000000" w:rsidRDefault="000C147A">
            <w:pPr>
              <w:jc w:val="center"/>
              <w:rPr>
                <w:rFonts w:eastAsia="Times New Roman"/>
              </w:rPr>
            </w:pPr>
          </w:p>
        </w:tc>
        <w:tc>
          <w:tcPr>
            <w:tcW w:w="249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3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3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3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56612854"/>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Income (Loss)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w:t>
            </w:r>
          </w:p>
        </w:tc>
      </w:tr>
      <w:tr w:rsidR="00000000">
        <w:trPr>
          <w:divId w:val="656612854"/>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Investment Gains (Losses), Net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Net Derivative Gains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OCI</w:t>
            </w:r>
          </w:p>
        </w:tc>
      </w:tr>
      <w:tr w:rsidR="00000000">
        <w:trPr>
          <w:divId w:val="65661285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5661285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Held at 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unrealized gains (losses):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Corporate </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State and political subdivisions </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Asset-backed </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GMIB reinsurance contracts </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Separate Account assets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Total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Held at September 30, 2019:</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unrealized gains (losses):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Corporate </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State and political subdivisions </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Asset-backed </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GMIB reinsurance contracts </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Separate Account assets </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(3,677)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5661285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5661285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932617777"/>
        <w:rPr>
          <w:rFonts w:eastAsia="Times New Roman"/>
        </w:rPr>
      </w:pPr>
    </w:p>
    <w:p w:rsidR="00000000" w:rsidRDefault="000C147A">
      <w:pPr>
        <w:divId w:val="1214462823"/>
        <w:rPr>
          <w:rFonts w:eastAsia="Times New Roman"/>
        </w:rPr>
      </w:pPr>
      <w:r>
        <w:rPr>
          <w:rFonts w:eastAsia="Times New Roman"/>
          <w:color w:val="000000"/>
          <w:sz w:val="20"/>
          <w:szCs w:val="20"/>
          <w:u w:val="single"/>
        </w:rPr>
        <w:t>Quantitative and Qualitative Information about Level 3 Fair Value Measurements</w:t>
      </w:r>
    </w:p>
    <w:p w:rsidR="00000000" w:rsidRDefault="000C147A">
      <w:pPr>
        <w:divId w:val="2032686133"/>
        <w:rPr>
          <w:rFonts w:eastAsia="Times New Roman"/>
        </w:rPr>
      </w:pPr>
      <w:r>
        <w:rPr>
          <w:rFonts w:eastAsia="Times New Roman"/>
          <w:color w:val="000000"/>
          <w:sz w:val="20"/>
          <w:szCs w:val="20"/>
        </w:rPr>
        <w:t>The following tables disclose quantitative information about Level 3 fair value measurements by category for assets and liabilities at September 30, 2020 and December 31, 2019, respectively.</w:t>
      </w:r>
    </w:p>
    <w:p w:rsidR="00000000" w:rsidRDefault="000C147A">
      <w:pPr>
        <w:jc w:val="center"/>
        <w:rPr>
          <w:rFonts w:eastAsia="Times New Roman"/>
        </w:rPr>
      </w:pPr>
      <w:r>
        <w:rPr>
          <w:rFonts w:eastAsia="Times New Roman"/>
          <w:b/>
          <w:bCs/>
          <w:color w:val="000000"/>
          <w:sz w:val="20"/>
          <w:szCs w:val="20"/>
        </w:rPr>
        <w:t>Quantitative Information about Level 3 Fair Value Measurements at</w:t>
      </w:r>
      <w:r>
        <w:rPr>
          <w:rFonts w:eastAsia="Times New Roman"/>
          <w:b/>
          <w:bCs/>
          <w:color w:val="000000"/>
          <w:sz w:val="20"/>
          <w:szCs w:val="20"/>
        </w:rPr>
        <w:t xml:space="preserve"> September 30, 2020</w:t>
      </w:r>
    </w:p>
    <w:tbl>
      <w:tblPr>
        <w:tblW w:w="4671" w:type="pct"/>
        <w:tblCellMar>
          <w:top w:w="15" w:type="dxa"/>
          <w:left w:w="15" w:type="dxa"/>
          <w:bottom w:w="15" w:type="dxa"/>
          <w:right w:w="15" w:type="dxa"/>
        </w:tblCellMar>
        <w:tblLook w:val="04A0" w:firstRow="1" w:lastRow="0" w:firstColumn="1" w:lastColumn="0" w:noHBand="0" w:noVBand="1"/>
      </w:tblPr>
      <w:tblGrid>
        <w:gridCol w:w="58"/>
        <w:gridCol w:w="1711"/>
        <w:gridCol w:w="38"/>
        <w:gridCol w:w="111"/>
        <w:gridCol w:w="401"/>
        <w:gridCol w:w="36"/>
        <w:gridCol w:w="36"/>
        <w:gridCol w:w="36"/>
        <w:gridCol w:w="36"/>
        <w:gridCol w:w="79"/>
        <w:gridCol w:w="839"/>
        <w:gridCol w:w="37"/>
        <w:gridCol w:w="36"/>
        <w:gridCol w:w="36"/>
        <w:gridCol w:w="36"/>
        <w:gridCol w:w="43"/>
        <w:gridCol w:w="1614"/>
        <w:gridCol w:w="36"/>
        <w:gridCol w:w="36"/>
        <w:gridCol w:w="36"/>
        <w:gridCol w:w="36"/>
        <w:gridCol w:w="37"/>
        <w:gridCol w:w="1016"/>
        <w:gridCol w:w="36"/>
        <w:gridCol w:w="36"/>
        <w:gridCol w:w="36"/>
        <w:gridCol w:w="36"/>
        <w:gridCol w:w="42"/>
        <w:gridCol w:w="1157"/>
        <w:gridCol w:w="36"/>
      </w:tblGrid>
      <w:tr w:rsidR="00000000">
        <w:trPr>
          <w:divId w:val="230115536"/>
        </w:trPr>
        <w:tc>
          <w:tcPr>
            <w:tcW w:w="50" w:type="pct"/>
            <w:vAlign w:val="center"/>
            <w:hideMark/>
          </w:tcPr>
          <w:p w:rsidR="00000000" w:rsidRDefault="000C147A">
            <w:pPr>
              <w:jc w:val="center"/>
              <w:rPr>
                <w:rFonts w:eastAsia="Times New Roman"/>
              </w:rPr>
            </w:pPr>
          </w:p>
        </w:tc>
        <w:tc>
          <w:tcPr>
            <w:tcW w:w="11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0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3011553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w:t>
            </w:r>
          </w:p>
          <w:p w:rsidR="00000000" w:rsidRDefault="000C147A">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Valuation</w:t>
            </w:r>
          </w:p>
          <w:p w:rsidR="00000000" w:rsidRDefault="000C147A">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Significant</w:t>
            </w:r>
          </w:p>
          <w:p w:rsidR="00000000" w:rsidRDefault="000C147A">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Weighted Average (2)</w:t>
            </w:r>
          </w:p>
        </w:tc>
      </w:tr>
      <w:tr w:rsidR="00000000">
        <w:trPr>
          <w:divId w:val="23011553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30115536"/>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3011553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8"/>
                <w:szCs w:val="18"/>
              </w:rPr>
              <w:t>Investments: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30115536"/>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18"/>
                <w:szCs w:val="18"/>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30115536"/>
        </w:trPr>
        <w:tc>
          <w:tcPr>
            <w:tcW w:w="0" w:type="auto"/>
            <w:gridSpan w:val="3"/>
            <w:shd w:val="clear" w:color="auto" w:fill="CCEEFF"/>
            <w:tcMar>
              <w:top w:w="30" w:type="dxa"/>
              <w:left w:w="495" w:type="dxa"/>
              <w:bottom w:w="30" w:type="dxa"/>
              <w:right w:w="20" w:type="dxa"/>
            </w:tcMar>
            <w:vAlign w:val="center"/>
            <w:hideMark/>
          </w:tcPr>
          <w:p w:rsidR="00000000" w:rsidRDefault="000C147A">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Spread over Benchmark</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220 - 610 bps</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278 bps</w:t>
            </w:r>
          </w:p>
        </w:tc>
      </w:tr>
      <w:tr w:rsidR="00000000">
        <w:trPr>
          <w:divId w:val="230115536"/>
        </w:trPr>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1,105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ascii="Calibri" w:eastAsia="Times New Roman" w:hAnsi="Calibri" w:cs="Calibri"/>
                <w:b/>
                <w:bCs/>
                <w:color w:val="000000"/>
                <w:sz w:val="18"/>
                <w:szCs w:val="18"/>
              </w:rPr>
              <w:t>3.5x-31.8x</w:t>
            </w:r>
            <w:r>
              <w:rPr>
                <w:rFonts w:ascii="Calibri" w:eastAsia="Times New Roman" w:hAnsi="Calibri" w:cs="Calibri"/>
                <w:b/>
                <w:bCs/>
                <w:color w:val="000000"/>
                <w:sz w:val="18"/>
                <w:szCs w:val="18"/>
              </w:rPr>
              <w:br/>
              <w:t>5.1% - 25.4%</w:t>
            </w:r>
            <w:r>
              <w:rPr>
                <w:rFonts w:ascii="Calibri" w:eastAsia="Times New Roman" w:hAnsi="Calibri" w:cs="Calibri"/>
                <w:b/>
                <w:bCs/>
                <w:color w:val="000000"/>
                <w:sz w:val="18"/>
                <w:szCs w:val="18"/>
              </w:rPr>
              <w:br/>
              <w:t>0.9x -25.0x</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14.4x</w:t>
            </w:r>
            <w:r>
              <w:rPr>
                <w:rFonts w:eastAsia="Times New Roman"/>
                <w:b/>
                <w:bCs/>
                <w:color w:val="000000"/>
                <w:sz w:val="18"/>
                <w:szCs w:val="18"/>
              </w:rPr>
              <w:br/>
              <w:t>10.0%</w:t>
            </w:r>
            <w:r>
              <w:rPr>
                <w:rFonts w:eastAsia="Times New Roman"/>
                <w:b/>
                <w:bCs/>
                <w:color w:val="000000"/>
                <w:sz w:val="18"/>
                <w:szCs w:val="18"/>
              </w:rPr>
              <w:br/>
              <w:t>10.7x</w:t>
            </w:r>
          </w:p>
        </w:tc>
      </w:tr>
      <w:tr w:rsidR="00000000">
        <w:trPr>
          <w:divId w:val="230115536"/>
        </w:trPr>
        <w:tc>
          <w:tcPr>
            <w:tcW w:w="0" w:type="auto"/>
            <w:gridSpan w:val="3"/>
            <w:shd w:val="clear" w:color="auto" w:fill="CCEEFF"/>
            <w:tcMar>
              <w:top w:w="30" w:type="dxa"/>
              <w:left w:w="495" w:type="dxa"/>
              <w:bottom w:w="30" w:type="dxa"/>
              <w:right w:w="20" w:type="dxa"/>
            </w:tcMar>
            <w:vAlign w:val="center"/>
            <w:hideMark/>
          </w:tcPr>
          <w:p w:rsidR="00000000" w:rsidRDefault="000C147A">
            <w:pPr>
              <w:rPr>
                <w:rFonts w:eastAsia="Times New Roman"/>
              </w:rPr>
            </w:pPr>
            <w:r>
              <w:rPr>
                <w:rFonts w:eastAsia="Times New Roman"/>
                <w:color w:val="000000"/>
                <w:sz w:val="18"/>
                <w:szCs w:val="18"/>
              </w:rPr>
              <w:t>Other equity investments</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Market comparable companies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ascii="Calibri" w:eastAsia="Times New Roman" w:hAnsi="Calibri" w:cs="Calibri"/>
                <w:color w:val="000000"/>
                <w:sz w:val="18"/>
                <w:szCs w:val="18"/>
              </w:rPr>
              <w:t>Revenue multiple</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3.5x - 27.9x</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ascii="Calibri" w:eastAsia="Times New Roman" w:hAnsi="Calibri" w:cs="Calibri"/>
                <w:b/>
                <w:bCs/>
                <w:color w:val="000000"/>
                <w:sz w:val="18"/>
                <w:szCs w:val="18"/>
              </w:rPr>
              <w:t>9.5x</w:t>
            </w:r>
          </w:p>
        </w:tc>
      </w:tr>
      <w:tr w:rsidR="00000000">
        <w:trPr>
          <w:divId w:val="230115536"/>
        </w:trPr>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years</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ascii="Calibri" w:eastAsia="Times New Roman" w:hAnsi="Calibri" w:cs="Calibri"/>
                <w:b/>
                <w:bCs/>
                <w:color w:val="000000"/>
                <w:sz w:val="18"/>
                <w:szCs w:val="18"/>
              </w:rPr>
              <w:t>8.0x</w:t>
            </w:r>
            <w:r>
              <w:rPr>
                <w:rFonts w:ascii="Calibri" w:eastAsia="Times New Roman" w:hAnsi="Calibri" w:cs="Calibri"/>
                <w:b/>
                <w:bCs/>
                <w:color w:val="000000"/>
                <w:sz w:val="18"/>
                <w:szCs w:val="18"/>
              </w:rPr>
              <w:br/>
              <w:t>10.0%</w:t>
            </w:r>
            <w:r>
              <w:rPr>
                <w:rFonts w:ascii="Calibri" w:eastAsia="Times New Roman" w:hAnsi="Calibri" w:cs="Calibri"/>
                <w:b/>
                <w:bCs/>
                <w:color w:val="000000"/>
                <w:sz w:val="18"/>
                <w:szCs w:val="18"/>
              </w:rPr>
              <w:br/>
              <w:t>11</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bl>
    <w:p w:rsidR="00000000" w:rsidRDefault="000C147A">
      <w:pPr>
        <w:jc w:val="center"/>
        <w:divId w:val="2003964179"/>
        <w:rPr>
          <w:rFonts w:eastAsia="Times New Roman"/>
        </w:rPr>
      </w:pPr>
    </w:p>
    <w:p w:rsidR="00000000" w:rsidRDefault="000C147A">
      <w:pPr>
        <w:jc w:val="center"/>
        <w:divId w:val="2003964179"/>
        <w:rPr>
          <w:rFonts w:eastAsia="Times New Roman"/>
        </w:rPr>
      </w:pPr>
      <w:r>
        <w:rPr>
          <w:rFonts w:eastAsia="Times New Roman"/>
          <w:color w:val="000000"/>
          <w:sz w:val="20"/>
          <w:szCs w:val="20"/>
        </w:rPr>
        <w:t>49</w:t>
      </w:r>
    </w:p>
    <w:p w:rsidR="00000000" w:rsidRDefault="000C147A">
      <w:pPr>
        <w:rPr>
          <w:rFonts w:eastAsia="Times New Roman"/>
        </w:rPr>
      </w:pPr>
      <w:r>
        <w:rPr>
          <w:rFonts w:eastAsia="Times New Roman"/>
        </w:rPr>
        <w:pict>
          <v:rect id="_x0000_i1075" style="width:0;height:1.5pt" o:hralign="center" o:hrstd="t" o:hr="t" fillcolor="#a0a0a0" stroked="f"/>
        </w:pict>
      </w:r>
    </w:p>
    <w:p w:rsidR="00000000" w:rsidRDefault="000C147A">
      <w:pPr>
        <w:jc w:val="center"/>
        <w:divId w:val="450512191"/>
        <w:rPr>
          <w:rFonts w:eastAsia="Times New Roman"/>
        </w:rPr>
      </w:pPr>
      <w:r>
        <w:rPr>
          <w:rFonts w:eastAsia="Times New Roman"/>
          <w:b/>
          <w:bCs/>
          <w:color w:val="000000"/>
          <w:sz w:val="20"/>
          <w:szCs w:val="20"/>
        </w:rPr>
        <w:t>EQUITABLE HOLDINGS, INC.</w:t>
      </w:r>
    </w:p>
    <w:p w:rsidR="00000000" w:rsidRDefault="000C147A">
      <w:pPr>
        <w:jc w:val="center"/>
        <w:divId w:val="450512191"/>
        <w:rPr>
          <w:rFonts w:eastAsia="Times New Roman"/>
        </w:rPr>
      </w:pPr>
      <w:r>
        <w:rPr>
          <w:rFonts w:eastAsia="Times New Roman"/>
          <w:b/>
          <w:bCs/>
          <w:color w:val="000000"/>
          <w:sz w:val="20"/>
          <w:szCs w:val="20"/>
        </w:rPr>
        <w:t>Notes to Consolidated Financial Statements (Unaudited), Continued</w:t>
      </w:r>
    </w:p>
    <w:tbl>
      <w:tblPr>
        <w:tblW w:w="4671" w:type="pct"/>
        <w:tblCellMar>
          <w:top w:w="15" w:type="dxa"/>
          <w:left w:w="15" w:type="dxa"/>
          <w:bottom w:w="15" w:type="dxa"/>
          <w:right w:w="15" w:type="dxa"/>
        </w:tblCellMar>
        <w:tblLook w:val="04A0" w:firstRow="1" w:lastRow="0" w:firstColumn="1" w:lastColumn="0" w:noHBand="0" w:noVBand="1"/>
      </w:tblPr>
      <w:tblGrid>
        <w:gridCol w:w="51"/>
        <w:gridCol w:w="1724"/>
        <w:gridCol w:w="38"/>
        <w:gridCol w:w="85"/>
        <w:gridCol w:w="475"/>
        <w:gridCol w:w="36"/>
        <w:gridCol w:w="36"/>
        <w:gridCol w:w="36"/>
        <w:gridCol w:w="36"/>
        <w:gridCol w:w="74"/>
        <w:gridCol w:w="779"/>
        <w:gridCol w:w="36"/>
        <w:gridCol w:w="36"/>
        <w:gridCol w:w="36"/>
        <w:gridCol w:w="36"/>
        <w:gridCol w:w="45"/>
        <w:gridCol w:w="1609"/>
        <w:gridCol w:w="37"/>
        <w:gridCol w:w="36"/>
        <w:gridCol w:w="36"/>
        <w:gridCol w:w="36"/>
        <w:gridCol w:w="43"/>
        <w:gridCol w:w="1016"/>
        <w:gridCol w:w="36"/>
        <w:gridCol w:w="36"/>
        <w:gridCol w:w="36"/>
        <w:gridCol w:w="36"/>
        <w:gridCol w:w="42"/>
        <w:gridCol w:w="1165"/>
        <w:gridCol w:w="36"/>
      </w:tblGrid>
      <w:tr w:rsidR="00000000">
        <w:trPr>
          <w:divId w:val="1751585164"/>
        </w:trPr>
        <w:tc>
          <w:tcPr>
            <w:tcW w:w="50" w:type="pct"/>
            <w:vAlign w:val="center"/>
            <w:hideMark/>
          </w:tcPr>
          <w:p w:rsidR="00000000" w:rsidRDefault="000C147A">
            <w:pPr>
              <w:jc w:val="center"/>
              <w:rPr>
                <w:rFonts w:eastAsia="Times New Roman"/>
              </w:rPr>
            </w:pPr>
          </w:p>
        </w:tc>
        <w:tc>
          <w:tcPr>
            <w:tcW w:w="11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0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5158516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w:t>
            </w:r>
          </w:p>
          <w:p w:rsidR="00000000" w:rsidRDefault="000C147A">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Valuation</w:t>
            </w:r>
          </w:p>
          <w:p w:rsidR="00000000" w:rsidRDefault="000C147A">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Significant</w:t>
            </w:r>
          </w:p>
          <w:p w:rsidR="00000000" w:rsidRDefault="000C147A">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Weighted Average (2)</w:t>
            </w:r>
          </w:p>
        </w:tc>
      </w:tr>
      <w:tr w:rsidR="00000000">
        <w:trPr>
          <w:divId w:val="1751585164"/>
        </w:trPr>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GMIB reinsurance contract asset</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2,818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r>
            <w:r>
              <w:rPr>
                <w:rFonts w:eastAsia="Times New Roman"/>
                <w:color w:val="000000"/>
                <w:sz w:val="18"/>
                <w:szCs w:val="18"/>
              </w:rPr>
              <w:t>Ages 61 - 115</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60 - 125 bps</w:t>
            </w:r>
            <w:r>
              <w:rPr>
                <w:rFonts w:eastAsia="Times New Roman"/>
                <w:b/>
                <w:bCs/>
                <w:color w:val="000000"/>
                <w:sz w:val="18"/>
                <w:szCs w:val="18"/>
              </w:rPr>
              <w:br/>
              <w:t>0.6%-16%</w:t>
            </w:r>
            <w:r>
              <w:rPr>
                <w:rFonts w:eastAsia="Times New Roman"/>
                <w:b/>
                <w:bCs/>
                <w:color w:val="000000"/>
                <w:sz w:val="18"/>
                <w:szCs w:val="18"/>
              </w:rPr>
              <w:br/>
              <w:t>0%-2%</w:t>
            </w:r>
            <w:r>
              <w:rPr>
                <w:rFonts w:eastAsia="Times New Roman"/>
                <w:b/>
                <w:bCs/>
                <w:color w:val="000000"/>
                <w:sz w:val="18"/>
                <w:szCs w:val="18"/>
              </w:rPr>
              <w:br/>
              <w:t>0%-61%</w:t>
            </w:r>
            <w:r>
              <w:rPr>
                <w:rFonts w:eastAsia="Times New Roman"/>
                <w:b/>
                <w:bCs/>
                <w:color w:val="000000"/>
                <w:sz w:val="18"/>
                <w:szCs w:val="18"/>
              </w:rPr>
              <w:br/>
              <w:t>16%-34%</w:t>
            </w:r>
            <w:r>
              <w:rPr>
                <w:rFonts w:eastAsia="Times New Roman"/>
                <w:b/>
                <w:bCs/>
                <w:color w:val="000000"/>
                <w:sz w:val="18"/>
                <w:szCs w:val="18"/>
              </w:rPr>
              <w:br/>
            </w:r>
            <w:r>
              <w:rPr>
                <w:rFonts w:eastAsia="Times New Roman"/>
                <w:b/>
                <w:bCs/>
                <w:color w:val="000000"/>
                <w:sz w:val="18"/>
                <w:szCs w:val="18"/>
              </w:rPr>
              <w:br/>
              <w:t>0.01%-0.18%</w:t>
            </w:r>
            <w:r>
              <w:rPr>
                <w:rFonts w:eastAsia="Times New Roman"/>
                <w:b/>
                <w:bCs/>
                <w:color w:val="000000"/>
                <w:sz w:val="18"/>
                <w:szCs w:val="18"/>
              </w:rPr>
              <w:br/>
              <w:t>0.07%-0.54%</w:t>
            </w:r>
            <w:r>
              <w:rPr>
                <w:rFonts w:eastAsia="Times New Roman"/>
                <w:b/>
                <w:bCs/>
                <w:color w:val="000000"/>
                <w:sz w:val="18"/>
                <w:szCs w:val="18"/>
              </w:rPr>
              <w:br/>
              <w:t>0.42%-42.20%</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72 bps</w:t>
            </w:r>
            <w:r>
              <w:rPr>
                <w:rFonts w:eastAsia="Times New Roman"/>
                <w:b/>
                <w:bCs/>
                <w:color w:val="000000"/>
                <w:sz w:val="18"/>
                <w:szCs w:val="18"/>
              </w:rPr>
              <w:br/>
              <w:t>1.56%</w:t>
            </w:r>
            <w:r>
              <w:rPr>
                <w:rFonts w:eastAsia="Times New Roman"/>
                <w:b/>
                <w:bCs/>
                <w:color w:val="000000"/>
                <w:sz w:val="18"/>
                <w:szCs w:val="18"/>
              </w:rPr>
              <w:br/>
              <w:t>0.96%</w:t>
            </w:r>
            <w:r>
              <w:rPr>
                <w:rFonts w:eastAsia="Times New Roman"/>
                <w:b/>
                <w:bCs/>
                <w:color w:val="000000"/>
                <w:sz w:val="18"/>
                <w:szCs w:val="18"/>
              </w:rPr>
              <w:br/>
              <w:t>6.37%</w:t>
            </w:r>
            <w:r>
              <w:rPr>
                <w:rFonts w:eastAsia="Times New Roman"/>
                <w:b/>
                <w:bCs/>
                <w:color w:val="000000"/>
                <w:sz w:val="18"/>
                <w:szCs w:val="18"/>
              </w:rPr>
              <w:br/>
              <w:t>25%</w:t>
            </w:r>
            <w:r>
              <w:rPr>
                <w:rFonts w:eastAsia="Times New Roman"/>
                <w:b/>
                <w:bCs/>
                <w:color w:val="000000"/>
                <w:sz w:val="18"/>
                <w:szCs w:val="18"/>
              </w:rPr>
              <w:br/>
            </w:r>
            <w:r>
              <w:rPr>
                <w:rFonts w:eastAsia="Times New Roman"/>
                <w:b/>
                <w:bCs/>
                <w:color w:val="000000"/>
                <w:sz w:val="18"/>
                <w:szCs w:val="18"/>
              </w:rPr>
              <w:br/>
              <w:t>2.72%</w:t>
            </w:r>
            <w:r>
              <w:rPr>
                <w:rFonts w:eastAsia="Times New Roman"/>
                <w:b/>
                <w:bCs/>
                <w:color w:val="000000"/>
                <w:sz w:val="18"/>
                <w:szCs w:val="18"/>
              </w:rPr>
              <w:br/>
              <w:t>(same for all ages)</w:t>
            </w:r>
            <w:r>
              <w:rPr>
                <w:rFonts w:eastAsia="Times New Roman"/>
                <w:b/>
                <w:bCs/>
                <w:color w:val="000000"/>
                <w:sz w:val="18"/>
                <w:szCs w:val="18"/>
              </w:rPr>
              <w:br/>
              <w:t>(same for all ages)</w:t>
            </w:r>
          </w:p>
        </w:tc>
      </w:tr>
      <w:tr w:rsidR="00000000">
        <w:trPr>
          <w:divId w:val="175158516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b/>
                <w:bCs/>
                <w:color w:val="000000"/>
                <w:sz w:val="18"/>
                <w:szCs w:val="18"/>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51585164"/>
        </w:trPr>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GMIBNLG</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11,682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141.0 bps</w:t>
            </w:r>
            <w:r>
              <w:rPr>
                <w:rFonts w:eastAsia="Times New Roman"/>
                <w:b/>
                <w:bCs/>
                <w:color w:val="000000"/>
                <w:sz w:val="18"/>
                <w:szCs w:val="18"/>
              </w:rPr>
              <w:br/>
              <w:t>1.1%-25.7%</w:t>
            </w:r>
            <w:r>
              <w:rPr>
                <w:rFonts w:eastAsia="Times New Roman"/>
                <w:b/>
                <w:bCs/>
                <w:color w:val="000000"/>
                <w:sz w:val="18"/>
                <w:szCs w:val="18"/>
              </w:rPr>
              <w:br/>
              <w:t>0.4%-2%</w:t>
            </w:r>
            <w:r>
              <w:rPr>
                <w:rFonts w:eastAsia="Times New Roman"/>
                <w:b/>
                <w:bCs/>
                <w:color w:val="000000"/>
                <w:sz w:val="18"/>
                <w:szCs w:val="18"/>
              </w:rPr>
              <w:br/>
              <w:t>0%-100%</w:t>
            </w:r>
            <w:r>
              <w:rPr>
                <w:rFonts w:eastAsia="Times New Roman"/>
                <w:b/>
                <w:bCs/>
                <w:color w:val="000000"/>
                <w:sz w:val="18"/>
                <w:szCs w:val="18"/>
              </w:rPr>
              <w:br/>
            </w:r>
            <w:r>
              <w:rPr>
                <w:rFonts w:eastAsia="Times New Roman"/>
                <w:b/>
                <w:bCs/>
                <w:color w:val="000000"/>
                <w:sz w:val="18"/>
                <w:szCs w:val="18"/>
              </w:rPr>
              <w:br/>
              <w:t>0.01%-0.19%</w:t>
            </w:r>
            <w:r>
              <w:rPr>
                <w:rFonts w:eastAsia="Times New Roman"/>
                <w:b/>
                <w:bCs/>
                <w:color w:val="000000"/>
                <w:sz w:val="18"/>
                <w:szCs w:val="18"/>
              </w:rPr>
              <w:br/>
              <w:t>0.06%-0.53%</w:t>
            </w:r>
            <w:r>
              <w:rPr>
                <w:rFonts w:eastAsia="Times New Roman"/>
                <w:b/>
                <w:bCs/>
                <w:color w:val="000000"/>
                <w:sz w:val="18"/>
                <w:szCs w:val="18"/>
              </w:rPr>
              <w:br/>
              <w:t>0.41%-41.39%</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br/>
              <w:t>3.06%</w:t>
            </w:r>
            <w:r>
              <w:rPr>
                <w:rFonts w:eastAsia="Times New Roman"/>
                <w:b/>
                <w:bCs/>
                <w:color w:val="000000"/>
                <w:sz w:val="18"/>
                <w:szCs w:val="18"/>
              </w:rPr>
              <w:br/>
            </w:r>
            <w:r>
              <w:rPr>
                <w:rFonts w:eastAsia="Times New Roman"/>
                <w:b/>
                <w:bCs/>
                <w:color w:val="000000"/>
                <w:sz w:val="18"/>
                <w:szCs w:val="18"/>
              </w:rPr>
              <w:t>0.96%</w:t>
            </w:r>
            <w:r>
              <w:rPr>
                <w:rFonts w:eastAsia="Times New Roman"/>
                <w:b/>
                <w:bCs/>
                <w:color w:val="000000"/>
                <w:sz w:val="18"/>
                <w:szCs w:val="18"/>
              </w:rPr>
              <w:br/>
              <w:t>5.92%</w:t>
            </w:r>
            <w:r>
              <w:rPr>
                <w:rFonts w:eastAsia="Times New Roman"/>
                <w:b/>
                <w:bCs/>
                <w:color w:val="000000"/>
                <w:sz w:val="18"/>
                <w:szCs w:val="18"/>
              </w:rPr>
              <w:br/>
            </w:r>
            <w:r>
              <w:rPr>
                <w:rFonts w:eastAsia="Times New Roman"/>
                <w:b/>
                <w:bCs/>
                <w:color w:val="000000"/>
                <w:sz w:val="18"/>
                <w:szCs w:val="18"/>
              </w:rPr>
              <w:br/>
              <w:t>1.48%</w:t>
            </w:r>
            <w:r>
              <w:rPr>
                <w:rFonts w:eastAsia="Times New Roman"/>
                <w:b/>
                <w:bCs/>
                <w:color w:val="000000"/>
                <w:sz w:val="18"/>
                <w:szCs w:val="18"/>
              </w:rPr>
              <w:br/>
              <w:t>(same for all ages)</w:t>
            </w:r>
            <w:r>
              <w:rPr>
                <w:rFonts w:eastAsia="Times New Roman"/>
                <w:b/>
                <w:bCs/>
                <w:color w:val="000000"/>
                <w:sz w:val="18"/>
                <w:szCs w:val="18"/>
              </w:rPr>
              <w:br/>
              <w:t>(same for all ages)</w:t>
            </w:r>
          </w:p>
        </w:tc>
      </w:tr>
      <w:tr w:rsidR="00000000">
        <w:trPr>
          <w:divId w:val="175158516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Assumed GMIB Reinsurance Contracts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0-85)</w:t>
            </w:r>
            <w:r>
              <w:rPr>
                <w:rFonts w:eastAsia="Times New Roman"/>
                <w:color w:val="000000"/>
                <w:sz w:val="18"/>
                <w:szCs w:val="18"/>
              </w:rPr>
              <w:br/>
              <w:t>Withdrawal rates (Age 86+)</w:t>
            </w:r>
            <w:r>
              <w:rPr>
                <w:rFonts w:eastAsia="Times New Roman"/>
                <w:color w:val="000000"/>
                <w:sz w:val="18"/>
                <w:szCs w:val="18"/>
              </w:rPr>
              <w:br/>
            </w:r>
            <w:r>
              <w:rPr>
                <w:rFonts w:eastAsia="Times New Roman"/>
                <w:color w:val="000000"/>
                <w:sz w:val="18"/>
                <w:szCs w:val="18"/>
              </w:rPr>
              <w:t xml:space="preserve">Utilization rates </w:t>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92 - 195 bps</w:t>
            </w:r>
            <w:r>
              <w:rPr>
                <w:rFonts w:eastAsia="Times New Roman"/>
                <w:b/>
                <w:bCs/>
                <w:color w:val="000000"/>
                <w:sz w:val="18"/>
                <w:szCs w:val="18"/>
              </w:rPr>
              <w:br/>
              <w:t>1.1% - 11.1%</w:t>
            </w:r>
            <w:r>
              <w:rPr>
                <w:rFonts w:eastAsia="Times New Roman"/>
                <w:b/>
                <w:bCs/>
                <w:color w:val="000000"/>
                <w:sz w:val="18"/>
                <w:szCs w:val="18"/>
              </w:rPr>
              <w:br/>
              <w:t>0.6% - 22.2%</w:t>
            </w:r>
            <w:r>
              <w:rPr>
                <w:rFonts w:eastAsia="Times New Roman"/>
                <w:b/>
                <w:bCs/>
                <w:color w:val="000000"/>
                <w:sz w:val="18"/>
                <w:szCs w:val="18"/>
              </w:rPr>
              <w:br/>
              <w:t>1.1% - 100%</w:t>
            </w:r>
            <w:r>
              <w:rPr>
                <w:rFonts w:eastAsia="Times New Roman"/>
                <w:b/>
                <w:bCs/>
                <w:color w:val="000000"/>
                <w:sz w:val="18"/>
                <w:szCs w:val="18"/>
              </w:rPr>
              <w:br/>
              <w:t>0% - 30%</w:t>
            </w:r>
            <w:r>
              <w:rPr>
                <w:rFonts w:eastAsia="Times New Roman"/>
                <w:b/>
                <w:bCs/>
                <w:color w:val="000000"/>
                <w:sz w:val="18"/>
                <w:szCs w:val="18"/>
              </w:rPr>
              <w:br/>
              <w:t>16%-34%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t>147 bps</w:t>
            </w:r>
            <w:r>
              <w:rPr>
                <w:rFonts w:eastAsia="Times New Roman"/>
                <w:b/>
                <w:bCs/>
                <w:color w:val="000000"/>
                <w:sz w:val="18"/>
                <w:szCs w:val="18"/>
              </w:rPr>
              <w:br/>
              <w:t>1.56%</w:t>
            </w:r>
            <w:r>
              <w:rPr>
                <w:rFonts w:eastAsia="Times New Roman"/>
                <w:b/>
                <w:bCs/>
                <w:color w:val="000000"/>
                <w:sz w:val="18"/>
                <w:szCs w:val="18"/>
              </w:rPr>
              <w:br/>
              <w:t>0.96%</w:t>
            </w:r>
            <w:r>
              <w:rPr>
                <w:rFonts w:eastAsia="Times New Roman"/>
                <w:b/>
                <w:bCs/>
                <w:color w:val="000000"/>
                <w:sz w:val="18"/>
                <w:szCs w:val="18"/>
              </w:rPr>
              <w:br/>
              <w:t>(same for all ages)</w:t>
            </w:r>
            <w:r>
              <w:rPr>
                <w:rFonts w:eastAsia="Times New Roman"/>
                <w:b/>
                <w:bCs/>
                <w:color w:val="000000"/>
                <w:sz w:val="18"/>
                <w:szCs w:val="18"/>
              </w:rPr>
              <w:br/>
              <w:t>6.37%</w:t>
            </w:r>
            <w:r>
              <w:rPr>
                <w:rFonts w:eastAsia="Times New Roman"/>
                <w:b/>
                <w:bCs/>
                <w:color w:val="000000"/>
                <w:sz w:val="18"/>
                <w:szCs w:val="18"/>
              </w:rPr>
              <w:br/>
              <w:t>25%</w:t>
            </w:r>
          </w:p>
        </w:tc>
      </w:tr>
      <w:tr w:rsidR="00000000">
        <w:trPr>
          <w:divId w:val="175158516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spacing w:after="240"/>
              <w:jc w:val="center"/>
              <w:rPr>
                <w:rFonts w:eastAsia="Times New Roman"/>
              </w:rPr>
            </w:pPr>
            <w:r>
              <w:rPr>
                <w:rFonts w:eastAsia="Times New Roman"/>
                <w:b/>
                <w:bCs/>
                <w:color w:val="000000"/>
                <w:sz w:val="18"/>
                <w:szCs w:val="18"/>
              </w:rPr>
              <w:t>141.0 bps</w:t>
            </w:r>
            <w:r>
              <w:rPr>
                <w:rFonts w:eastAsia="Times New Roman"/>
                <w:b/>
                <w:bCs/>
                <w:color w:val="000000"/>
                <w:sz w:val="18"/>
                <w:szCs w:val="18"/>
              </w:rPr>
              <w:br/>
              <w:t>0.8%-16%</w:t>
            </w:r>
            <w:r>
              <w:rPr>
                <w:rFonts w:eastAsia="Times New Roman"/>
                <w:b/>
                <w:bCs/>
                <w:color w:val="000000"/>
                <w:sz w:val="18"/>
                <w:szCs w:val="18"/>
              </w:rPr>
              <w:br/>
              <w:t>0%-8%</w:t>
            </w:r>
            <w:r>
              <w:rPr>
                <w:rFonts w:eastAsia="Times New Roman"/>
                <w:b/>
                <w:bCs/>
                <w:color w:val="000000"/>
                <w:sz w:val="18"/>
                <w:szCs w:val="18"/>
              </w:rPr>
              <w:br/>
              <w:t>100% once starting</w:t>
            </w:r>
            <w:r>
              <w:rPr>
                <w:rFonts w:eastAsia="Times New Roman"/>
                <w:b/>
                <w:bCs/>
                <w:color w:val="000000"/>
                <w:sz w:val="18"/>
                <w:szCs w:val="18"/>
              </w:rPr>
              <w:br/>
              <w:t>16%-34%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spacing w:after="24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spacing w:after="240"/>
              <w:jc w:val="center"/>
              <w:rPr>
                <w:rFonts w:eastAsia="Times New Roman"/>
              </w:rPr>
            </w:pPr>
            <w:r>
              <w:rPr>
                <w:rFonts w:eastAsia="Times New Roman"/>
                <w:b/>
                <w:bCs/>
                <w:color w:val="000000"/>
                <w:sz w:val="18"/>
                <w:szCs w:val="18"/>
              </w:rPr>
              <w:br/>
              <w:t>1.56%</w:t>
            </w:r>
            <w:r>
              <w:rPr>
                <w:rFonts w:eastAsia="Times New Roman"/>
                <w:b/>
                <w:bCs/>
                <w:color w:val="000000"/>
                <w:sz w:val="18"/>
                <w:szCs w:val="18"/>
              </w:rPr>
              <w:br/>
              <w:t>0.96%</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24.57%</w:t>
            </w:r>
          </w:p>
        </w:tc>
      </w:tr>
      <w:tr w:rsidR="00000000">
        <w:trPr>
          <w:divId w:val="175158516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GIB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spacing w:after="240"/>
              <w:jc w:val="center"/>
              <w:rPr>
                <w:rFonts w:eastAsia="Times New Roman"/>
              </w:rPr>
            </w:pPr>
            <w:r>
              <w:rPr>
                <w:rFonts w:eastAsia="Times New Roman"/>
                <w:b/>
                <w:bCs/>
                <w:color w:val="000000"/>
                <w:sz w:val="18"/>
                <w:szCs w:val="18"/>
              </w:rPr>
              <w:t>141.0 bps</w:t>
            </w:r>
            <w:r>
              <w:rPr>
                <w:rFonts w:eastAsia="Times New Roman"/>
                <w:b/>
                <w:bCs/>
                <w:color w:val="000000"/>
                <w:sz w:val="18"/>
                <w:szCs w:val="18"/>
              </w:rPr>
              <w:br/>
              <w:t>0.8%-15.6%</w:t>
            </w:r>
            <w:r>
              <w:rPr>
                <w:rFonts w:eastAsia="Times New Roman"/>
                <w:b/>
                <w:bCs/>
                <w:color w:val="000000"/>
                <w:sz w:val="18"/>
                <w:szCs w:val="18"/>
              </w:rPr>
              <w:br/>
              <w:t>0%-2%</w:t>
            </w:r>
            <w:r>
              <w:rPr>
                <w:rFonts w:eastAsia="Times New Roman"/>
                <w:b/>
                <w:bCs/>
                <w:color w:val="000000"/>
                <w:sz w:val="18"/>
                <w:szCs w:val="18"/>
              </w:rPr>
              <w:br/>
              <w:t>0%-100%</w:t>
            </w:r>
            <w:r>
              <w:rPr>
                <w:rFonts w:eastAsia="Times New Roman"/>
                <w:b/>
                <w:bCs/>
                <w:color w:val="000000"/>
                <w:sz w:val="18"/>
                <w:szCs w:val="18"/>
              </w:rPr>
              <w:br/>
              <w:t>16%-34%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spacing w:after="24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b/>
                <w:bCs/>
                <w:color w:val="000000"/>
                <w:sz w:val="18"/>
                <w:szCs w:val="18"/>
              </w:rPr>
              <w:br/>
              <w:t>1.56%</w:t>
            </w:r>
            <w:r>
              <w:rPr>
                <w:rFonts w:eastAsia="Times New Roman"/>
                <w:b/>
                <w:bCs/>
                <w:color w:val="000000"/>
                <w:sz w:val="18"/>
                <w:szCs w:val="18"/>
              </w:rPr>
              <w:br/>
              <w:t>0.96%</w:t>
            </w:r>
            <w:r>
              <w:rPr>
                <w:rFonts w:eastAsia="Times New Roman"/>
                <w:b/>
                <w:bCs/>
                <w:color w:val="000000"/>
                <w:sz w:val="18"/>
                <w:szCs w:val="18"/>
              </w:rPr>
              <w:br/>
              <w:t>6.37%</w:t>
            </w:r>
            <w:r>
              <w:rPr>
                <w:rFonts w:eastAsia="Times New Roman"/>
                <w:b/>
                <w:bCs/>
                <w:color w:val="000000"/>
                <w:sz w:val="18"/>
                <w:szCs w:val="18"/>
              </w:rPr>
              <w:br/>
              <w:t>25%</w:t>
            </w:r>
          </w:p>
        </w:tc>
      </w:tr>
      <w:tr w:rsidR="00000000">
        <w:trPr>
          <w:divId w:val="1751585164"/>
        </w:trPr>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GMAB</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Volatility rates - Equity</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spacing w:after="240"/>
              <w:jc w:val="center"/>
              <w:rPr>
                <w:rFonts w:eastAsia="Times New Roman"/>
              </w:rPr>
            </w:pPr>
            <w:r>
              <w:rPr>
                <w:rFonts w:eastAsia="Times New Roman"/>
                <w:b/>
                <w:bCs/>
                <w:color w:val="000000"/>
                <w:sz w:val="18"/>
                <w:szCs w:val="18"/>
              </w:rPr>
              <w:br/>
            </w:r>
            <w:r>
              <w:rPr>
                <w:rFonts w:eastAsia="Times New Roman"/>
                <w:b/>
                <w:bCs/>
                <w:color w:val="000000"/>
                <w:sz w:val="18"/>
                <w:szCs w:val="18"/>
              </w:rPr>
              <w:br/>
              <w:t>141.0 bps</w:t>
            </w:r>
            <w:r>
              <w:rPr>
                <w:rFonts w:eastAsia="Times New Roman"/>
                <w:b/>
                <w:bCs/>
                <w:color w:val="000000"/>
                <w:sz w:val="18"/>
                <w:szCs w:val="18"/>
              </w:rPr>
              <w:br/>
              <w:t>0.8%-16%</w:t>
            </w:r>
            <w:r>
              <w:rPr>
                <w:rFonts w:eastAsia="Times New Roman"/>
                <w:b/>
                <w:bCs/>
                <w:color w:val="000000"/>
                <w:sz w:val="18"/>
                <w:szCs w:val="18"/>
              </w:rPr>
              <w:br/>
              <w:t>16%-34%</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spacing w:after="240"/>
              <w:jc w:val="cente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spacing w:after="240"/>
              <w:jc w:val="center"/>
              <w:rPr>
                <w:rFonts w:eastAsia="Times New Roman"/>
              </w:rPr>
            </w:pP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1.56%</w:t>
            </w:r>
            <w:r>
              <w:rPr>
                <w:rFonts w:eastAsia="Times New Roman"/>
                <w:b/>
                <w:bCs/>
                <w:color w:val="000000"/>
                <w:sz w:val="18"/>
                <w:szCs w:val="18"/>
              </w:rPr>
              <w:br/>
              <w:t>25%</w:t>
            </w:r>
          </w:p>
        </w:tc>
      </w:tr>
    </w:tbl>
    <w:p w:rsidR="00000000" w:rsidRDefault="000C147A">
      <w:pPr>
        <w:divId w:val="921374848"/>
        <w:rPr>
          <w:rFonts w:eastAsia="Times New Roman"/>
        </w:rPr>
      </w:pPr>
      <w:r>
        <w:rPr>
          <w:rFonts w:eastAsia="Times New Roman"/>
          <w:color w:val="000000"/>
          <w:sz w:val="20"/>
          <w:szCs w:val="20"/>
        </w:rPr>
        <w:t>______________</w:t>
      </w:r>
    </w:p>
    <w:p w:rsidR="00000000" w:rsidRDefault="000C147A">
      <w:pPr>
        <w:ind w:hanging="360"/>
        <w:divId w:val="171452484"/>
        <w:rPr>
          <w:rFonts w:eastAsia="Times New Roman"/>
        </w:rPr>
      </w:pPr>
      <w:r>
        <w:rPr>
          <w:rFonts w:eastAsia="Times New Roman"/>
          <w:color w:val="000000"/>
          <w:sz w:val="18"/>
          <w:szCs w:val="18"/>
        </w:rPr>
        <w:t>(1)M</w:t>
      </w:r>
      <w:r>
        <w:rPr>
          <w:rFonts w:eastAsia="Times New Roman"/>
          <w:color w:val="000000"/>
          <w:sz w:val="18"/>
          <w:szCs w:val="18"/>
        </w:rPr>
        <w:t xml:space="preserve">ortality rates vary by age and demographic characteristic such as gender. Mortality rate assumptions are based on a combination of company and industry experience. A mortality improvement assumption is also applied. For any given contract, mortality rates </w:t>
      </w:r>
      <w:r>
        <w:rPr>
          <w:rFonts w:eastAsia="Times New Roman"/>
          <w:color w:val="000000"/>
          <w:sz w:val="18"/>
          <w:szCs w:val="18"/>
        </w:rPr>
        <w:t>vary throughout the period over which cash flows are projected for purposes of valuating the embedded derivatives.</w:t>
      </w:r>
    </w:p>
    <w:p w:rsidR="00000000" w:rsidRDefault="000C147A">
      <w:pPr>
        <w:ind w:hanging="360"/>
        <w:divId w:val="1540505118"/>
        <w:rPr>
          <w:rFonts w:eastAsia="Times New Roman"/>
        </w:rPr>
      </w:pPr>
      <w:r>
        <w:rPr>
          <w:rFonts w:eastAsia="Times New Roman"/>
          <w:color w:val="000000"/>
          <w:sz w:val="18"/>
          <w:szCs w:val="18"/>
        </w:rPr>
        <w:t>(2)For Lapses, Withdrawals, and Utilizations the rates were weighted by counts; for Mortality weighted average rates are shown for all ages c</w:t>
      </w:r>
      <w:r>
        <w:rPr>
          <w:rFonts w:eastAsia="Times New Roman"/>
          <w:color w:val="000000"/>
          <w:sz w:val="18"/>
          <w:szCs w:val="18"/>
        </w:rPr>
        <w:t xml:space="preserve">ombined; and for Withdrawals the weighted averages were based on an estimated split of partial withdrawal and dollar-for-dollar withdrawals. </w:t>
      </w:r>
    </w:p>
    <w:p w:rsidR="00000000" w:rsidRDefault="000C147A">
      <w:pPr>
        <w:divId w:val="734086156"/>
        <w:rPr>
          <w:rFonts w:eastAsia="Times New Roman"/>
        </w:rPr>
      </w:pPr>
    </w:p>
    <w:p w:rsidR="00000000" w:rsidRDefault="000C147A">
      <w:pPr>
        <w:jc w:val="center"/>
        <w:rPr>
          <w:rFonts w:eastAsia="Times New Roman"/>
        </w:rPr>
      </w:pPr>
      <w:r>
        <w:rPr>
          <w:rFonts w:eastAsia="Times New Roman"/>
          <w:b/>
          <w:bCs/>
          <w:color w:val="000000"/>
          <w:sz w:val="20"/>
          <w:szCs w:val="20"/>
        </w:rPr>
        <w:t>Quantitative Information about Level 3 Fair Value Measurements at December 31, 2019</w:t>
      </w:r>
    </w:p>
    <w:tbl>
      <w:tblPr>
        <w:tblW w:w="4641" w:type="pct"/>
        <w:tblCellMar>
          <w:top w:w="15" w:type="dxa"/>
          <w:left w:w="15" w:type="dxa"/>
          <w:bottom w:w="15" w:type="dxa"/>
          <w:right w:w="15" w:type="dxa"/>
        </w:tblCellMar>
        <w:tblLook w:val="04A0" w:firstRow="1" w:lastRow="0" w:firstColumn="1" w:lastColumn="0" w:noHBand="0" w:noVBand="1"/>
      </w:tblPr>
      <w:tblGrid>
        <w:gridCol w:w="46"/>
        <w:gridCol w:w="1717"/>
        <w:gridCol w:w="37"/>
        <w:gridCol w:w="112"/>
        <w:gridCol w:w="399"/>
        <w:gridCol w:w="36"/>
        <w:gridCol w:w="36"/>
        <w:gridCol w:w="36"/>
        <w:gridCol w:w="36"/>
        <w:gridCol w:w="48"/>
        <w:gridCol w:w="1262"/>
        <w:gridCol w:w="37"/>
        <w:gridCol w:w="36"/>
        <w:gridCol w:w="36"/>
        <w:gridCol w:w="36"/>
        <w:gridCol w:w="54"/>
        <w:gridCol w:w="1720"/>
        <w:gridCol w:w="36"/>
        <w:gridCol w:w="36"/>
        <w:gridCol w:w="36"/>
        <w:gridCol w:w="36"/>
        <w:gridCol w:w="38"/>
        <w:gridCol w:w="1008"/>
        <w:gridCol w:w="37"/>
        <w:gridCol w:w="36"/>
        <w:gridCol w:w="36"/>
        <w:gridCol w:w="36"/>
        <w:gridCol w:w="80"/>
        <w:gridCol w:w="575"/>
        <w:gridCol w:w="36"/>
      </w:tblGrid>
      <w:tr w:rsidR="00000000">
        <w:trPr>
          <w:divId w:val="410542830"/>
        </w:trPr>
        <w:tc>
          <w:tcPr>
            <w:tcW w:w="50" w:type="pct"/>
            <w:vAlign w:val="center"/>
            <w:hideMark/>
          </w:tcPr>
          <w:p w:rsidR="00000000" w:rsidRDefault="000C147A">
            <w:pPr>
              <w:jc w:val="center"/>
              <w:rPr>
                <w:rFonts w:eastAsia="Times New Roman"/>
              </w:rPr>
            </w:pPr>
          </w:p>
        </w:tc>
        <w:tc>
          <w:tcPr>
            <w:tcW w:w="11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8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16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41054283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 xml:space="preserve">Weighted Average </w:t>
            </w:r>
          </w:p>
        </w:tc>
      </w:tr>
      <w:tr w:rsidR="00000000">
        <w:trPr>
          <w:divId w:val="41054283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8"/>
                <w:szCs w:val="18"/>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10542830"/>
        </w:trPr>
        <w:tc>
          <w:tcPr>
            <w:tcW w:w="0" w:type="auto"/>
            <w:gridSpan w:val="3"/>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10542830"/>
        </w:trPr>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Investments: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10542830"/>
        </w:trPr>
        <w:tc>
          <w:tcPr>
            <w:tcW w:w="0" w:type="auto"/>
            <w:gridSpan w:val="3"/>
            <w:shd w:val="clear" w:color="auto" w:fill="FFFFFF"/>
            <w:tcMar>
              <w:top w:w="30" w:type="dxa"/>
              <w:left w:w="135" w:type="dxa"/>
              <w:bottom w:w="30" w:type="dxa"/>
              <w:right w:w="20" w:type="dxa"/>
            </w:tcMar>
            <w:vAlign w:val="center"/>
            <w:hideMark/>
          </w:tcPr>
          <w:p w:rsidR="00000000" w:rsidRDefault="000C147A">
            <w:pPr>
              <w:rPr>
                <w:rFonts w:eastAsia="Times New Roman"/>
              </w:rPr>
            </w:pPr>
            <w:r>
              <w:rPr>
                <w:rFonts w:eastAsia="Times New Roman"/>
                <w:color w:val="000000"/>
                <w:sz w:val="18"/>
                <w:szCs w:val="18"/>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10542830"/>
        </w:trPr>
        <w:tc>
          <w:tcPr>
            <w:tcW w:w="0" w:type="auto"/>
            <w:gridSpan w:val="3"/>
            <w:shd w:val="clear" w:color="auto" w:fill="CCEEFF"/>
            <w:tcMar>
              <w:top w:w="30" w:type="dxa"/>
              <w:left w:w="360" w:type="dxa"/>
              <w:bottom w:w="30" w:type="dxa"/>
              <w:right w:w="20" w:type="dxa"/>
            </w:tcMar>
            <w:vAlign w:val="center"/>
            <w:hideMark/>
          </w:tcPr>
          <w:p w:rsidR="00000000" w:rsidRDefault="000C147A">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0C147A">
            <w:pPr>
              <w:jc w:val="right"/>
              <w:rPr>
                <w:rFonts w:eastAsia="Times New Roman"/>
              </w:rPr>
            </w:pPr>
            <w:r>
              <w:rPr>
                <w:rFonts w:eastAsia="Times New Roman"/>
                <w:color w:val="000000"/>
                <w:sz w:val="18"/>
                <w:szCs w:val="18"/>
              </w:rPr>
              <w:t xml:space="preserve">Spread over benchmark </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65 - 580 bps</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184 bps</w:t>
            </w:r>
          </w:p>
        </w:tc>
      </w:tr>
      <w:tr w:rsidR="00000000">
        <w:trPr>
          <w:divId w:val="410542830"/>
        </w:trPr>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1,025 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Market comparable companies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r>
            <w:r>
              <w:rPr>
                <w:rFonts w:eastAsia="Times New Roman"/>
                <w:color w:val="000000"/>
                <w:sz w:val="18"/>
                <w:szCs w:val="18"/>
              </w:rP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3.3x - 56.7x</w:t>
            </w:r>
            <w:r>
              <w:rPr>
                <w:rFonts w:eastAsia="Times New Roman"/>
                <w:color w:val="000000"/>
                <w:sz w:val="18"/>
                <w:szCs w:val="18"/>
              </w:rPr>
              <w:br/>
              <w:t>3.9% - 16.5%</w:t>
            </w:r>
            <w:r>
              <w:rPr>
                <w:rFonts w:eastAsia="Times New Roman"/>
                <w:color w:val="000000"/>
                <w:sz w:val="18"/>
                <w:szCs w:val="18"/>
              </w:rPr>
              <w:br/>
              <w:t>0.8x - 48.1x</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14.3x</w:t>
            </w:r>
            <w:r>
              <w:rPr>
                <w:rFonts w:eastAsia="Times New Roman"/>
                <w:color w:val="000000"/>
                <w:sz w:val="18"/>
                <w:szCs w:val="18"/>
              </w:rPr>
              <w:br/>
              <w:t>10.0%</w:t>
            </w:r>
            <w:r>
              <w:rPr>
                <w:rFonts w:eastAsia="Times New Roman"/>
                <w:color w:val="000000"/>
                <w:sz w:val="18"/>
                <w:szCs w:val="18"/>
              </w:rPr>
              <w:br/>
              <w:t>10.7x</w:t>
            </w:r>
          </w:p>
        </w:tc>
      </w:tr>
      <w:tr w:rsidR="00000000">
        <w:trPr>
          <w:divId w:val="410542830"/>
        </w:trPr>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Other equity investments</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36 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years</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8.0x</w:t>
            </w:r>
            <w:r>
              <w:rPr>
                <w:rFonts w:eastAsia="Times New Roman"/>
                <w:color w:val="000000"/>
                <w:sz w:val="18"/>
                <w:szCs w:val="18"/>
              </w:rPr>
              <w:br/>
              <w:t>10.0%</w:t>
            </w:r>
            <w:r>
              <w:rPr>
                <w:rFonts w:eastAsia="Times New Roman"/>
                <w:color w:val="000000"/>
                <w:sz w:val="18"/>
                <w:szCs w:val="18"/>
              </w:rPr>
              <w:br/>
              <w:t>11</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bl>
    <w:p w:rsidR="00000000" w:rsidRDefault="000C147A">
      <w:pPr>
        <w:jc w:val="center"/>
        <w:divId w:val="1627393986"/>
        <w:rPr>
          <w:rFonts w:eastAsia="Times New Roman"/>
        </w:rPr>
      </w:pPr>
    </w:p>
    <w:p w:rsidR="00000000" w:rsidRDefault="000C147A">
      <w:pPr>
        <w:jc w:val="center"/>
        <w:divId w:val="1627393986"/>
        <w:rPr>
          <w:rFonts w:eastAsia="Times New Roman"/>
        </w:rPr>
      </w:pPr>
      <w:r>
        <w:rPr>
          <w:rFonts w:eastAsia="Times New Roman"/>
          <w:color w:val="000000"/>
          <w:sz w:val="20"/>
          <w:szCs w:val="20"/>
        </w:rPr>
        <w:t>50</w:t>
      </w:r>
    </w:p>
    <w:p w:rsidR="00000000" w:rsidRDefault="000C147A">
      <w:pPr>
        <w:rPr>
          <w:rFonts w:eastAsia="Times New Roman"/>
        </w:rPr>
      </w:pPr>
      <w:r>
        <w:rPr>
          <w:rFonts w:eastAsia="Times New Roman"/>
        </w:rPr>
        <w:pict>
          <v:rect id="_x0000_i1076" style="width:0;height:1.5pt" o:hralign="center" o:hrstd="t" o:hr="t" fillcolor="#a0a0a0" stroked="f"/>
        </w:pict>
      </w:r>
    </w:p>
    <w:p w:rsidR="00000000" w:rsidRDefault="000C147A">
      <w:pPr>
        <w:jc w:val="center"/>
        <w:divId w:val="484006568"/>
        <w:rPr>
          <w:rFonts w:eastAsia="Times New Roman"/>
        </w:rPr>
      </w:pPr>
      <w:r>
        <w:rPr>
          <w:rFonts w:eastAsia="Times New Roman"/>
          <w:b/>
          <w:bCs/>
          <w:color w:val="000000"/>
          <w:sz w:val="20"/>
          <w:szCs w:val="20"/>
        </w:rPr>
        <w:t>EQUITABLE HOLDINGS, INC.</w:t>
      </w:r>
    </w:p>
    <w:p w:rsidR="00000000" w:rsidRDefault="000C147A">
      <w:pPr>
        <w:jc w:val="center"/>
        <w:divId w:val="484006568"/>
        <w:rPr>
          <w:rFonts w:eastAsia="Times New Roman"/>
        </w:rPr>
      </w:pPr>
      <w:r>
        <w:rPr>
          <w:rFonts w:eastAsia="Times New Roman"/>
          <w:b/>
          <w:bCs/>
          <w:color w:val="000000"/>
          <w:sz w:val="20"/>
          <w:szCs w:val="20"/>
        </w:rPr>
        <w:t>Notes to Consolidated Financial Statements (Unaudited), Continued</w:t>
      </w:r>
    </w:p>
    <w:tbl>
      <w:tblPr>
        <w:tblW w:w="4641" w:type="pct"/>
        <w:tblCellMar>
          <w:top w:w="15" w:type="dxa"/>
          <w:left w:w="15" w:type="dxa"/>
          <w:bottom w:w="15" w:type="dxa"/>
          <w:right w:w="15" w:type="dxa"/>
        </w:tblCellMar>
        <w:tblLook w:val="04A0" w:firstRow="1" w:lastRow="0" w:firstColumn="1" w:lastColumn="0" w:noHBand="0" w:noVBand="1"/>
      </w:tblPr>
      <w:tblGrid>
        <w:gridCol w:w="51"/>
        <w:gridCol w:w="1722"/>
        <w:gridCol w:w="38"/>
        <w:gridCol w:w="71"/>
        <w:gridCol w:w="399"/>
        <w:gridCol w:w="36"/>
        <w:gridCol w:w="36"/>
        <w:gridCol w:w="36"/>
        <w:gridCol w:w="36"/>
        <w:gridCol w:w="47"/>
        <w:gridCol w:w="1264"/>
        <w:gridCol w:w="36"/>
        <w:gridCol w:w="36"/>
        <w:gridCol w:w="36"/>
        <w:gridCol w:w="36"/>
        <w:gridCol w:w="54"/>
        <w:gridCol w:w="1735"/>
        <w:gridCol w:w="36"/>
        <w:gridCol w:w="36"/>
        <w:gridCol w:w="36"/>
        <w:gridCol w:w="36"/>
        <w:gridCol w:w="40"/>
        <w:gridCol w:w="1022"/>
        <w:gridCol w:w="36"/>
        <w:gridCol w:w="36"/>
        <w:gridCol w:w="36"/>
        <w:gridCol w:w="36"/>
        <w:gridCol w:w="80"/>
        <w:gridCol w:w="575"/>
        <w:gridCol w:w="36"/>
      </w:tblGrid>
      <w:tr w:rsidR="00000000">
        <w:trPr>
          <w:divId w:val="617759214"/>
        </w:trPr>
        <w:tc>
          <w:tcPr>
            <w:tcW w:w="50" w:type="pct"/>
            <w:vAlign w:val="center"/>
            <w:hideMark/>
          </w:tcPr>
          <w:p w:rsidR="00000000" w:rsidRDefault="000C147A">
            <w:pPr>
              <w:jc w:val="center"/>
              <w:rPr>
                <w:rFonts w:eastAsia="Times New Roman"/>
              </w:rPr>
            </w:pPr>
          </w:p>
        </w:tc>
        <w:tc>
          <w:tcPr>
            <w:tcW w:w="11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8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16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1775921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 xml:space="preserve">Weighted Average </w:t>
            </w:r>
          </w:p>
        </w:tc>
      </w:tr>
      <w:tr w:rsidR="00000000">
        <w:trPr>
          <w:divId w:val="61775921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GMIB reinsurance contract asset</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2,139 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r>
            <w:r>
              <w:rPr>
                <w:rFonts w:eastAsia="Times New Roman"/>
                <w:color w:val="000000"/>
                <w:sz w:val="18"/>
                <w:szCs w:val="18"/>
              </w:rPr>
              <w:t>Ages 60 - 115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55 - 109 bps</w:t>
            </w:r>
            <w:r>
              <w:rPr>
                <w:rFonts w:eastAsia="Times New Roman"/>
                <w:color w:val="000000"/>
                <w:sz w:val="18"/>
                <w:szCs w:val="18"/>
              </w:rPr>
              <w:br/>
              <w:t>0.8% - 10%</w:t>
            </w:r>
            <w:r>
              <w:rPr>
                <w:rFonts w:eastAsia="Times New Roman"/>
                <w:color w:val="000000"/>
                <w:sz w:val="18"/>
                <w:szCs w:val="18"/>
              </w:rPr>
              <w:br/>
              <w:t>0.0% - 8.0%</w:t>
            </w:r>
            <w:r>
              <w:rPr>
                <w:rFonts w:eastAsia="Times New Roman"/>
                <w:color w:val="000000"/>
                <w:sz w:val="18"/>
                <w:szCs w:val="18"/>
              </w:rPr>
              <w:br/>
              <w:t>0.0% - 49.0%</w:t>
            </w:r>
            <w:r>
              <w:rPr>
                <w:rFonts w:eastAsia="Times New Roman"/>
                <w:color w:val="000000"/>
                <w:sz w:val="18"/>
                <w:szCs w:val="18"/>
              </w:rPr>
              <w:br/>
              <w:t>9.0% - 30.0%</w:t>
            </w:r>
            <w:r>
              <w:rPr>
                <w:rFonts w:eastAsia="Times New Roman"/>
                <w:color w:val="000000"/>
                <w:sz w:val="18"/>
                <w:szCs w:val="18"/>
              </w:rPr>
              <w:br/>
            </w:r>
            <w:r>
              <w:rPr>
                <w:rFonts w:eastAsia="Times New Roman"/>
                <w:color w:val="000000"/>
                <w:sz w:val="18"/>
                <w:szCs w:val="18"/>
              </w:rPr>
              <w:br/>
              <w:t>0.01% - 0.18%</w:t>
            </w:r>
            <w:r>
              <w:rPr>
                <w:rFonts w:eastAsia="Times New Roman"/>
                <w:color w:val="000000"/>
                <w:sz w:val="18"/>
                <w:szCs w:val="18"/>
              </w:rPr>
              <w:br/>
              <w:t>0.07% - 0.54%</w:t>
            </w:r>
            <w:r>
              <w:rPr>
                <w:rFonts w:eastAsia="Times New Roman"/>
                <w:color w:val="000000"/>
                <w:sz w:val="18"/>
                <w:szCs w:val="18"/>
              </w:rPr>
              <w:br/>
              <w:t>0.42% - 42.20%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GMIBNLG</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8,135 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C147A">
            <w:pPr>
              <w:jc w:val="center"/>
              <w:rPr>
                <w:rFonts w:eastAsia="Times New Roman"/>
              </w:rPr>
            </w:pPr>
            <w:r>
              <w:rPr>
                <w:rFonts w:ascii="Calibri" w:eastAsia="Times New Roman" w:hAnsi="Calibri" w:cs="Calibri"/>
                <w:color w:val="000000"/>
                <w:sz w:val="18"/>
                <w:szCs w:val="18"/>
              </w:rPr>
              <w:t>124 bps</w:t>
            </w:r>
            <w:r>
              <w:rPr>
                <w:rFonts w:ascii="Calibri" w:eastAsia="Times New Roman" w:hAnsi="Calibri" w:cs="Calibri"/>
                <w:color w:val="000000"/>
                <w:sz w:val="18"/>
                <w:szCs w:val="18"/>
              </w:rPr>
              <w:br/>
              <w:t>0.8% - 19.9%</w:t>
            </w:r>
            <w:r>
              <w:rPr>
                <w:rFonts w:ascii="Calibri" w:eastAsia="Times New Roman" w:hAnsi="Calibri" w:cs="Calibri"/>
                <w:color w:val="000000"/>
                <w:sz w:val="18"/>
                <w:szCs w:val="18"/>
              </w:rPr>
              <w:br/>
              <w:t>0.3% - 11.0%</w:t>
            </w:r>
            <w:r>
              <w:rPr>
                <w:rFonts w:ascii="Calibri" w:eastAsia="Times New Roman" w:hAnsi="Calibri" w:cs="Calibri"/>
                <w:color w:val="000000"/>
                <w:sz w:val="18"/>
                <w:szCs w:val="18"/>
              </w:rPr>
              <w:br/>
              <w:t>0.0% - 100.0%</w:t>
            </w:r>
            <w:r>
              <w:rPr>
                <w:rFonts w:ascii="Calibri" w:eastAsia="Times New Roman" w:hAnsi="Calibri" w:cs="Calibri"/>
                <w:color w:val="000000"/>
                <w:sz w:val="18"/>
                <w:szCs w:val="18"/>
              </w:rPr>
              <w:br/>
            </w:r>
            <w:r>
              <w:rPr>
                <w:rFonts w:ascii="Calibri" w:eastAsia="Times New Roman" w:hAnsi="Calibri" w:cs="Calibri"/>
                <w:color w:val="000000"/>
                <w:sz w:val="18"/>
                <w:szCs w:val="18"/>
              </w:rPr>
              <w:br/>
              <w:t>0.01% - 0.19%</w:t>
            </w:r>
            <w:r>
              <w:rPr>
                <w:rFonts w:ascii="Calibri" w:eastAsia="Times New Roman" w:hAnsi="Calibri" w:cs="Calibri"/>
                <w:color w:val="000000"/>
                <w:sz w:val="18"/>
                <w:szCs w:val="18"/>
              </w:rPr>
              <w:br/>
              <w:t>0.06% - 0.53%</w:t>
            </w:r>
            <w:r>
              <w:rPr>
                <w:rFonts w:ascii="Calibri" w:eastAsia="Times New Roman" w:hAnsi="Calibri" w:cs="Calibri"/>
                <w:color w:val="000000"/>
                <w:sz w:val="18"/>
                <w:szCs w:val="18"/>
              </w:rPr>
              <w:br/>
              <w:t>0.41% - 41.39%</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Assumed GMIB Reinsurance Contracts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61 - 141 bps</w:t>
            </w:r>
            <w:r>
              <w:rPr>
                <w:rFonts w:eastAsia="Times New Roman"/>
                <w:color w:val="000000"/>
                <w:sz w:val="18"/>
                <w:szCs w:val="18"/>
              </w:rPr>
              <w:br/>
              <w:t>1.1% - 11.1%</w:t>
            </w:r>
            <w:r>
              <w:rPr>
                <w:rFonts w:eastAsia="Times New Roman"/>
                <w:color w:val="000000"/>
                <w:sz w:val="18"/>
                <w:szCs w:val="18"/>
              </w:rPr>
              <w:br/>
            </w:r>
            <w:r>
              <w:rPr>
                <w:rFonts w:eastAsia="Times New Roman"/>
                <w:color w:val="000000"/>
                <w:sz w:val="18"/>
                <w:szCs w:val="18"/>
              </w:rPr>
              <w:t>0.6% - 22.2%</w:t>
            </w:r>
            <w:r>
              <w:rPr>
                <w:rFonts w:eastAsia="Times New Roman"/>
                <w:color w:val="000000"/>
                <w:sz w:val="18"/>
                <w:szCs w:val="18"/>
              </w:rPr>
              <w:br/>
              <w:t>1.1% - 100.0%</w:t>
            </w:r>
            <w:r>
              <w:rPr>
                <w:rFonts w:eastAsia="Times New Roman"/>
                <w:color w:val="000000"/>
                <w:sz w:val="18"/>
                <w:szCs w:val="18"/>
              </w:rPr>
              <w:br/>
              <w:t>0.0% - 30.0%</w:t>
            </w:r>
            <w:r>
              <w:rPr>
                <w:rFonts w:eastAsia="Times New Roman"/>
                <w:color w:val="000000"/>
                <w:sz w:val="18"/>
                <w:szCs w:val="18"/>
              </w:rPr>
              <w:br/>
              <w:t>9.0% - 30.0%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124 bps</w:t>
            </w:r>
            <w:r>
              <w:rPr>
                <w:rFonts w:eastAsia="Times New Roman"/>
                <w:color w:val="000000"/>
                <w:sz w:val="18"/>
                <w:szCs w:val="18"/>
              </w:rPr>
              <w:br/>
              <w:t>0.8% - 10.0%</w:t>
            </w:r>
            <w:r>
              <w:rPr>
                <w:rFonts w:eastAsia="Times New Roman"/>
                <w:color w:val="000000"/>
                <w:sz w:val="18"/>
                <w:szCs w:val="18"/>
              </w:rPr>
              <w:br/>
              <w:t>0.0% - 7.0%</w:t>
            </w:r>
            <w:r>
              <w:rPr>
                <w:rFonts w:eastAsia="Times New Roman"/>
                <w:color w:val="000000"/>
                <w:sz w:val="18"/>
                <w:szCs w:val="18"/>
              </w:rPr>
              <w:br/>
            </w:r>
            <w:r>
              <w:rPr>
                <w:rFonts w:eastAsia="Times New Roman"/>
                <w:color w:val="000000"/>
                <w:sz w:val="18"/>
                <w:szCs w:val="18"/>
              </w:rPr>
              <w:t>100% after starting</w:t>
            </w:r>
            <w:r>
              <w:rPr>
                <w:rFonts w:eastAsia="Times New Roman"/>
                <w:color w:val="000000"/>
                <w:sz w:val="18"/>
                <w:szCs w:val="18"/>
              </w:rPr>
              <w:br/>
              <w:t>9.0% - 30.0%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GIB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124 bps</w:t>
            </w:r>
            <w:r>
              <w:rPr>
                <w:rFonts w:eastAsia="Times New Roman"/>
                <w:color w:val="000000"/>
                <w:sz w:val="18"/>
                <w:szCs w:val="18"/>
              </w:rPr>
              <w:br/>
              <w:t>1.2% - 19.9%</w:t>
            </w:r>
            <w:r>
              <w:rPr>
                <w:rFonts w:eastAsia="Times New Roman"/>
                <w:color w:val="000000"/>
                <w:sz w:val="18"/>
                <w:szCs w:val="18"/>
              </w:rPr>
              <w:br/>
              <w:t>0.0% - 8.0%</w:t>
            </w:r>
            <w:r>
              <w:rPr>
                <w:rFonts w:eastAsia="Times New Roman"/>
                <w:color w:val="000000"/>
                <w:sz w:val="18"/>
                <w:szCs w:val="18"/>
              </w:rPr>
              <w:br/>
              <w:t>0.0% - 100.0%</w:t>
            </w:r>
            <w:r>
              <w:rPr>
                <w:rFonts w:eastAsia="Times New Roman"/>
                <w:color w:val="000000"/>
                <w:sz w:val="18"/>
                <w:szCs w:val="18"/>
              </w:rPr>
              <w:br/>
              <w:t>9.0% - 30.0%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7759214"/>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GMAB</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color w:val="000000"/>
                <w:sz w:val="18"/>
                <w:szCs w:val="18"/>
              </w:rPr>
              <w:t>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0C147A">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18"/>
                <w:szCs w:val="18"/>
              </w:rPr>
              <w:t>Lapse rates</w:t>
            </w:r>
            <w:r>
              <w:rPr>
                <w:rFonts w:eastAsia="Times New Roman"/>
                <w:color w:val="000000"/>
                <w:sz w:val="18"/>
                <w:szCs w:val="18"/>
              </w:rPr>
              <w:br/>
              <w:t>Volatility rates - Equity</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18"/>
                <w:szCs w:val="18"/>
              </w:rPr>
              <w:t>1.0% - 10.0%</w:t>
            </w:r>
            <w:r>
              <w:rPr>
                <w:rFonts w:eastAsia="Times New Roman"/>
                <w:color w:val="000000"/>
                <w:sz w:val="18"/>
                <w:szCs w:val="18"/>
              </w:rPr>
              <w:br/>
              <w:t>9.0% - 30.0%</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bl>
    <w:p w:rsidR="00000000" w:rsidRDefault="000C147A">
      <w:pPr>
        <w:ind w:hanging="360"/>
        <w:jc w:val="both"/>
        <w:rPr>
          <w:rFonts w:eastAsia="Times New Roman"/>
        </w:rPr>
      </w:pPr>
      <w:r>
        <w:rPr>
          <w:rFonts w:eastAsia="Times New Roman"/>
          <w:color w:val="000000"/>
          <w:sz w:val="20"/>
          <w:szCs w:val="20"/>
        </w:rPr>
        <w:t>______________</w:t>
      </w:r>
    </w:p>
    <w:p w:rsidR="00000000" w:rsidRDefault="000C147A">
      <w:pPr>
        <w:ind w:hanging="360"/>
        <w:divId w:val="1528562038"/>
        <w:rPr>
          <w:rFonts w:eastAsia="Times New Roman"/>
        </w:rPr>
      </w:pPr>
      <w:r>
        <w:rPr>
          <w:rFonts w:eastAsia="Times New Roman"/>
          <w:color w:val="000000"/>
          <w:sz w:val="18"/>
          <w:szCs w:val="18"/>
        </w:rPr>
        <w:t>(1)</w:t>
      </w: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p w:rsidR="00000000" w:rsidRDefault="000C147A">
      <w:pPr>
        <w:jc w:val="both"/>
        <w:divId w:val="458960259"/>
        <w:rPr>
          <w:rFonts w:eastAsia="Times New Roman"/>
        </w:rPr>
      </w:pPr>
      <w:r>
        <w:rPr>
          <w:rFonts w:eastAsia="Times New Roman"/>
          <w:b/>
          <w:bCs/>
          <w:i/>
          <w:iCs/>
          <w:color w:val="000000"/>
          <w:sz w:val="20"/>
          <w:szCs w:val="20"/>
        </w:rPr>
        <w:t>Level 3 Financial Instruments for which Quantitative Inputs are Not Available</w:t>
      </w:r>
    </w:p>
    <w:p w:rsidR="00000000" w:rsidRDefault="000C147A">
      <w:pPr>
        <w:jc w:val="both"/>
        <w:divId w:val="267347188"/>
        <w:rPr>
          <w:rFonts w:eastAsia="Times New Roman"/>
        </w:rPr>
      </w:pPr>
      <w:r>
        <w:rPr>
          <w:rFonts w:eastAsia="Times New Roman"/>
          <w:color w:val="000000"/>
          <w:sz w:val="20"/>
          <w:szCs w:val="20"/>
          <w:u w:val="single"/>
        </w:rPr>
        <w:t xml:space="preserve">Certain Privately Placed Debt Securities with Limited Trading </w:t>
      </w:r>
      <w:r>
        <w:rPr>
          <w:rFonts w:eastAsia="Times New Roman"/>
          <w:color w:val="000000"/>
          <w:sz w:val="20"/>
          <w:szCs w:val="20"/>
          <w:u w:val="single"/>
        </w:rPr>
        <w:t>Activity</w:t>
      </w:r>
    </w:p>
    <w:p w:rsidR="00000000" w:rsidRDefault="000C147A">
      <w:pPr>
        <w:divId w:val="2033531051"/>
        <w:rPr>
          <w:rFonts w:eastAsia="Times New Roman"/>
        </w:rPr>
      </w:pPr>
      <w:r>
        <w:rPr>
          <w:rFonts w:eastAsia="Times New Roman"/>
          <w:color w:val="000000"/>
          <w:sz w:val="20"/>
          <w:szCs w:val="20"/>
        </w:rPr>
        <w:t>Excluded from the tables above at September 30, 2020 and December 31, 2019, respectively, are approximately $507 million and $428 million of Level 3 fair value measurements of investments for which the underlying quantitative inputs are not develo</w:t>
      </w:r>
      <w:r>
        <w:rPr>
          <w:rFonts w:eastAsia="Times New Roman"/>
          <w:color w:val="000000"/>
          <w:sz w:val="20"/>
          <w:szCs w:val="20"/>
        </w:rPr>
        <w:t>ped by the Company and are not readily available. These investments primarily consist of certain privately placed debt securities with limited trading activity, including residential mortgage- and asset-backed instruments, and their fair values generally r</w:t>
      </w:r>
      <w:r>
        <w:rPr>
          <w:rFonts w:eastAsia="Times New Roman"/>
          <w:color w:val="000000"/>
          <w:sz w:val="20"/>
          <w:szCs w:val="20"/>
        </w:rPr>
        <w:t>eflect unadjusted prices obtained from independent valuation service providers and indicative, non-binding quotes obtained from third-party broker-dealers recognized as market participants. Significant increases or decreases in the fair value amounts recei</w:t>
      </w:r>
      <w:r>
        <w:rPr>
          <w:rFonts w:eastAsia="Times New Roman"/>
          <w:color w:val="000000"/>
          <w:sz w:val="20"/>
          <w:szCs w:val="20"/>
        </w:rPr>
        <w:t>ved from these pricing sources may result in the Company’s reporting significantly higher or lower fair value measurements for these Level 3 investments.</w:t>
      </w:r>
    </w:p>
    <w:p w:rsidR="00000000" w:rsidRDefault="000C147A">
      <w:pPr>
        <w:ind w:hanging="360"/>
        <w:jc w:val="both"/>
        <w:divId w:val="538468902"/>
        <w:rPr>
          <w:rFonts w:eastAsia="Times New Roman"/>
        </w:rPr>
      </w:pPr>
      <w:r>
        <w:rPr>
          <w:rFonts w:eastAsia="Times New Roman"/>
          <w:color w:val="000000"/>
          <w:sz w:val="20"/>
          <w:szCs w:val="20"/>
        </w:rPr>
        <w:t>•The fair value of private placement securities is determined by application of a matrix pricing model</w:t>
      </w:r>
      <w:r>
        <w:rPr>
          <w:rFonts w:eastAsia="Times New Roman"/>
          <w:color w:val="000000"/>
          <w:sz w:val="20"/>
          <w:szCs w:val="20"/>
        </w:rPr>
        <w:t xml:space="preserve"> or a market comparable company value technique. The significant unobservable input to the matrix pricing model valuation technique is the spread over the industry-specific benchmark yield curve. Generally, an increase or decrease in spreads would lead to </w:t>
      </w:r>
      <w:r>
        <w:rPr>
          <w:rFonts w:eastAsia="Times New Roman"/>
          <w:color w:val="000000"/>
          <w:sz w:val="20"/>
          <w:szCs w:val="20"/>
        </w:rPr>
        <w:t>directionally inverse movement in the fair value measurements of these securities. The significant unobservable input to the market comparable company valuation technique is the discount rate. Generally, a significant increase (decrease) in the discount ra</w:t>
      </w:r>
      <w:r>
        <w:rPr>
          <w:rFonts w:eastAsia="Times New Roman"/>
          <w:color w:val="000000"/>
          <w:sz w:val="20"/>
          <w:szCs w:val="20"/>
        </w:rPr>
        <w:t>te would result in significantly lower (higher) fair value measurements of these securities.</w:t>
      </w:r>
    </w:p>
    <w:p w:rsidR="00000000" w:rsidRDefault="000C147A">
      <w:pPr>
        <w:ind w:hanging="360"/>
        <w:jc w:val="both"/>
        <w:divId w:val="1965885597"/>
        <w:rPr>
          <w:rFonts w:eastAsia="Times New Roman"/>
        </w:rPr>
      </w:pPr>
      <w:r>
        <w:rPr>
          <w:rFonts w:eastAsia="Times New Roman"/>
          <w:color w:val="000000"/>
          <w:sz w:val="20"/>
          <w:szCs w:val="20"/>
        </w:rPr>
        <w:t>•Residential mortgage-backed securities classified as Level 3 primarily consist of non-agency paper with low trading activity. Included in the tables above at Sept</w:t>
      </w:r>
      <w:r>
        <w:rPr>
          <w:rFonts w:eastAsia="Times New Roman"/>
          <w:color w:val="000000"/>
          <w:sz w:val="20"/>
          <w:szCs w:val="20"/>
        </w:rPr>
        <w:t xml:space="preserve">ember 30, 2020 and December 31, 2019, there were no </w:t>
      </w:r>
    </w:p>
    <w:p w:rsidR="00000000" w:rsidRDefault="000C147A">
      <w:pPr>
        <w:jc w:val="center"/>
        <w:divId w:val="30762905"/>
        <w:rPr>
          <w:rFonts w:eastAsia="Times New Roman"/>
        </w:rPr>
      </w:pPr>
    </w:p>
    <w:p w:rsidR="00000000" w:rsidRDefault="000C147A">
      <w:pPr>
        <w:jc w:val="center"/>
        <w:divId w:val="30762905"/>
        <w:rPr>
          <w:rFonts w:eastAsia="Times New Roman"/>
        </w:rPr>
      </w:pPr>
      <w:r>
        <w:rPr>
          <w:rFonts w:eastAsia="Times New Roman"/>
          <w:color w:val="000000"/>
          <w:sz w:val="20"/>
          <w:szCs w:val="20"/>
        </w:rPr>
        <w:t>51</w:t>
      </w:r>
    </w:p>
    <w:p w:rsidR="00000000" w:rsidRDefault="000C147A">
      <w:pPr>
        <w:rPr>
          <w:rFonts w:eastAsia="Times New Roman"/>
        </w:rPr>
      </w:pPr>
      <w:r>
        <w:rPr>
          <w:rFonts w:eastAsia="Times New Roman"/>
        </w:rPr>
        <w:pict>
          <v:rect id="_x0000_i1077" style="width:0;height:1.5pt" o:hralign="center" o:hrstd="t" o:hr="t" fillcolor="#a0a0a0" stroked="f"/>
        </w:pict>
      </w:r>
    </w:p>
    <w:p w:rsidR="00000000" w:rsidRDefault="000C147A">
      <w:pPr>
        <w:jc w:val="center"/>
        <w:divId w:val="495537191"/>
        <w:rPr>
          <w:rFonts w:eastAsia="Times New Roman"/>
        </w:rPr>
      </w:pPr>
      <w:r>
        <w:rPr>
          <w:rFonts w:eastAsia="Times New Roman"/>
          <w:b/>
          <w:bCs/>
          <w:color w:val="000000"/>
          <w:sz w:val="20"/>
          <w:szCs w:val="20"/>
        </w:rPr>
        <w:t>EQUITABLE HOLDINGS, INC.</w:t>
      </w:r>
    </w:p>
    <w:p w:rsidR="00000000" w:rsidRDefault="000C147A">
      <w:pPr>
        <w:jc w:val="center"/>
        <w:divId w:val="495537191"/>
        <w:rPr>
          <w:rFonts w:eastAsia="Times New Roman"/>
        </w:rPr>
      </w:pPr>
      <w:r>
        <w:rPr>
          <w:rFonts w:eastAsia="Times New Roman"/>
          <w:b/>
          <w:bCs/>
          <w:color w:val="000000"/>
          <w:sz w:val="20"/>
          <w:szCs w:val="20"/>
        </w:rPr>
        <w:t>Notes to Consolidated Financial Statements (Unaudited), Continued</w:t>
      </w:r>
    </w:p>
    <w:p w:rsidR="00000000" w:rsidRDefault="000C147A">
      <w:pPr>
        <w:jc w:val="both"/>
        <w:divId w:val="177813839"/>
        <w:rPr>
          <w:rFonts w:eastAsia="Times New Roman"/>
        </w:rPr>
      </w:pPr>
      <w:r>
        <w:rPr>
          <w:rFonts w:eastAsia="Times New Roman"/>
          <w:color w:val="000000"/>
          <w:sz w:val="20"/>
          <w:szCs w:val="20"/>
        </w:rPr>
        <w:t>Level 3 securities that were determined by application of a matrix pric</w:t>
      </w:r>
      <w:r>
        <w:rPr>
          <w:rFonts w:eastAsia="Times New Roman"/>
          <w:color w:val="000000"/>
          <w:sz w:val="20"/>
          <w:szCs w:val="20"/>
        </w:rPr>
        <w:t>ing model and for which the spread over the U.S. Treasury curve is the most significant unobservable input to the pricing result. Generally, a change in spreads would lead to directionally inverse movement in the fair value measurements of these securities</w:t>
      </w:r>
      <w:r>
        <w:rPr>
          <w:rFonts w:eastAsia="Times New Roman"/>
          <w:color w:val="000000"/>
          <w:sz w:val="20"/>
          <w:szCs w:val="20"/>
        </w:rPr>
        <w:t>.</w:t>
      </w:r>
    </w:p>
    <w:p w:rsidR="00000000" w:rsidRDefault="000C147A">
      <w:pPr>
        <w:ind w:hanging="360"/>
        <w:divId w:val="363822326"/>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credit tenant loans, and equipment financings. Included in the tables above at September 30, 2020 and Dec</w:t>
      </w:r>
      <w:r>
        <w:rPr>
          <w:rFonts w:eastAsia="Times New Roman"/>
          <w:color w:val="000000"/>
          <w:sz w:val="20"/>
          <w:szCs w:val="20"/>
        </w:rPr>
        <w:t>ember 31, 2019, there were no securities that were determined by the application of matrix-pricing for which the spread over the U.S. Treasury curve is the most significant unobservable input to the pricing result. Significant increases (decreases) in spre</w:t>
      </w:r>
      <w:r>
        <w:rPr>
          <w:rFonts w:eastAsia="Times New Roman"/>
          <w:color w:val="000000"/>
          <w:sz w:val="20"/>
          <w:szCs w:val="20"/>
        </w:rPr>
        <w:t>ads would have resulted in significantly lower (higher) fair value measurements.</w:t>
      </w:r>
    </w:p>
    <w:p w:rsidR="00000000" w:rsidRDefault="000C147A">
      <w:pPr>
        <w:jc w:val="both"/>
        <w:divId w:val="496464487"/>
        <w:rPr>
          <w:rFonts w:eastAsia="Times New Roman"/>
        </w:rPr>
      </w:pPr>
      <w:r>
        <w:rPr>
          <w:rFonts w:eastAsia="Times New Roman"/>
          <w:color w:val="000000"/>
          <w:sz w:val="20"/>
          <w:szCs w:val="20"/>
          <w:u w:val="single"/>
        </w:rPr>
        <w:t>Other Equity Investments</w:t>
      </w:r>
    </w:p>
    <w:p w:rsidR="00000000" w:rsidRDefault="000C147A">
      <w:pPr>
        <w:divId w:val="129833086"/>
        <w:rPr>
          <w:rFonts w:eastAsia="Times New Roman"/>
        </w:rPr>
      </w:pPr>
      <w:r>
        <w:rPr>
          <w:rFonts w:eastAsia="Times New Roman"/>
          <w:color w:val="000000"/>
          <w:sz w:val="20"/>
          <w:szCs w:val="20"/>
        </w:rPr>
        <w:t xml:space="preserve">Included in other equity investments classified as Level 3 are venture capital securities in the Technology, Media and Telecommunications industries. </w:t>
      </w:r>
      <w:r>
        <w:rPr>
          <w:rFonts w:eastAsia="Times New Roman"/>
          <w:color w:val="000000"/>
          <w:sz w:val="20"/>
          <w:szCs w:val="20"/>
        </w:rPr>
        <w:t>The fair value measurements of these securities include significant unobservable inputs including an enterprise value to revenue multiples and a discount rate to account for liquidity and various risk factors. Significant increases (decreases) in the enter</w:t>
      </w:r>
      <w:r>
        <w:rPr>
          <w:rFonts w:eastAsia="Times New Roman"/>
          <w:color w:val="000000"/>
          <w:sz w:val="20"/>
          <w:szCs w:val="20"/>
        </w:rPr>
        <w:t>prise value to revenue multiple inputs in isolation would have resulted in a significantly higher (lower) fair value measurement. Significant increases (decreases) in the discount rate would have resulted in a significantly lower (higher) fair value measur</w:t>
      </w:r>
      <w:r>
        <w:rPr>
          <w:rFonts w:eastAsia="Times New Roman"/>
          <w:color w:val="000000"/>
          <w:sz w:val="20"/>
          <w:szCs w:val="20"/>
        </w:rPr>
        <w:t>ement.</w:t>
      </w:r>
    </w:p>
    <w:p w:rsidR="00000000" w:rsidRDefault="000C147A">
      <w:pPr>
        <w:jc w:val="both"/>
        <w:divId w:val="386300216"/>
        <w:rPr>
          <w:rFonts w:eastAsia="Times New Roman"/>
        </w:rPr>
      </w:pPr>
      <w:r>
        <w:rPr>
          <w:rFonts w:eastAsia="Times New Roman"/>
          <w:color w:val="000000"/>
          <w:sz w:val="20"/>
          <w:szCs w:val="20"/>
          <w:u w:val="single"/>
        </w:rPr>
        <w:t>GMIB Reinsurance Contract Asset and GMxB Derivative Features Liability</w:t>
      </w:r>
    </w:p>
    <w:p w:rsidR="00000000" w:rsidRDefault="000C147A">
      <w:pPr>
        <w:divId w:val="1986155835"/>
        <w:rPr>
          <w:rFonts w:eastAsia="Times New Roman"/>
        </w:rPr>
      </w:pPr>
      <w:r>
        <w:rPr>
          <w:rFonts w:eastAsia="Times New Roman"/>
          <w:color w:val="000000"/>
          <w:sz w:val="20"/>
          <w:szCs w:val="20"/>
        </w:rPr>
        <w:t xml:space="preserve">Significant unobservable inputs with respect to the fair value measurement of the Level 3 GMIB reinsurance contract asset and the Level 3 liabilities identified in the table </w:t>
      </w:r>
      <w:r>
        <w:rPr>
          <w:rFonts w:eastAsia="Times New Roman"/>
          <w:color w:val="000000"/>
          <w:sz w:val="20"/>
          <w:szCs w:val="20"/>
        </w:rPr>
        <w:t>above are developed using Company data.</w:t>
      </w:r>
    </w:p>
    <w:p w:rsidR="00000000" w:rsidRDefault="000C147A">
      <w:pPr>
        <w:divId w:val="1368867187"/>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 and GMIB utilization rates. Significant increases in GMIB uti</w:t>
      </w:r>
      <w:r>
        <w:rPr>
          <w:rFonts w:eastAsia="Times New Roman"/>
          <w:color w:val="000000"/>
          <w:sz w:val="20"/>
          <w:szCs w:val="20"/>
        </w:rPr>
        <w:t>lization rates or decreases in lapse or withdrawal rates in isolation would tend to increase the GMIB reinsurance contract asset.</w:t>
      </w:r>
    </w:p>
    <w:p w:rsidR="00000000" w:rsidRDefault="000C147A">
      <w:pPr>
        <w:divId w:val="2018145396"/>
        <w:rPr>
          <w:rFonts w:eastAsia="Times New Roman"/>
        </w:rPr>
      </w:pPr>
      <w:r>
        <w:rPr>
          <w:rFonts w:eastAsia="Times New Roman"/>
          <w:color w:val="000000"/>
          <w:sz w:val="20"/>
          <w:szCs w:val="20"/>
        </w:rPr>
        <w:t>Fair value measurement of the GMIB reinsurance contract asset and liabilities includes dynamic lapse and GMIB utilization assu</w:t>
      </w:r>
      <w:r>
        <w:rPr>
          <w:rFonts w:eastAsia="Times New Roman"/>
          <w:color w:val="000000"/>
          <w:sz w:val="20"/>
          <w:szCs w:val="20"/>
        </w:rPr>
        <w:t>mptions whereby projected contractual lapses and GMIB utilization reflect the projected net amount of risks of the contract. As the net amount of risk of a contract increases, the assumed lapse rate decreases and the GMIB utilization increases. Increases i</w:t>
      </w:r>
      <w:r>
        <w:rPr>
          <w:rFonts w:eastAsia="Times New Roman"/>
          <w:color w:val="000000"/>
          <w:sz w:val="20"/>
          <w:szCs w:val="20"/>
        </w:rPr>
        <w:t>n volatility would increase the asset and liabilities.</w:t>
      </w:r>
    </w:p>
    <w:p w:rsidR="00000000" w:rsidRDefault="000C147A">
      <w:pPr>
        <w:divId w:val="1112355765"/>
        <w:rPr>
          <w:rFonts w:eastAsia="Times New Roman"/>
        </w:rPr>
      </w:pPr>
      <w:r>
        <w:rPr>
          <w:rFonts w:eastAsia="Times New Roman"/>
          <w:color w:val="000000"/>
          <w:sz w:val="20"/>
          <w:szCs w:val="20"/>
        </w:rPr>
        <w:t xml:space="preserve">The significant unobservable inputs used in the fair value measurement of the Company’s GMIBNLG liability are lapse rates, withdrawal rates, GMIB utilization rates, adjustment for Non-performance risk </w:t>
      </w:r>
      <w:r>
        <w:rPr>
          <w:rFonts w:eastAsia="Times New Roman"/>
          <w:color w:val="000000"/>
          <w:sz w:val="20"/>
          <w:szCs w:val="20"/>
        </w:rPr>
        <w:t>and NLG forfeiture rates. NLG forfeiture rates are caused by excess withdrawals above the annual GMIB accrual rate that cause the NLG to expire. Significant decreases in lapse rates, NLG forfeiture rates, adjustment for non-performance risk and GMIB utiliz</w:t>
      </w:r>
      <w:r>
        <w:rPr>
          <w:rFonts w:eastAsia="Times New Roman"/>
          <w:color w:val="000000"/>
          <w:sz w:val="20"/>
          <w:szCs w:val="20"/>
        </w:rPr>
        <w:t>ation rates would tend to increase the GMIBNLG liability, while decreases in withdrawal rates and volatility rates would tend to decrease the GMIBNLG liability.</w:t>
      </w:r>
    </w:p>
    <w:p w:rsidR="00000000" w:rsidRDefault="000C147A">
      <w:pPr>
        <w:divId w:val="1198154751"/>
        <w:rPr>
          <w:rFonts w:eastAsia="Times New Roman"/>
        </w:rPr>
      </w:pPr>
      <w:r>
        <w:rPr>
          <w:rFonts w:eastAsia="Times New Roman"/>
          <w:color w:val="000000"/>
          <w:sz w:val="20"/>
          <w:szCs w:val="20"/>
        </w:rPr>
        <w:t>The significant unobservable inputs used in the fair value measurement of the Company’s GMWB an</w:t>
      </w:r>
      <w:r>
        <w:rPr>
          <w:rFonts w:eastAsia="Times New Roman"/>
          <w:color w:val="000000"/>
          <w:sz w:val="20"/>
          <w:szCs w:val="20"/>
        </w:rPr>
        <w:t>d GWBL liability are lapse rates and withdrawal rates. Significant increases in withdrawal rates or decreases in lapse rates in isolation would tend to increase these liabilities. Increases in volatility would increase these liabilities.</w:t>
      </w:r>
    </w:p>
    <w:p w:rsidR="00000000" w:rsidRDefault="000C147A">
      <w:pPr>
        <w:jc w:val="both"/>
        <w:divId w:val="1202792070"/>
        <w:rPr>
          <w:rFonts w:eastAsia="Times New Roman"/>
        </w:rPr>
      </w:pPr>
      <w:r>
        <w:rPr>
          <w:rFonts w:eastAsia="Times New Roman"/>
          <w:color w:val="000000"/>
          <w:sz w:val="20"/>
          <w:szCs w:val="20"/>
          <w:u w:val="single"/>
        </w:rPr>
        <w:t>AB Contingent Cons</w:t>
      </w:r>
      <w:r>
        <w:rPr>
          <w:rFonts w:eastAsia="Times New Roman"/>
          <w:color w:val="000000"/>
          <w:sz w:val="20"/>
          <w:szCs w:val="20"/>
          <w:u w:val="single"/>
        </w:rPr>
        <w:t>ideration Payable</w:t>
      </w:r>
    </w:p>
    <w:p w:rsidR="00000000" w:rsidRDefault="000C147A">
      <w:pPr>
        <w:divId w:val="2109033902"/>
        <w:rPr>
          <w:rFonts w:eastAsia="Times New Roman"/>
        </w:rPr>
      </w:pPr>
      <w:r>
        <w:rPr>
          <w:rFonts w:eastAsia="Times New Roman"/>
          <w:color w:val="000000"/>
          <w:sz w:val="20"/>
          <w:szCs w:val="20"/>
        </w:rPr>
        <w:t xml:space="preserve">As of September 30, 2020 and December 31, 2019, AB has acquisition-related contingent liabilities remaining with a fair value of $30 million and $23 million, respectively. </w:t>
      </w:r>
    </w:p>
    <w:p w:rsidR="00000000" w:rsidRDefault="000C147A">
      <w:pPr>
        <w:divId w:val="471951065"/>
        <w:rPr>
          <w:rFonts w:eastAsia="Times New Roman"/>
        </w:rPr>
      </w:pPr>
      <w:r>
        <w:rPr>
          <w:rFonts w:eastAsia="Times New Roman"/>
          <w:color w:val="000000"/>
          <w:sz w:val="20"/>
          <w:szCs w:val="20"/>
        </w:rPr>
        <w:t>The liabilities were valued using expected revenue growth rates a</w:t>
      </w:r>
      <w:r>
        <w:rPr>
          <w:rFonts w:eastAsia="Times New Roman"/>
          <w:color w:val="000000"/>
          <w:sz w:val="20"/>
          <w:szCs w:val="20"/>
        </w:rPr>
        <w:t>nd discount rates. The expected revenue growth rates range from 0.7% to 50.0%, with a weighted average of 4.9%, calculated using cumulative revenues and range of revenue growth rates (excluding revenue growth from additional AUM contributed from existing c</w:t>
      </w:r>
      <w:r>
        <w:rPr>
          <w:rFonts w:eastAsia="Times New Roman"/>
          <w:color w:val="000000"/>
          <w:sz w:val="20"/>
          <w:szCs w:val="20"/>
        </w:rPr>
        <w:t xml:space="preserve">lients). The discount rates ranged from 1.9% to 10.4% with a weighted average of 8.0%, calculated using total contingent liabilities and range of discount rates. </w:t>
      </w:r>
    </w:p>
    <w:p w:rsidR="00000000" w:rsidRDefault="000C147A">
      <w:pPr>
        <w:divId w:val="698048040"/>
        <w:rPr>
          <w:rFonts w:eastAsia="Times New Roman"/>
        </w:rPr>
      </w:pPr>
    </w:p>
    <w:p w:rsidR="00000000" w:rsidRDefault="000C147A">
      <w:pPr>
        <w:jc w:val="both"/>
        <w:divId w:val="1045568433"/>
        <w:rPr>
          <w:rFonts w:eastAsia="Times New Roman"/>
        </w:rPr>
      </w:pPr>
      <w:r>
        <w:rPr>
          <w:rFonts w:eastAsia="Times New Roman"/>
          <w:color w:val="000000"/>
          <w:sz w:val="20"/>
          <w:szCs w:val="20"/>
          <w:u w:val="single"/>
        </w:rPr>
        <w:t>Carrying Value of Financial Instruments Not Otherwise Disclosed in Note 3 and Note 4</w:t>
      </w:r>
    </w:p>
    <w:p w:rsidR="00000000" w:rsidRDefault="000C147A">
      <w:pPr>
        <w:divId w:val="1667052220"/>
        <w:rPr>
          <w:rFonts w:eastAsia="Times New Roman"/>
        </w:rPr>
      </w:pPr>
      <w:r>
        <w:rPr>
          <w:rFonts w:eastAsia="Times New Roman"/>
          <w:color w:val="000000"/>
          <w:sz w:val="20"/>
          <w:szCs w:val="20"/>
        </w:rPr>
        <w:t>The carrying values and fair values at September 30, 2020 and December 31, 2019 for financial instruments not otherwise disclosed in Note 3 and Note 4 are presented in the table below.</w:t>
      </w:r>
    </w:p>
    <w:p w:rsidR="00000000" w:rsidRDefault="000C147A">
      <w:pPr>
        <w:jc w:val="center"/>
        <w:divId w:val="1803377540"/>
        <w:rPr>
          <w:rFonts w:eastAsia="Times New Roman"/>
        </w:rPr>
      </w:pPr>
    </w:p>
    <w:p w:rsidR="00000000" w:rsidRDefault="000C147A">
      <w:pPr>
        <w:jc w:val="center"/>
        <w:divId w:val="1803377540"/>
        <w:rPr>
          <w:rFonts w:eastAsia="Times New Roman"/>
        </w:rPr>
      </w:pPr>
      <w:r>
        <w:rPr>
          <w:rFonts w:eastAsia="Times New Roman"/>
          <w:color w:val="000000"/>
          <w:sz w:val="20"/>
          <w:szCs w:val="20"/>
        </w:rPr>
        <w:t>52</w:t>
      </w:r>
    </w:p>
    <w:p w:rsidR="00000000" w:rsidRDefault="000C147A">
      <w:pPr>
        <w:rPr>
          <w:rFonts w:eastAsia="Times New Roman"/>
        </w:rPr>
      </w:pPr>
      <w:r>
        <w:rPr>
          <w:rFonts w:eastAsia="Times New Roman"/>
        </w:rPr>
        <w:pict>
          <v:rect id="_x0000_i1078" style="width:0;height:1.5pt" o:hralign="center" o:hrstd="t" o:hr="t" fillcolor="#a0a0a0" stroked="f"/>
        </w:pict>
      </w:r>
    </w:p>
    <w:p w:rsidR="00000000" w:rsidRDefault="000C147A">
      <w:pPr>
        <w:jc w:val="center"/>
        <w:divId w:val="212084845"/>
        <w:rPr>
          <w:rFonts w:eastAsia="Times New Roman"/>
        </w:rPr>
      </w:pPr>
      <w:r>
        <w:rPr>
          <w:rFonts w:eastAsia="Times New Roman"/>
          <w:b/>
          <w:bCs/>
          <w:color w:val="000000"/>
          <w:sz w:val="20"/>
          <w:szCs w:val="20"/>
        </w:rPr>
        <w:t>EQUITABLE HOLDINGS, INC.</w:t>
      </w:r>
    </w:p>
    <w:p w:rsidR="00000000" w:rsidRDefault="000C147A">
      <w:pPr>
        <w:jc w:val="center"/>
        <w:divId w:val="212084845"/>
        <w:rPr>
          <w:rFonts w:eastAsia="Times New Roman"/>
        </w:rPr>
      </w:pPr>
      <w:r>
        <w:rPr>
          <w:rFonts w:eastAsia="Times New Roman"/>
          <w:b/>
          <w:bCs/>
          <w:color w:val="000000"/>
          <w:sz w:val="20"/>
          <w:szCs w:val="20"/>
        </w:rPr>
        <w:t>Notes</w:t>
      </w:r>
      <w:r>
        <w:rPr>
          <w:rFonts w:eastAsia="Times New Roman"/>
          <w:b/>
          <w:bCs/>
          <w:color w:val="000000"/>
          <w:sz w:val="20"/>
          <w:szCs w:val="20"/>
        </w:rPr>
        <w:t xml:space="preserve"> to Consolidated Financial Statements (Unaudited), Continued</w:t>
      </w:r>
    </w:p>
    <w:p w:rsidR="00000000" w:rsidRDefault="000C147A">
      <w:pPr>
        <w:jc w:val="center"/>
        <w:rPr>
          <w:rFonts w:eastAsia="Times New Roman"/>
        </w:rPr>
      </w:pPr>
      <w:r>
        <w:rPr>
          <w:rFonts w:eastAsia="Times New Roman"/>
          <w:b/>
          <w:bCs/>
          <w:color w:val="000000"/>
          <w:sz w:val="20"/>
          <w:szCs w:val="20"/>
        </w:rPr>
        <w:t>Carrying Values and Fair Values for Financial Instruments Not Otherwise Disclosed</w:t>
      </w:r>
    </w:p>
    <w:tbl>
      <w:tblPr>
        <w:tblW w:w="4619" w:type="pct"/>
        <w:tblCellMar>
          <w:top w:w="15" w:type="dxa"/>
          <w:left w:w="15" w:type="dxa"/>
          <w:bottom w:w="15" w:type="dxa"/>
          <w:right w:w="15" w:type="dxa"/>
        </w:tblCellMar>
        <w:tblLook w:val="04A0" w:firstRow="1" w:lastRow="0" w:firstColumn="1" w:lastColumn="0" w:noHBand="0" w:noVBand="1"/>
      </w:tblPr>
      <w:tblGrid>
        <w:gridCol w:w="38"/>
        <w:gridCol w:w="2744"/>
        <w:gridCol w:w="37"/>
        <w:gridCol w:w="120"/>
        <w:gridCol w:w="770"/>
        <w:gridCol w:w="36"/>
        <w:gridCol w:w="36"/>
        <w:gridCol w:w="36"/>
        <w:gridCol w:w="36"/>
        <w:gridCol w:w="121"/>
        <w:gridCol w:w="699"/>
        <w:gridCol w:w="36"/>
        <w:gridCol w:w="36"/>
        <w:gridCol w:w="36"/>
        <w:gridCol w:w="36"/>
        <w:gridCol w:w="120"/>
        <w:gridCol w:w="724"/>
        <w:gridCol w:w="36"/>
        <w:gridCol w:w="36"/>
        <w:gridCol w:w="36"/>
        <w:gridCol w:w="36"/>
        <w:gridCol w:w="120"/>
        <w:gridCol w:w="724"/>
        <w:gridCol w:w="36"/>
        <w:gridCol w:w="36"/>
        <w:gridCol w:w="36"/>
        <w:gridCol w:w="36"/>
        <w:gridCol w:w="120"/>
        <w:gridCol w:w="724"/>
        <w:gridCol w:w="36"/>
      </w:tblGrid>
      <w:tr w:rsidR="00000000">
        <w:trPr>
          <w:divId w:val="1325620430"/>
        </w:trPr>
        <w:tc>
          <w:tcPr>
            <w:tcW w:w="50" w:type="pct"/>
            <w:vAlign w:val="center"/>
            <w:hideMark/>
          </w:tcPr>
          <w:p w:rsidR="00000000" w:rsidRDefault="000C147A">
            <w:pPr>
              <w:jc w:val="center"/>
              <w:rPr>
                <w:rFonts w:eastAsia="Times New Roman"/>
              </w:rPr>
            </w:pPr>
          </w:p>
        </w:tc>
        <w:tc>
          <w:tcPr>
            <w:tcW w:w="183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25620430"/>
          <w:trHeight w:val="24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r>
      <w:tr w:rsidR="00000000">
        <w:trPr>
          <w:divId w:val="1325620430"/>
          <w:trHeight w:val="24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vMerge/>
            <w:vAlign w:val="center"/>
            <w:hideMark/>
          </w:tcPr>
          <w:p w:rsidR="00000000" w:rsidRDefault="000C147A">
            <w:pPr>
              <w:rPr>
                <w:rFonts w:eastAsia="Times New Roman"/>
              </w:rPr>
            </w:pPr>
          </w:p>
        </w:tc>
        <w:tc>
          <w:tcPr>
            <w:tcW w:w="0" w:type="auto"/>
            <w:gridSpan w:val="3"/>
            <w:vMerge/>
            <w:vAlign w:val="center"/>
            <w:hideMark/>
          </w:tcPr>
          <w:p w:rsidR="00000000" w:rsidRDefault="000C147A">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132562043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32562043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Policyholders’ liabilities: Investment contracts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FHLB funding agreements (1)</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FABN funding agreements (2)</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and long-term debt</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2562043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12,334 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12,334 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 loans (3)</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Policyholders’ liabilities: Investment contracts (3)</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FHLB funding agreements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and long-term debt</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32562043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firstLine="360"/>
        <w:divId w:val="1868835601"/>
        <w:rPr>
          <w:rFonts w:eastAsia="Times New Roman"/>
        </w:rPr>
      </w:pPr>
      <w:r>
        <w:rPr>
          <w:rFonts w:eastAsia="Times New Roman"/>
          <w:color w:val="000000"/>
          <w:sz w:val="20"/>
          <w:szCs w:val="20"/>
        </w:rPr>
        <w:t>_____________</w:t>
      </w:r>
    </w:p>
    <w:p w:rsidR="00000000" w:rsidRDefault="000C147A">
      <w:pPr>
        <w:ind w:hanging="360"/>
        <w:divId w:val="1165897952"/>
        <w:rPr>
          <w:rFonts w:eastAsia="Times New Roman"/>
        </w:rPr>
      </w:pPr>
      <w:r>
        <w:rPr>
          <w:rFonts w:eastAsia="Times New Roman"/>
          <w:color w:val="000000"/>
          <w:sz w:val="18"/>
          <w:szCs w:val="18"/>
        </w:rPr>
        <w:t>(1)Federal Home Loan Bank of New York (“FHLB”)</w:t>
      </w:r>
    </w:p>
    <w:p w:rsidR="00000000" w:rsidRDefault="000C147A">
      <w:pPr>
        <w:ind w:hanging="360"/>
        <w:divId w:val="330836219"/>
        <w:rPr>
          <w:rFonts w:eastAsia="Times New Roman"/>
        </w:rPr>
      </w:pPr>
      <w:r>
        <w:rPr>
          <w:rFonts w:eastAsia="Times New Roman"/>
          <w:color w:val="000000"/>
          <w:sz w:val="18"/>
          <w:szCs w:val="18"/>
        </w:rPr>
        <w:t>(2)</w:t>
      </w:r>
      <w:r>
        <w:rPr>
          <w:rFonts w:eastAsia="Times New Roman"/>
          <w:color w:val="000000"/>
          <w:sz w:val="18"/>
          <w:szCs w:val="18"/>
        </w:rPr>
        <w:t>Funding Agreement Backed Notes Program (“FABN”)</w:t>
      </w:r>
    </w:p>
    <w:p w:rsidR="00000000" w:rsidRDefault="000C147A">
      <w:pPr>
        <w:ind w:hanging="360"/>
        <w:divId w:val="1047222767"/>
        <w:rPr>
          <w:rFonts w:eastAsia="Times New Roman"/>
        </w:rPr>
      </w:pPr>
      <w:r>
        <w:rPr>
          <w:rFonts w:eastAsia="Times New Roman"/>
          <w:color w:val="000000"/>
          <w:sz w:val="18"/>
          <w:szCs w:val="18"/>
        </w:rPr>
        <w:t>(3)Excludes amounts reclassified as Held-for-Sale.</w:t>
      </w:r>
    </w:p>
    <w:p w:rsidR="00000000" w:rsidRDefault="000C147A">
      <w:pPr>
        <w:ind w:firstLine="360"/>
        <w:divId w:val="953636587"/>
        <w:rPr>
          <w:rFonts w:eastAsia="Times New Roman"/>
        </w:rPr>
      </w:pPr>
    </w:p>
    <w:p w:rsidR="00000000" w:rsidRDefault="000C147A">
      <w:pPr>
        <w:jc w:val="both"/>
        <w:divId w:val="607810590"/>
        <w:rPr>
          <w:rFonts w:eastAsia="Times New Roman"/>
        </w:rPr>
      </w:pPr>
      <w:r>
        <w:rPr>
          <w:rFonts w:eastAsia="Times New Roman"/>
          <w:b/>
          <w:bCs/>
          <w:i/>
          <w:iCs/>
          <w:color w:val="000000"/>
          <w:sz w:val="20"/>
          <w:szCs w:val="20"/>
        </w:rPr>
        <w:t>Mortgage Loans on Real Estate</w:t>
      </w:r>
    </w:p>
    <w:p w:rsidR="00000000" w:rsidRDefault="000C147A">
      <w:pPr>
        <w:divId w:val="1146776467"/>
        <w:rPr>
          <w:rFonts w:eastAsia="Times New Roman"/>
        </w:rPr>
      </w:pPr>
      <w:r>
        <w:rPr>
          <w:rFonts w:eastAsia="Times New Roman"/>
          <w:color w:val="000000"/>
          <w:sz w:val="20"/>
          <w:szCs w:val="20"/>
        </w:rPr>
        <w:t>Fair values for commercial and agricultural mortgage loans on real estate are measured by discounting future contractual cash</w:t>
      </w:r>
      <w:r>
        <w:rPr>
          <w:rFonts w:eastAsia="Times New Roman"/>
          <w:color w:val="000000"/>
          <w:sz w:val="20"/>
          <w:szCs w:val="20"/>
        </w:rPr>
        <w:t xml:space="preserve"> flows to be received on the mortgage loan using interest rates at which loans with similar characteristics and credit quality would be made. The discount rate is derived based on the appropriate U.S. Treasury rate with a like term to the remaining term of</w:t>
      </w:r>
      <w:r>
        <w:rPr>
          <w:rFonts w:eastAsia="Times New Roman"/>
          <w:color w:val="000000"/>
          <w:sz w:val="20"/>
          <w:szCs w:val="20"/>
        </w:rPr>
        <w:t xml:space="preserve"> the loan to which a spread reflective of the risk premium associated with the specific loan is added. Fair values for mortgage loans anticipated to be foreclosed and problem mortgage loans are limited to the fair value of the underlying collateral, if low</w:t>
      </w:r>
      <w:r>
        <w:rPr>
          <w:rFonts w:eastAsia="Times New Roman"/>
          <w:color w:val="000000"/>
          <w:sz w:val="20"/>
          <w:szCs w:val="20"/>
        </w:rPr>
        <w:t>er.</w:t>
      </w:r>
    </w:p>
    <w:p w:rsidR="00000000" w:rsidRDefault="000C147A">
      <w:pPr>
        <w:jc w:val="both"/>
        <w:divId w:val="201283958"/>
        <w:rPr>
          <w:rFonts w:eastAsia="Times New Roman"/>
        </w:rPr>
      </w:pPr>
      <w:r>
        <w:rPr>
          <w:rFonts w:eastAsia="Times New Roman"/>
          <w:b/>
          <w:bCs/>
          <w:i/>
          <w:iCs/>
          <w:color w:val="000000"/>
          <w:sz w:val="20"/>
          <w:szCs w:val="20"/>
        </w:rPr>
        <w:t>Policy Loans</w:t>
      </w:r>
    </w:p>
    <w:p w:rsidR="00000000" w:rsidRDefault="000C147A">
      <w:pPr>
        <w:divId w:val="443034540"/>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0C147A">
      <w:pPr>
        <w:jc w:val="both"/>
        <w:divId w:val="1747609874"/>
        <w:rPr>
          <w:rFonts w:eastAsia="Times New Roman"/>
        </w:rPr>
      </w:pPr>
      <w:r>
        <w:rPr>
          <w:rFonts w:eastAsia="Times New Roman"/>
          <w:b/>
          <w:bCs/>
          <w:i/>
          <w:iCs/>
          <w:color w:val="000000"/>
          <w:sz w:val="20"/>
          <w:szCs w:val="20"/>
        </w:rPr>
        <w:t>Short-term and Long-term Debt</w:t>
      </w:r>
    </w:p>
    <w:p w:rsidR="00000000" w:rsidRDefault="000C147A">
      <w:pPr>
        <w:divId w:val="1812360599"/>
        <w:rPr>
          <w:rFonts w:eastAsia="Times New Roman"/>
        </w:rPr>
      </w:pPr>
      <w:r>
        <w:rPr>
          <w:rFonts w:eastAsia="Times New Roman"/>
          <w:color w:val="000000"/>
          <w:sz w:val="20"/>
          <w:szCs w:val="20"/>
        </w:rPr>
        <w:t>The Company’s short-term debt primarily includes</w:t>
      </w:r>
      <w:r>
        <w:rPr>
          <w:rFonts w:eastAsia="Times New Roman"/>
          <w:color w:val="000000"/>
          <w:sz w:val="20"/>
          <w:szCs w:val="20"/>
        </w:rPr>
        <w:t xml:space="preserve"> commercial paper with short-term maturities and carrying value approximates fair value. The fair values for the Company’s long-term debt are determined by Bloomberg’s evaluated pricing service, which uses direct observations or observed comparables. </w:t>
      </w:r>
    </w:p>
    <w:p w:rsidR="00000000" w:rsidRDefault="000C147A">
      <w:pPr>
        <w:jc w:val="both"/>
        <w:divId w:val="1398896092"/>
        <w:rPr>
          <w:rFonts w:eastAsia="Times New Roman"/>
        </w:rPr>
      </w:pPr>
      <w:r>
        <w:rPr>
          <w:rFonts w:eastAsia="Times New Roman"/>
          <w:b/>
          <w:bCs/>
          <w:i/>
          <w:iCs/>
          <w:color w:val="000000"/>
          <w:sz w:val="20"/>
          <w:szCs w:val="20"/>
        </w:rPr>
        <w:t>FHLB</w:t>
      </w:r>
      <w:r>
        <w:rPr>
          <w:rFonts w:eastAsia="Times New Roman"/>
          <w:b/>
          <w:bCs/>
          <w:i/>
          <w:iCs/>
          <w:color w:val="000000"/>
          <w:sz w:val="20"/>
          <w:szCs w:val="20"/>
        </w:rPr>
        <w:t xml:space="preserve"> Funding Agreements</w:t>
      </w:r>
    </w:p>
    <w:p w:rsidR="00000000" w:rsidRDefault="000C147A">
      <w:pPr>
        <w:divId w:val="535890944"/>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FHLB.</w:t>
      </w:r>
    </w:p>
    <w:p w:rsidR="00000000" w:rsidRDefault="000C147A">
      <w:pPr>
        <w:jc w:val="both"/>
        <w:divId w:val="1547136746"/>
        <w:rPr>
          <w:rFonts w:eastAsia="Times New Roman"/>
        </w:rPr>
      </w:pPr>
      <w:r>
        <w:rPr>
          <w:rFonts w:eastAsia="Times New Roman"/>
          <w:b/>
          <w:bCs/>
          <w:i/>
          <w:iCs/>
          <w:color w:val="000000"/>
          <w:sz w:val="20"/>
          <w:szCs w:val="20"/>
        </w:rPr>
        <w:t>FABN Funding Agreements</w:t>
      </w:r>
    </w:p>
    <w:p w:rsidR="00000000" w:rsidRDefault="000C147A">
      <w:pPr>
        <w:divId w:val="533688417"/>
        <w:rPr>
          <w:rFonts w:eastAsia="Times New Roman"/>
        </w:rPr>
      </w:pPr>
      <w:r>
        <w:rPr>
          <w:rFonts w:eastAsia="Times New Roman"/>
          <w:color w:val="000000"/>
          <w:sz w:val="20"/>
          <w:szCs w:val="20"/>
        </w:rPr>
        <w:t>The fair values of Equitable Financi</w:t>
      </w:r>
      <w:r>
        <w:rPr>
          <w:rFonts w:eastAsia="Times New Roman"/>
          <w:color w:val="000000"/>
          <w:sz w:val="20"/>
          <w:szCs w:val="20"/>
        </w:rPr>
        <w:t>al’s FABN funding agreements are determined by Bloomberg’s evaluated pricing service, which uses direct observations or observed comparables.</w:t>
      </w:r>
    </w:p>
    <w:p w:rsidR="00000000" w:rsidRDefault="000C147A">
      <w:pPr>
        <w:jc w:val="center"/>
        <w:divId w:val="1781217092"/>
        <w:rPr>
          <w:rFonts w:eastAsia="Times New Roman"/>
        </w:rPr>
      </w:pPr>
    </w:p>
    <w:p w:rsidR="00000000" w:rsidRDefault="000C147A">
      <w:pPr>
        <w:jc w:val="center"/>
        <w:divId w:val="1781217092"/>
        <w:rPr>
          <w:rFonts w:eastAsia="Times New Roman"/>
        </w:rPr>
      </w:pPr>
      <w:r>
        <w:rPr>
          <w:rFonts w:eastAsia="Times New Roman"/>
          <w:color w:val="000000"/>
          <w:sz w:val="20"/>
          <w:szCs w:val="20"/>
        </w:rPr>
        <w:t>53</w:t>
      </w:r>
    </w:p>
    <w:p w:rsidR="00000000" w:rsidRDefault="000C147A">
      <w:pPr>
        <w:rPr>
          <w:rFonts w:eastAsia="Times New Roman"/>
        </w:rPr>
      </w:pPr>
      <w:r>
        <w:rPr>
          <w:rFonts w:eastAsia="Times New Roman"/>
        </w:rPr>
        <w:pict>
          <v:rect id="_x0000_i1079" style="width:0;height:1.5pt" o:hralign="center" o:hrstd="t" o:hr="t" fillcolor="#a0a0a0" stroked="f"/>
        </w:pict>
      </w:r>
    </w:p>
    <w:p w:rsidR="00000000" w:rsidRDefault="000C147A">
      <w:pPr>
        <w:jc w:val="center"/>
        <w:divId w:val="2037995779"/>
        <w:rPr>
          <w:rFonts w:eastAsia="Times New Roman"/>
        </w:rPr>
      </w:pPr>
      <w:r>
        <w:rPr>
          <w:rFonts w:eastAsia="Times New Roman"/>
          <w:b/>
          <w:bCs/>
          <w:color w:val="000000"/>
          <w:sz w:val="20"/>
          <w:szCs w:val="20"/>
        </w:rPr>
        <w:t>EQUITABLE HOLDINGS, INC.</w:t>
      </w:r>
    </w:p>
    <w:p w:rsidR="00000000" w:rsidRDefault="000C147A">
      <w:pPr>
        <w:jc w:val="center"/>
        <w:divId w:val="2037995779"/>
        <w:rPr>
          <w:rFonts w:eastAsia="Times New Roman"/>
        </w:rPr>
      </w:pPr>
      <w:r>
        <w:rPr>
          <w:rFonts w:eastAsia="Times New Roman"/>
          <w:b/>
          <w:bCs/>
          <w:color w:val="000000"/>
          <w:sz w:val="20"/>
          <w:szCs w:val="20"/>
        </w:rPr>
        <w:t>Notes to Consolidated Financial Statements (Una</w:t>
      </w:r>
      <w:r>
        <w:rPr>
          <w:rFonts w:eastAsia="Times New Roman"/>
          <w:b/>
          <w:bCs/>
          <w:color w:val="000000"/>
          <w:sz w:val="20"/>
          <w:szCs w:val="20"/>
        </w:rPr>
        <w:t>udited), Continued</w:t>
      </w:r>
    </w:p>
    <w:p w:rsidR="00000000" w:rsidRDefault="000C147A">
      <w:pPr>
        <w:jc w:val="both"/>
        <w:divId w:val="1998605777"/>
        <w:rPr>
          <w:rFonts w:eastAsia="Times New Roman"/>
        </w:rPr>
      </w:pPr>
      <w:r>
        <w:rPr>
          <w:rFonts w:eastAsia="Times New Roman"/>
          <w:b/>
          <w:bCs/>
          <w:i/>
          <w:iCs/>
          <w:color w:val="000000"/>
          <w:sz w:val="20"/>
          <w:szCs w:val="20"/>
        </w:rPr>
        <w:t>Policyholder Liabilities - Investment Contracts and Separate Accounts Liabilities</w:t>
      </w:r>
    </w:p>
    <w:p w:rsidR="00000000" w:rsidRDefault="000C147A">
      <w:pPr>
        <w:divId w:val="1990673025"/>
        <w:rPr>
          <w:rFonts w:eastAsia="Times New Roman"/>
        </w:rPr>
      </w:pPr>
      <w:r>
        <w:rPr>
          <w:rFonts w:eastAsia="Times New Roman"/>
          <w:color w:val="000000"/>
          <w:sz w:val="20"/>
          <w:szCs w:val="20"/>
        </w:rPr>
        <w:t xml:space="preserve">The fair values for deferred annuities and certain other annuities, which are included in Policyholders’ </w:t>
      </w:r>
      <w:r>
        <w:rPr>
          <w:rFonts w:eastAsia="Times New Roman"/>
          <w:color w:val="000000"/>
          <w:sz w:val="20"/>
          <w:szCs w:val="20"/>
        </w:rPr>
        <w:t>account balances, and liabilities for investment contracts with fund investments in Separate Accounts, are estimated using projected cash flows discounted at rates reflecting current market rates. Significant unobservable inputs reflected in the cash flows</w:t>
      </w:r>
      <w:r>
        <w:rPr>
          <w:rFonts w:eastAsia="Times New Roman"/>
          <w:color w:val="000000"/>
          <w:sz w:val="20"/>
          <w:szCs w:val="20"/>
        </w:rPr>
        <w:t xml:space="preserve"> include lapse rates and withdrawal rates. Incremental adjustments may be made to the fair value to reflect non-performance risk. Certain other products such as the Company’s association plans contracts, supplementary contracts not involving life contingen</w:t>
      </w:r>
      <w:r>
        <w:rPr>
          <w:rFonts w:eastAsia="Times New Roman"/>
          <w:color w:val="000000"/>
          <w:sz w:val="20"/>
          <w:szCs w:val="20"/>
        </w:rPr>
        <w:t>cies (“SCNILC”), Access Accounts and Escrow Shield Plus product reserves are held at book value.</w:t>
      </w:r>
    </w:p>
    <w:p w:rsidR="00000000" w:rsidRDefault="000C147A">
      <w:pPr>
        <w:divId w:val="1670139255"/>
        <w:rPr>
          <w:rFonts w:eastAsia="Times New Roman"/>
        </w:rPr>
      </w:pPr>
      <w:r>
        <w:rPr>
          <w:rFonts w:eastAsia="Times New Roman"/>
          <w:color w:val="000000"/>
          <w:sz w:val="20"/>
          <w:szCs w:val="20"/>
          <w:u w:val="single"/>
        </w:rPr>
        <w:t>Financial Instruments Exempt from Fair Value Disclosure or Otherwise Not Required to be Disclosed</w:t>
      </w:r>
    </w:p>
    <w:p w:rsidR="00000000" w:rsidRDefault="000C147A">
      <w:pPr>
        <w:jc w:val="both"/>
        <w:divId w:val="1818300967"/>
        <w:rPr>
          <w:rFonts w:eastAsia="Times New Roman"/>
        </w:rPr>
      </w:pPr>
      <w:r>
        <w:rPr>
          <w:rFonts w:eastAsia="Times New Roman"/>
          <w:b/>
          <w:bCs/>
          <w:i/>
          <w:iCs/>
          <w:color w:val="000000"/>
          <w:sz w:val="20"/>
          <w:szCs w:val="20"/>
        </w:rPr>
        <w:t>Exempt from Fair Value Disclosure Requirements</w:t>
      </w:r>
    </w:p>
    <w:p w:rsidR="00000000" w:rsidRDefault="000C147A">
      <w:pPr>
        <w:divId w:val="1717973687"/>
        <w:rPr>
          <w:rFonts w:eastAsia="Times New Roman"/>
        </w:rPr>
      </w:pPr>
      <w:r>
        <w:rPr>
          <w:rFonts w:eastAsia="Times New Roman"/>
          <w:color w:val="000000"/>
          <w:sz w:val="20"/>
          <w:szCs w:val="20"/>
        </w:rPr>
        <w:t>Certain financ</w:t>
      </w:r>
      <w:r>
        <w:rPr>
          <w:rFonts w:eastAsia="Times New Roman"/>
          <w:color w:val="000000"/>
          <w:sz w:val="20"/>
          <w:szCs w:val="20"/>
        </w:rPr>
        <w:t>ial instruments are exempt from the requirements for fair value disclosure, such as insurance liabilities other than financial guarantees and investment contracts, limited partnerships accounted for under the equity method and pension and other postretirem</w:t>
      </w:r>
      <w:r>
        <w:rPr>
          <w:rFonts w:eastAsia="Times New Roman"/>
          <w:color w:val="000000"/>
          <w:sz w:val="20"/>
          <w:szCs w:val="20"/>
        </w:rPr>
        <w:t xml:space="preserve">ent obligations. </w:t>
      </w:r>
    </w:p>
    <w:p w:rsidR="00000000" w:rsidRDefault="000C147A">
      <w:pPr>
        <w:jc w:val="both"/>
        <w:divId w:val="490368907"/>
        <w:rPr>
          <w:rFonts w:eastAsia="Times New Roman"/>
        </w:rPr>
      </w:pPr>
      <w:r>
        <w:rPr>
          <w:rFonts w:eastAsia="Times New Roman"/>
          <w:b/>
          <w:bCs/>
          <w:i/>
          <w:iCs/>
          <w:color w:val="000000"/>
          <w:sz w:val="20"/>
          <w:szCs w:val="20"/>
        </w:rPr>
        <w:t>Otherwise Not Required to be Included in the Table Above</w:t>
      </w:r>
    </w:p>
    <w:p w:rsidR="00000000" w:rsidRDefault="000C147A">
      <w:pPr>
        <w:divId w:val="1372417375"/>
        <w:rPr>
          <w:rFonts w:eastAsia="Times New Roman"/>
        </w:rPr>
      </w:pPr>
      <w:r>
        <w:rPr>
          <w:rFonts w:eastAsia="Times New Roman"/>
          <w:color w:val="000000"/>
          <w:sz w:val="20"/>
          <w:szCs w:val="20"/>
        </w:rPr>
        <w:t>The Company’s investment in COLI policies are recorded at their cash surrender value and are therefore not required to be included in the table above. See Note 2 to the Company’s co</w:t>
      </w:r>
      <w:r>
        <w:rPr>
          <w:rFonts w:eastAsia="Times New Roman"/>
          <w:color w:val="000000"/>
          <w:sz w:val="20"/>
          <w:szCs w:val="20"/>
        </w:rPr>
        <w:t>nsolidated financial statements included in the Annual Report on Form 10-K for the year ended December 31, 2019 for further description of the Company’s accounting policy related to its investment in COLI policies.</w:t>
      </w:r>
    </w:p>
    <w:p w:rsidR="00000000" w:rsidRDefault="000C147A">
      <w:pPr>
        <w:divId w:val="116611046"/>
        <w:rPr>
          <w:rFonts w:eastAsia="Times New Roman"/>
        </w:rPr>
      </w:pPr>
      <w:r>
        <w:rPr>
          <w:rFonts w:eastAsia="Times New Roman"/>
          <w:b/>
          <w:bCs/>
          <w:color w:val="000000"/>
          <w:sz w:val="20"/>
          <w:szCs w:val="20"/>
        </w:rPr>
        <w:t xml:space="preserve">9)    EMPLOYEE BENEFIT PLANS </w:t>
      </w:r>
    </w:p>
    <w:p w:rsidR="00000000" w:rsidRDefault="000C147A">
      <w:pPr>
        <w:divId w:val="1031495193"/>
        <w:rPr>
          <w:rFonts w:eastAsia="Times New Roman"/>
        </w:rPr>
      </w:pPr>
      <w:r>
        <w:rPr>
          <w:rFonts w:eastAsia="Times New Roman"/>
          <w:color w:val="000000"/>
          <w:sz w:val="20"/>
          <w:szCs w:val="20"/>
          <w:u w:val="single"/>
        </w:rPr>
        <w:t>Pension Plans</w:t>
      </w:r>
    </w:p>
    <w:p w:rsidR="00000000" w:rsidRDefault="000C147A">
      <w:pPr>
        <w:jc w:val="both"/>
        <w:divId w:val="2047946102"/>
        <w:rPr>
          <w:rFonts w:eastAsia="Times New Roman"/>
        </w:rPr>
      </w:pPr>
      <w:r>
        <w:rPr>
          <w:rFonts w:eastAsia="Times New Roman"/>
          <w:b/>
          <w:bCs/>
          <w:i/>
          <w:iCs/>
          <w:color w:val="000000"/>
          <w:sz w:val="20"/>
          <w:szCs w:val="20"/>
        </w:rPr>
        <w:t>Holdings and Equitable Financial Retirement Plans</w:t>
      </w:r>
    </w:p>
    <w:p w:rsidR="00000000" w:rsidRDefault="000C147A">
      <w:pPr>
        <w:divId w:val="655648890"/>
        <w:rPr>
          <w:rFonts w:eastAsia="Times New Roman"/>
        </w:rPr>
      </w:pPr>
      <w:r>
        <w:rPr>
          <w:rFonts w:eastAsia="Times New Roman"/>
          <w:color w:val="000000"/>
          <w:sz w:val="20"/>
          <w:szCs w:val="20"/>
        </w:rPr>
        <w:t>Holdings sponsors the MONY Life Retirement Income Security Plan for Employees and Equitable Life sponsors the Equitable Retirement Plan (the “Equitable Financial QP”), both of which are frozen</w:t>
      </w:r>
      <w:r>
        <w:rPr>
          <w:rFonts w:eastAsia="Times New Roman"/>
          <w:color w:val="000000"/>
          <w:sz w:val="20"/>
          <w:szCs w:val="20"/>
        </w:rPr>
        <w:t xml:space="preserve"> qualified defined benefit plans covering eligible employees and financial professionals. These pension plans are non-contributory, and their benefits are generally based on a cash balance formula and/or, for certain participants, years of service and aver</w:t>
      </w:r>
      <w:r>
        <w:rPr>
          <w:rFonts w:eastAsia="Times New Roman"/>
          <w:color w:val="000000"/>
          <w:sz w:val="20"/>
          <w:szCs w:val="20"/>
        </w:rPr>
        <w:t>age earnings over a specified period. Holdings and Equitable Financial also sponsor certain nonqualified defined benefit plans, including the Equitable Excess Retirement Plan, that provide retirement benefits in excess of the amount permitted under the tax</w:t>
      </w:r>
      <w:r>
        <w:rPr>
          <w:rFonts w:eastAsia="Times New Roman"/>
          <w:color w:val="000000"/>
          <w:sz w:val="20"/>
          <w:szCs w:val="20"/>
        </w:rPr>
        <w:t xml:space="preserve"> law for the qualified plans. Holdings has assumed primary liability for both the Equitable Financial QP and the Equitable Financial nonqualified defined benefit plans. Equitable Financial remains secondarily liable for its obligations under the Equitable </w:t>
      </w:r>
      <w:r>
        <w:rPr>
          <w:rFonts w:eastAsia="Times New Roman"/>
          <w:color w:val="000000"/>
          <w:sz w:val="20"/>
          <w:szCs w:val="20"/>
        </w:rPr>
        <w:t>Financial QP and its nonqualified defined benefits plans and would recognize such liability in the event Holdings does not perform.</w:t>
      </w:r>
    </w:p>
    <w:p w:rsidR="00000000" w:rsidRDefault="000C147A">
      <w:pPr>
        <w:jc w:val="both"/>
        <w:divId w:val="628513374"/>
        <w:rPr>
          <w:rFonts w:eastAsia="Times New Roman"/>
        </w:rPr>
      </w:pPr>
      <w:r>
        <w:rPr>
          <w:rFonts w:eastAsia="Times New Roman"/>
          <w:b/>
          <w:bCs/>
          <w:i/>
          <w:iCs/>
          <w:color w:val="000000"/>
          <w:sz w:val="20"/>
          <w:szCs w:val="20"/>
        </w:rPr>
        <w:t>AB Retirement Plans</w:t>
      </w:r>
    </w:p>
    <w:p w:rsidR="00000000" w:rsidRDefault="000C147A">
      <w:pPr>
        <w:divId w:val="1908030272"/>
        <w:rPr>
          <w:rFonts w:eastAsia="Times New Roman"/>
        </w:rPr>
      </w:pPr>
      <w:r>
        <w:rPr>
          <w:rFonts w:eastAsia="Times New Roman"/>
          <w:color w:val="000000"/>
          <w:sz w:val="20"/>
          <w:szCs w:val="20"/>
        </w:rPr>
        <w:t xml:space="preserve">AB maintains a qualified, non-contributory, defined benefit retirement plan covering current and former </w:t>
      </w:r>
      <w:r>
        <w:rPr>
          <w:rFonts w:eastAsia="Times New Roman"/>
          <w:color w:val="000000"/>
          <w:sz w:val="20"/>
          <w:szCs w:val="20"/>
        </w:rPr>
        <w:t>employees who were employed by AB in the United States prior to October 2, 2000 (the “AB Plan”). Benefits under the AB Plan are based on years of credited service, average final base salary, and primary Social Security benefits.</w:t>
      </w:r>
    </w:p>
    <w:p w:rsidR="00000000" w:rsidRDefault="000C147A">
      <w:pPr>
        <w:jc w:val="center"/>
        <w:divId w:val="438644417"/>
        <w:rPr>
          <w:rFonts w:eastAsia="Times New Roman"/>
        </w:rPr>
      </w:pPr>
    </w:p>
    <w:p w:rsidR="00000000" w:rsidRDefault="000C147A">
      <w:pPr>
        <w:jc w:val="center"/>
        <w:divId w:val="438644417"/>
        <w:rPr>
          <w:rFonts w:eastAsia="Times New Roman"/>
        </w:rPr>
      </w:pPr>
      <w:r>
        <w:rPr>
          <w:rFonts w:eastAsia="Times New Roman"/>
          <w:color w:val="000000"/>
          <w:sz w:val="20"/>
          <w:szCs w:val="20"/>
        </w:rPr>
        <w:t>54</w:t>
      </w:r>
    </w:p>
    <w:p w:rsidR="00000000" w:rsidRDefault="000C147A">
      <w:pPr>
        <w:rPr>
          <w:rFonts w:eastAsia="Times New Roman"/>
        </w:rPr>
      </w:pPr>
      <w:r>
        <w:rPr>
          <w:rFonts w:eastAsia="Times New Roman"/>
        </w:rPr>
        <w:pict>
          <v:rect id="_x0000_i1080" style="width:0;height:1.5pt" o:hralign="center" o:hrstd="t" o:hr="t" fillcolor="#a0a0a0" stroked="f"/>
        </w:pict>
      </w:r>
    </w:p>
    <w:p w:rsidR="00000000" w:rsidRDefault="000C147A">
      <w:pPr>
        <w:jc w:val="center"/>
        <w:divId w:val="651257135"/>
        <w:rPr>
          <w:rFonts w:eastAsia="Times New Roman"/>
        </w:rPr>
      </w:pPr>
      <w:r>
        <w:rPr>
          <w:rFonts w:eastAsia="Times New Roman"/>
          <w:b/>
          <w:bCs/>
          <w:color w:val="000000"/>
          <w:sz w:val="20"/>
          <w:szCs w:val="20"/>
        </w:rPr>
        <w:t>EQUITABLE HOLDINGS, INC.</w:t>
      </w:r>
    </w:p>
    <w:p w:rsidR="00000000" w:rsidRDefault="000C147A">
      <w:pPr>
        <w:jc w:val="center"/>
        <w:divId w:val="651257135"/>
        <w:rPr>
          <w:rFonts w:eastAsia="Times New Roman"/>
        </w:rPr>
      </w:pPr>
      <w:r>
        <w:rPr>
          <w:rFonts w:eastAsia="Times New Roman"/>
          <w:b/>
          <w:bCs/>
          <w:color w:val="000000"/>
          <w:sz w:val="20"/>
          <w:szCs w:val="20"/>
        </w:rPr>
        <w:t>Notes to Consolidated Financial Statements (Unaudited), Continued</w:t>
      </w:r>
    </w:p>
    <w:p w:rsidR="00000000" w:rsidRDefault="000C147A">
      <w:pPr>
        <w:jc w:val="both"/>
        <w:divId w:val="1590308177"/>
        <w:rPr>
          <w:rFonts w:eastAsia="Times New Roman"/>
        </w:rPr>
      </w:pPr>
      <w:r>
        <w:rPr>
          <w:rFonts w:eastAsia="Times New Roman"/>
          <w:b/>
          <w:bCs/>
          <w:i/>
          <w:iCs/>
          <w:color w:val="000000"/>
          <w:sz w:val="20"/>
          <w:szCs w:val="20"/>
        </w:rPr>
        <w:t>Net Periodic Pension Expense</w:t>
      </w:r>
    </w:p>
    <w:p w:rsidR="00000000" w:rsidRDefault="000C147A">
      <w:pPr>
        <w:divId w:val="207687879"/>
        <w:rPr>
          <w:rFonts w:eastAsia="Times New Roman"/>
        </w:rPr>
      </w:pPr>
      <w:r>
        <w:rPr>
          <w:rFonts w:eastAsia="Times New Roman"/>
          <w:color w:val="000000"/>
          <w:sz w:val="20"/>
          <w:szCs w:val="20"/>
        </w:rPr>
        <w:t>Components of net periodic pension expense for the Company’s plans were as follows:</w:t>
      </w:r>
    </w:p>
    <w:tbl>
      <w:tblPr>
        <w:tblW w:w="4649" w:type="pct"/>
        <w:tblCellMar>
          <w:top w:w="15" w:type="dxa"/>
          <w:left w:w="15" w:type="dxa"/>
          <w:bottom w:w="15" w:type="dxa"/>
          <w:right w:w="15" w:type="dxa"/>
        </w:tblCellMar>
        <w:tblLook w:val="04A0" w:firstRow="1" w:lastRow="0" w:firstColumn="1" w:lastColumn="0" w:noHBand="0" w:noVBand="1"/>
      </w:tblPr>
      <w:tblGrid>
        <w:gridCol w:w="39"/>
        <w:gridCol w:w="2957"/>
        <w:gridCol w:w="38"/>
        <w:gridCol w:w="120"/>
        <w:gridCol w:w="929"/>
        <w:gridCol w:w="36"/>
        <w:gridCol w:w="36"/>
        <w:gridCol w:w="36"/>
        <w:gridCol w:w="36"/>
        <w:gridCol w:w="120"/>
        <w:gridCol w:w="873"/>
        <w:gridCol w:w="36"/>
        <w:gridCol w:w="36"/>
        <w:gridCol w:w="36"/>
        <w:gridCol w:w="36"/>
        <w:gridCol w:w="121"/>
        <w:gridCol w:w="930"/>
        <w:gridCol w:w="36"/>
        <w:gridCol w:w="36"/>
        <w:gridCol w:w="36"/>
        <w:gridCol w:w="36"/>
        <w:gridCol w:w="121"/>
        <w:gridCol w:w="791"/>
        <w:gridCol w:w="36"/>
        <w:gridCol w:w="36"/>
        <w:gridCol w:w="36"/>
        <w:gridCol w:w="36"/>
        <w:gridCol w:w="36"/>
        <w:gridCol w:w="36"/>
        <w:gridCol w:w="36"/>
      </w:tblGrid>
      <w:tr w:rsidR="00000000">
        <w:trPr>
          <w:divId w:val="1877888487"/>
        </w:trPr>
        <w:tc>
          <w:tcPr>
            <w:tcW w:w="50" w:type="pct"/>
            <w:vAlign w:val="center"/>
            <w:hideMark/>
          </w:tcPr>
          <w:p w:rsidR="00000000" w:rsidRDefault="000C147A">
            <w:pPr>
              <w:rPr>
                <w:rFonts w:eastAsia="Times New Roman"/>
              </w:rPr>
            </w:pPr>
          </w:p>
        </w:tc>
        <w:tc>
          <w:tcPr>
            <w:tcW w:w="20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Actuarial (gain)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Impact of Settlement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7788848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983387838"/>
        <w:rPr>
          <w:rFonts w:eastAsia="Times New Roman"/>
        </w:rPr>
      </w:pPr>
      <w:r>
        <w:rPr>
          <w:rFonts w:eastAsia="Times New Roman"/>
          <w:b/>
          <w:bCs/>
          <w:color w:val="000000"/>
          <w:sz w:val="20"/>
          <w:szCs w:val="20"/>
        </w:rPr>
        <w:t xml:space="preserve">10)    INCOME TAXES </w:t>
      </w:r>
    </w:p>
    <w:p w:rsidR="00000000" w:rsidRDefault="000C147A">
      <w:pPr>
        <w:divId w:val="1963607054"/>
        <w:rPr>
          <w:rFonts w:eastAsia="Times New Roman"/>
        </w:rPr>
      </w:pPr>
      <w:r>
        <w:rPr>
          <w:rFonts w:eastAsia="Times New Roman"/>
          <w:color w:val="000000"/>
          <w:sz w:val="20"/>
          <w:szCs w:val="20"/>
        </w:rPr>
        <w:t>Income tax expense for the three and nine months ended September 30, 2020 and 2019 was computed using an estimated annual effective tax rate (“ETR”), with discrete items recogniz</w:t>
      </w:r>
      <w:r>
        <w:rPr>
          <w:rFonts w:eastAsia="Times New Roman"/>
          <w:color w:val="000000"/>
          <w:sz w:val="20"/>
          <w:szCs w:val="20"/>
        </w:rPr>
        <w:t xml:space="preserve">ed in the period in which they occur. The estimated ETR is revised, as necessary, at the end of successive interim reporting periods. </w:t>
      </w:r>
    </w:p>
    <w:p w:rsidR="00000000" w:rsidRDefault="000C147A">
      <w:pPr>
        <w:divId w:val="1861427826"/>
        <w:rPr>
          <w:rFonts w:eastAsia="Times New Roman"/>
        </w:rPr>
      </w:pPr>
      <w:r>
        <w:rPr>
          <w:rFonts w:eastAsia="Times New Roman"/>
          <w:b/>
          <w:bCs/>
          <w:color w:val="000000"/>
          <w:sz w:val="20"/>
          <w:szCs w:val="20"/>
        </w:rPr>
        <w:t xml:space="preserve">11)    EQUITY </w:t>
      </w:r>
    </w:p>
    <w:p w:rsidR="00000000" w:rsidRDefault="000C147A">
      <w:pPr>
        <w:divId w:val="2140953720"/>
        <w:rPr>
          <w:rFonts w:eastAsia="Times New Roman"/>
        </w:rPr>
      </w:pPr>
      <w:r>
        <w:rPr>
          <w:rFonts w:eastAsia="Times New Roman"/>
          <w:color w:val="000000"/>
          <w:sz w:val="20"/>
          <w:szCs w:val="20"/>
          <w:u w:val="single"/>
        </w:rPr>
        <w:t xml:space="preserve">Preferred Stock </w:t>
      </w:r>
    </w:p>
    <w:p w:rsidR="00000000" w:rsidRDefault="000C147A">
      <w:pPr>
        <w:divId w:val="2111924148"/>
        <w:rPr>
          <w:rFonts w:eastAsia="Times New Roman"/>
        </w:rPr>
      </w:pPr>
      <w:r>
        <w:rPr>
          <w:rFonts w:eastAsia="Times New Roman"/>
          <w:color w:val="000000"/>
          <w:sz w:val="20"/>
          <w:szCs w:val="20"/>
        </w:rPr>
        <w:t>Preferred stock authorized, issued and outstanding was as follows:</w:t>
      </w:r>
    </w:p>
    <w:tbl>
      <w:tblPr>
        <w:tblW w:w="4554" w:type="pct"/>
        <w:tblCellMar>
          <w:top w:w="15" w:type="dxa"/>
          <w:left w:w="15" w:type="dxa"/>
          <w:bottom w:w="15" w:type="dxa"/>
          <w:right w:w="15" w:type="dxa"/>
        </w:tblCellMar>
        <w:tblLook w:val="04A0" w:firstRow="1" w:lastRow="0" w:firstColumn="1" w:lastColumn="0" w:noHBand="0" w:noVBand="1"/>
      </w:tblPr>
      <w:tblGrid>
        <w:gridCol w:w="40"/>
        <w:gridCol w:w="1569"/>
        <w:gridCol w:w="36"/>
        <w:gridCol w:w="36"/>
        <w:gridCol w:w="36"/>
        <w:gridCol w:w="36"/>
        <w:gridCol w:w="67"/>
        <w:gridCol w:w="778"/>
        <w:gridCol w:w="37"/>
        <w:gridCol w:w="37"/>
        <w:gridCol w:w="37"/>
        <w:gridCol w:w="36"/>
        <w:gridCol w:w="52"/>
        <w:gridCol w:w="794"/>
        <w:gridCol w:w="36"/>
        <w:gridCol w:w="36"/>
        <w:gridCol w:w="36"/>
        <w:gridCol w:w="36"/>
        <w:gridCol w:w="74"/>
        <w:gridCol w:w="813"/>
        <w:gridCol w:w="36"/>
        <w:gridCol w:w="36"/>
        <w:gridCol w:w="36"/>
        <w:gridCol w:w="36"/>
        <w:gridCol w:w="63"/>
        <w:gridCol w:w="716"/>
        <w:gridCol w:w="37"/>
        <w:gridCol w:w="37"/>
        <w:gridCol w:w="37"/>
        <w:gridCol w:w="37"/>
        <w:gridCol w:w="52"/>
        <w:gridCol w:w="792"/>
        <w:gridCol w:w="37"/>
        <w:gridCol w:w="36"/>
        <w:gridCol w:w="36"/>
        <w:gridCol w:w="36"/>
        <w:gridCol w:w="68"/>
        <w:gridCol w:w="779"/>
        <w:gridCol w:w="36"/>
      </w:tblGrid>
      <w:tr w:rsidR="00000000">
        <w:trPr>
          <w:divId w:val="166093033"/>
        </w:trPr>
        <w:tc>
          <w:tcPr>
            <w:tcW w:w="50" w:type="pct"/>
            <w:vAlign w:val="center"/>
            <w:hideMark/>
          </w:tcPr>
          <w:p w:rsidR="00000000" w:rsidRDefault="000C147A">
            <w:pPr>
              <w:rPr>
                <w:rFonts w:eastAsia="Times New Roman"/>
              </w:rPr>
            </w:pPr>
          </w:p>
        </w:tc>
        <w:tc>
          <w:tcPr>
            <w:tcW w:w="10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4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609303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1660930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Shares Authorized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Shares</w:t>
            </w:r>
            <w:r>
              <w:rPr>
                <w:rFonts w:eastAsia="Times New Roman"/>
                <w:b/>
                <w:bCs/>
                <w:color w:val="000000"/>
                <w:sz w:val="16"/>
                <w:szCs w:val="16"/>
              </w:rPr>
              <w:br/>
              <w:t>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Shares Authorized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Shares</w:t>
            </w:r>
            <w:r>
              <w:rPr>
                <w:rFonts w:eastAsia="Times New Roman"/>
                <w:color w:val="000000"/>
                <w:sz w:val="16"/>
                <w:szCs w:val="16"/>
              </w:rPr>
              <w:br/>
              <w:t>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Shares Outstanding</w:t>
            </w:r>
          </w:p>
        </w:tc>
      </w:tr>
      <w:tr w:rsidR="00000000">
        <w:trPr>
          <w:divId w:val="1660930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Series A (1)</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0930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Series B (2)</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0930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983149511"/>
        <w:rPr>
          <w:rFonts w:eastAsia="Times New Roman"/>
        </w:rPr>
      </w:pPr>
    </w:p>
    <w:p w:rsidR="00000000" w:rsidRDefault="000C147A">
      <w:pPr>
        <w:ind w:firstLine="360"/>
        <w:divId w:val="147481172"/>
        <w:rPr>
          <w:rFonts w:eastAsia="Times New Roman"/>
        </w:rPr>
      </w:pPr>
      <w:r>
        <w:rPr>
          <w:rFonts w:eastAsia="Times New Roman"/>
          <w:color w:val="000000"/>
          <w:sz w:val="20"/>
          <w:szCs w:val="20"/>
          <w:u w:val="single"/>
        </w:rPr>
        <w:t>Series B Fixed Rate Reset Noncumulative Perpetual Preferred Stock</w:t>
      </w:r>
    </w:p>
    <w:p w:rsidR="00000000" w:rsidRDefault="000C147A">
      <w:pPr>
        <w:divId w:val="1563642280"/>
        <w:rPr>
          <w:rFonts w:eastAsia="Times New Roman"/>
        </w:rPr>
      </w:pPr>
      <w:r>
        <w:rPr>
          <w:rFonts w:eastAsia="Times New Roman"/>
          <w:color w:val="000000"/>
          <w:sz w:val="20"/>
          <w:szCs w:val="20"/>
        </w:rPr>
        <w:t>On August 11, 2020, Holdings issued 500,000 depositary shares, each representing a 1/25th interest in a share of the Company’s Series B Fixed Rate Reset Noncumulative Perpet</w:t>
      </w:r>
      <w:r>
        <w:rPr>
          <w:rFonts w:eastAsia="Times New Roman"/>
          <w:color w:val="000000"/>
          <w:sz w:val="20"/>
          <w:szCs w:val="20"/>
        </w:rPr>
        <w:t>ual Preferred Stock (“Series B Preferred Stock”), $1.00 par value per share and liquidation preference of $25,000 per share, for aggregate net cash proceeds of $494 million ($500 million gross). The Series B Preferred Stock ranks senior to Holdings’ common</w:t>
      </w:r>
      <w:r>
        <w:rPr>
          <w:rFonts w:eastAsia="Times New Roman"/>
          <w:color w:val="000000"/>
          <w:sz w:val="20"/>
          <w:szCs w:val="20"/>
        </w:rPr>
        <w:t xml:space="preserve"> stock and on parity with Holdings’ Series A Preferred Stock with respect to the payment of dividends and liquidation. Holdings will pay dividends on the Series B Preferred Stock on a noncumulative basis only when, as and if declared by the Company’s Board</w:t>
      </w:r>
      <w:r>
        <w:rPr>
          <w:rFonts w:eastAsia="Times New Roman"/>
          <w:color w:val="000000"/>
          <w:sz w:val="20"/>
          <w:szCs w:val="20"/>
        </w:rPr>
        <w:t xml:space="preserve"> of Directors (or a duly authorized committee of the Board) and will be payable semi-annually in arrears, at an annual rate equal to the fixed rate of 4.950%, which is reset every 5 years starting on December 15, 2025 (“Reset Date”), at a rate per annum eq</w:t>
      </w:r>
      <w:r>
        <w:rPr>
          <w:rFonts w:eastAsia="Times New Roman"/>
          <w:color w:val="000000"/>
          <w:sz w:val="20"/>
          <w:szCs w:val="20"/>
        </w:rPr>
        <w:t>ual to the five-year U.S. Treasury Rate plus 4.736%.</w:t>
      </w:r>
    </w:p>
    <w:p w:rsidR="00000000" w:rsidRDefault="000C147A">
      <w:pPr>
        <w:divId w:val="1078945215"/>
        <w:rPr>
          <w:rFonts w:eastAsia="Times New Roman"/>
        </w:rPr>
      </w:pPr>
      <w:r>
        <w:rPr>
          <w:rFonts w:eastAsia="Times New Roman"/>
          <w:color w:val="000000"/>
          <w:sz w:val="20"/>
          <w:szCs w:val="20"/>
        </w:rPr>
        <w:t>In connection with the issuance of the depositary shares and the underlying Series B Preferred Stock, Holdings incurred $6 million of issuance costs, which have been recorded as a reduction of additional paid-in capital. The Series B Preferred Stock is red</w:t>
      </w:r>
      <w:r>
        <w:rPr>
          <w:rFonts w:eastAsia="Times New Roman"/>
          <w:color w:val="000000"/>
          <w:sz w:val="20"/>
          <w:szCs w:val="20"/>
        </w:rPr>
        <w:t>eemable at Holdings’ option in whole or in part, from time to time, during the three-month period prior to, and including, each Reset Date, at a redemption price equal to $25,000 per share of preferred stock, plus any declared and unpaid dividends. Further</w:t>
      </w:r>
      <w:r>
        <w:rPr>
          <w:rFonts w:eastAsia="Times New Roman"/>
          <w:color w:val="000000"/>
          <w:sz w:val="20"/>
          <w:szCs w:val="20"/>
        </w:rPr>
        <w:t xml:space="preserve">more, the preferred stock is redeemable at Holdings’ option, in whole but not in part at any time, within 90 days after the occurrence of certain rating agency events at a redemption price equal to $25,500 per share, plus any declared and unpaid dividends </w:t>
      </w:r>
      <w:r>
        <w:rPr>
          <w:rFonts w:eastAsia="Times New Roman"/>
          <w:color w:val="000000"/>
          <w:sz w:val="20"/>
          <w:szCs w:val="20"/>
        </w:rPr>
        <w:t>or after the occurrence of certain regulatory capital events at a redemption price equal to $25,000 per share, plus any declared and unpaid dividends.</w:t>
      </w:r>
    </w:p>
    <w:p w:rsidR="00000000" w:rsidRDefault="000C147A">
      <w:pPr>
        <w:divId w:val="1901018389"/>
        <w:rPr>
          <w:rFonts w:eastAsia="Times New Roman"/>
        </w:rPr>
      </w:pPr>
      <w:r>
        <w:rPr>
          <w:rFonts w:eastAsia="Times New Roman"/>
          <w:color w:val="000000"/>
          <w:sz w:val="20"/>
          <w:szCs w:val="20"/>
          <w:u w:val="single"/>
        </w:rPr>
        <w:t>Preferred Stock</w:t>
      </w:r>
    </w:p>
    <w:p w:rsidR="00000000" w:rsidRDefault="000C147A">
      <w:pPr>
        <w:jc w:val="both"/>
        <w:divId w:val="1941909397"/>
        <w:rPr>
          <w:rFonts w:eastAsia="Times New Roman"/>
        </w:rPr>
      </w:pPr>
      <w:r>
        <w:rPr>
          <w:rFonts w:eastAsia="Times New Roman"/>
          <w:b/>
          <w:bCs/>
          <w:i/>
          <w:iCs/>
          <w:color w:val="000000"/>
          <w:sz w:val="20"/>
          <w:szCs w:val="20"/>
        </w:rPr>
        <w:t>Dividends to Shareholders</w:t>
      </w:r>
    </w:p>
    <w:p w:rsidR="00000000" w:rsidRDefault="000C147A">
      <w:pPr>
        <w:jc w:val="center"/>
        <w:divId w:val="2117631563"/>
        <w:rPr>
          <w:rFonts w:eastAsia="Times New Roman"/>
        </w:rPr>
      </w:pPr>
    </w:p>
    <w:p w:rsidR="00000000" w:rsidRDefault="000C147A">
      <w:pPr>
        <w:jc w:val="center"/>
        <w:divId w:val="2117631563"/>
        <w:rPr>
          <w:rFonts w:eastAsia="Times New Roman"/>
        </w:rPr>
      </w:pPr>
      <w:r>
        <w:rPr>
          <w:rFonts w:eastAsia="Times New Roman"/>
          <w:color w:val="000000"/>
          <w:sz w:val="20"/>
          <w:szCs w:val="20"/>
        </w:rPr>
        <w:t>55</w:t>
      </w:r>
    </w:p>
    <w:p w:rsidR="00000000" w:rsidRDefault="000C147A">
      <w:pPr>
        <w:rPr>
          <w:rFonts w:eastAsia="Times New Roman"/>
        </w:rPr>
      </w:pPr>
      <w:r>
        <w:rPr>
          <w:rFonts w:eastAsia="Times New Roman"/>
        </w:rPr>
        <w:pict>
          <v:rect id="_x0000_i1081" style="width:0;height:1.5pt" o:hralign="center" o:hrstd="t" o:hr="t" fillcolor="#a0a0a0" stroked="f"/>
        </w:pict>
      </w:r>
    </w:p>
    <w:p w:rsidR="00000000" w:rsidRDefault="000C147A">
      <w:pPr>
        <w:jc w:val="center"/>
        <w:divId w:val="899368106"/>
        <w:rPr>
          <w:rFonts w:eastAsia="Times New Roman"/>
        </w:rPr>
      </w:pPr>
      <w:r>
        <w:rPr>
          <w:rFonts w:eastAsia="Times New Roman"/>
          <w:b/>
          <w:bCs/>
          <w:color w:val="000000"/>
          <w:sz w:val="20"/>
          <w:szCs w:val="20"/>
        </w:rPr>
        <w:t>EQUITABLE HOLDINGS, IN</w:t>
      </w:r>
      <w:r>
        <w:rPr>
          <w:rFonts w:eastAsia="Times New Roman"/>
          <w:b/>
          <w:bCs/>
          <w:color w:val="000000"/>
          <w:sz w:val="20"/>
          <w:szCs w:val="20"/>
        </w:rPr>
        <w:t>C.</w:t>
      </w:r>
    </w:p>
    <w:p w:rsidR="00000000" w:rsidRDefault="000C147A">
      <w:pPr>
        <w:jc w:val="center"/>
        <w:divId w:val="899368106"/>
        <w:rPr>
          <w:rFonts w:eastAsia="Times New Roman"/>
        </w:rPr>
      </w:pPr>
      <w:r>
        <w:rPr>
          <w:rFonts w:eastAsia="Times New Roman"/>
          <w:b/>
          <w:bCs/>
          <w:color w:val="000000"/>
          <w:sz w:val="20"/>
          <w:szCs w:val="20"/>
        </w:rPr>
        <w:t>Notes to Consolidated Financial Statements (Unaudited), Continued</w:t>
      </w:r>
    </w:p>
    <w:p w:rsidR="00000000" w:rsidRDefault="000C147A">
      <w:pPr>
        <w:divId w:val="1340544507"/>
        <w:rPr>
          <w:rFonts w:eastAsia="Times New Roman"/>
        </w:rPr>
      </w:pPr>
      <w:r>
        <w:rPr>
          <w:rFonts w:eastAsia="Times New Roman"/>
          <w:color w:val="000000"/>
          <w:sz w:val="20"/>
          <w:szCs w:val="20"/>
        </w:rPr>
        <w:t>Dividends declared per share were as follows for the periods indicated:</w:t>
      </w:r>
    </w:p>
    <w:tbl>
      <w:tblPr>
        <w:tblW w:w="4605" w:type="pct"/>
        <w:tblCellMar>
          <w:top w:w="15" w:type="dxa"/>
          <w:left w:w="15" w:type="dxa"/>
          <w:bottom w:w="15" w:type="dxa"/>
          <w:right w:w="15" w:type="dxa"/>
        </w:tblCellMar>
        <w:tblLook w:val="04A0" w:firstRow="1" w:lastRow="0" w:firstColumn="1" w:lastColumn="0" w:noHBand="0" w:noVBand="1"/>
      </w:tblPr>
      <w:tblGrid>
        <w:gridCol w:w="37"/>
        <w:gridCol w:w="3093"/>
        <w:gridCol w:w="36"/>
        <w:gridCol w:w="120"/>
        <w:gridCol w:w="866"/>
        <w:gridCol w:w="36"/>
        <w:gridCol w:w="36"/>
        <w:gridCol w:w="36"/>
        <w:gridCol w:w="36"/>
        <w:gridCol w:w="120"/>
        <w:gridCol w:w="818"/>
        <w:gridCol w:w="36"/>
        <w:gridCol w:w="36"/>
        <w:gridCol w:w="36"/>
        <w:gridCol w:w="36"/>
        <w:gridCol w:w="120"/>
        <w:gridCol w:w="818"/>
        <w:gridCol w:w="36"/>
        <w:gridCol w:w="36"/>
        <w:gridCol w:w="36"/>
        <w:gridCol w:w="36"/>
        <w:gridCol w:w="120"/>
        <w:gridCol w:w="818"/>
        <w:gridCol w:w="36"/>
        <w:gridCol w:w="36"/>
        <w:gridCol w:w="36"/>
        <w:gridCol w:w="36"/>
        <w:gridCol w:w="36"/>
        <w:gridCol w:w="36"/>
        <w:gridCol w:w="36"/>
      </w:tblGrid>
      <w:tr w:rsidR="00000000">
        <w:trPr>
          <w:divId w:val="693506559"/>
        </w:trPr>
        <w:tc>
          <w:tcPr>
            <w:tcW w:w="50" w:type="pct"/>
            <w:vAlign w:val="center"/>
            <w:hideMark/>
          </w:tcPr>
          <w:p w:rsidR="00000000" w:rsidRDefault="000C147A">
            <w:pPr>
              <w:rPr>
                <w:rFonts w:eastAsia="Times New Roman"/>
              </w:rPr>
            </w:pPr>
          </w:p>
        </w:tc>
        <w:tc>
          <w:tcPr>
            <w:tcW w:w="21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35065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935065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693506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328.13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1,049.99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3506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Series B dividends declared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3506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751075431"/>
        <w:rPr>
          <w:rFonts w:eastAsia="Times New Roman"/>
        </w:rPr>
      </w:pPr>
      <w:r>
        <w:rPr>
          <w:rFonts w:eastAsia="Times New Roman"/>
          <w:color w:val="000000"/>
          <w:sz w:val="20"/>
          <w:szCs w:val="20"/>
          <w:u w:val="single"/>
        </w:rPr>
        <w:t>Common Stock</w:t>
      </w:r>
    </w:p>
    <w:p w:rsidR="00000000" w:rsidRDefault="000C147A">
      <w:pPr>
        <w:jc w:val="both"/>
        <w:divId w:val="2091148937"/>
        <w:rPr>
          <w:rFonts w:eastAsia="Times New Roman"/>
        </w:rPr>
      </w:pPr>
      <w:r>
        <w:rPr>
          <w:rFonts w:eastAsia="Times New Roman"/>
          <w:b/>
          <w:bCs/>
          <w:i/>
          <w:iCs/>
          <w:color w:val="000000"/>
          <w:sz w:val="20"/>
          <w:szCs w:val="20"/>
        </w:rPr>
        <w:t>Dividends to Shareholders</w:t>
      </w:r>
    </w:p>
    <w:p w:rsidR="00000000" w:rsidRDefault="000C147A">
      <w:pPr>
        <w:divId w:val="749499655"/>
        <w:rPr>
          <w:rFonts w:eastAsia="Times New Roman"/>
        </w:rPr>
      </w:pPr>
      <w:r>
        <w:rPr>
          <w:rFonts w:eastAsia="Times New Roman"/>
          <w:color w:val="000000"/>
          <w:sz w:val="20"/>
          <w:szCs w:val="20"/>
        </w:rPr>
        <w:t>Dividends declared per share of common stock were as follows for the periods indicated:</w:t>
      </w:r>
    </w:p>
    <w:tbl>
      <w:tblPr>
        <w:tblW w:w="4488" w:type="pct"/>
        <w:jc w:val="center"/>
        <w:tblCellMar>
          <w:top w:w="15" w:type="dxa"/>
          <w:left w:w="15" w:type="dxa"/>
          <w:bottom w:w="15" w:type="dxa"/>
          <w:right w:w="15" w:type="dxa"/>
        </w:tblCellMar>
        <w:tblLook w:val="04A0" w:firstRow="1" w:lastRow="0" w:firstColumn="1" w:lastColumn="0" w:noHBand="0" w:noVBand="1"/>
      </w:tblPr>
      <w:tblGrid>
        <w:gridCol w:w="37"/>
        <w:gridCol w:w="2782"/>
        <w:gridCol w:w="36"/>
        <w:gridCol w:w="120"/>
        <w:gridCol w:w="913"/>
        <w:gridCol w:w="36"/>
        <w:gridCol w:w="36"/>
        <w:gridCol w:w="36"/>
        <w:gridCol w:w="36"/>
        <w:gridCol w:w="120"/>
        <w:gridCol w:w="864"/>
        <w:gridCol w:w="36"/>
        <w:gridCol w:w="36"/>
        <w:gridCol w:w="36"/>
        <w:gridCol w:w="36"/>
        <w:gridCol w:w="120"/>
        <w:gridCol w:w="794"/>
        <w:gridCol w:w="36"/>
        <w:gridCol w:w="36"/>
        <w:gridCol w:w="36"/>
        <w:gridCol w:w="36"/>
        <w:gridCol w:w="120"/>
        <w:gridCol w:w="865"/>
        <w:gridCol w:w="36"/>
        <w:gridCol w:w="36"/>
        <w:gridCol w:w="36"/>
        <w:gridCol w:w="36"/>
        <w:gridCol w:w="36"/>
        <w:gridCol w:w="36"/>
        <w:gridCol w:w="36"/>
      </w:tblGrid>
      <w:tr w:rsidR="00000000">
        <w:trPr>
          <w:divId w:val="1924681140"/>
          <w:jc w:val="center"/>
        </w:trPr>
        <w:tc>
          <w:tcPr>
            <w:tcW w:w="50" w:type="pct"/>
            <w:vAlign w:val="center"/>
            <w:hideMark/>
          </w:tcPr>
          <w:p w:rsidR="00000000" w:rsidRDefault="000C147A">
            <w:pPr>
              <w:rPr>
                <w:rFonts w:eastAsia="Times New Roman"/>
              </w:rPr>
            </w:pPr>
          </w:p>
        </w:tc>
        <w:tc>
          <w:tcPr>
            <w:tcW w:w="19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4681140"/>
          <w:jc w:val="center"/>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924681140"/>
          <w:jc w:val="center"/>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924681140"/>
          <w:jc w:val="center"/>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Dividends declared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4681140"/>
          <w:jc w:val="center"/>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39521358"/>
        <w:rPr>
          <w:rFonts w:eastAsia="Times New Roman"/>
        </w:rPr>
      </w:pPr>
    </w:p>
    <w:p w:rsidR="00000000" w:rsidRDefault="000C147A">
      <w:pPr>
        <w:jc w:val="both"/>
        <w:divId w:val="389815512"/>
        <w:rPr>
          <w:rFonts w:eastAsia="Times New Roman"/>
        </w:rPr>
      </w:pPr>
      <w:r>
        <w:rPr>
          <w:rFonts w:eastAsia="Times New Roman"/>
          <w:b/>
          <w:bCs/>
          <w:i/>
          <w:iCs/>
          <w:color w:val="000000"/>
          <w:sz w:val="20"/>
          <w:szCs w:val="20"/>
        </w:rPr>
        <w:t>Share Repurchase</w:t>
      </w:r>
    </w:p>
    <w:p w:rsidR="00000000" w:rsidRDefault="000C147A">
      <w:pPr>
        <w:divId w:val="693045035"/>
        <w:rPr>
          <w:rFonts w:eastAsia="Times New Roman"/>
        </w:rPr>
      </w:pPr>
      <w:r>
        <w:rPr>
          <w:rFonts w:eastAsia="Times New Roman"/>
          <w:color w:val="000000"/>
          <w:sz w:val="20"/>
          <w:szCs w:val="20"/>
        </w:rPr>
        <w:t xml:space="preserve">On November 6, 2019, Holdings’ Board of Directors authorized a $400 million share repurchase program with an expiration date of December 31, 2020. On February 26, 2020, Holdings’ Board of Directors authorized an increase of $600 million to the capacity of </w:t>
      </w:r>
      <w:r>
        <w:rPr>
          <w:rFonts w:eastAsia="Times New Roman"/>
          <w:color w:val="000000"/>
          <w:sz w:val="20"/>
          <w:szCs w:val="20"/>
        </w:rPr>
        <w:t>this program as well as the extension of the term of the program until March 31, 2021. Under this program, Holdings may, from time to time through March 31, 2021, purchase up to $1.0 billion of its common stock but it is not obligated to purchase any parti</w:t>
      </w:r>
      <w:r>
        <w:rPr>
          <w:rFonts w:eastAsia="Times New Roman"/>
          <w:color w:val="000000"/>
          <w:sz w:val="20"/>
          <w:szCs w:val="20"/>
        </w:rPr>
        <w:t>cular number of shares. Repurchases may be effected in the open market, through derivative, accelerated repurchase and other negotiated transactions and through prearranged trading plans complying with Rule 10b5-1(c) under the Securities Exchange Act of 19</w:t>
      </w:r>
      <w:r>
        <w:rPr>
          <w:rFonts w:eastAsia="Times New Roman"/>
          <w:color w:val="000000"/>
          <w:sz w:val="20"/>
          <w:szCs w:val="20"/>
        </w:rPr>
        <w:t>34, as amended (the “Exchange Act”).</w:t>
      </w:r>
    </w:p>
    <w:p w:rsidR="00000000" w:rsidRDefault="000C147A">
      <w:pPr>
        <w:divId w:val="2082215365"/>
        <w:rPr>
          <w:rFonts w:eastAsia="Times New Roman"/>
        </w:rPr>
      </w:pPr>
      <w:r>
        <w:rPr>
          <w:rFonts w:eastAsia="Times New Roman"/>
          <w:color w:val="000000"/>
          <w:sz w:val="20"/>
          <w:szCs w:val="20"/>
        </w:rPr>
        <w:t>During the three and nine months ended September 30, 2020, Holdings repurchased 4.7 million and 19.7 million shares of its common stock in the open market. As of September 30, 2020, Holdings had capacity of approximatel</w:t>
      </w:r>
      <w:r>
        <w:rPr>
          <w:rFonts w:eastAsia="Times New Roman"/>
          <w:color w:val="000000"/>
          <w:sz w:val="20"/>
          <w:szCs w:val="20"/>
        </w:rPr>
        <w:t>y $270 million remaining in its stock repurchase program.</w:t>
      </w:r>
    </w:p>
    <w:p w:rsidR="00000000" w:rsidRDefault="000C147A">
      <w:pPr>
        <w:divId w:val="987781215"/>
        <w:rPr>
          <w:rFonts w:eastAsia="Times New Roman"/>
        </w:rPr>
      </w:pPr>
      <w:r>
        <w:rPr>
          <w:rFonts w:eastAsia="Times New Roman"/>
          <w:color w:val="000000"/>
          <w:sz w:val="20"/>
          <w:szCs w:val="20"/>
          <w:u w:val="single"/>
        </w:rPr>
        <w:t>Accumulated Other Comprehensive Income (Loss)</w:t>
      </w:r>
    </w:p>
    <w:p w:rsidR="00000000" w:rsidRDefault="000C147A">
      <w:pPr>
        <w:divId w:val="1665204528"/>
        <w:rPr>
          <w:rFonts w:eastAsia="Times New Roman"/>
        </w:rPr>
      </w:pPr>
      <w:r>
        <w:rPr>
          <w:rFonts w:eastAsia="Times New Roman"/>
          <w:color w:val="000000"/>
          <w:sz w:val="20"/>
          <w:szCs w:val="20"/>
        </w:rPr>
        <w:t>AOCI represents cumulative gains (losses) on items that are not reflected in Net income (loss). The balances as of September 30, 2020 and 2019 follow:</w:t>
      </w:r>
    </w:p>
    <w:tbl>
      <w:tblPr>
        <w:tblW w:w="4605" w:type="pct"/>
        <w:tblCellMar>
          <w:top w:w="15" w:type="dxa"/>
          <w:left w:w="15" w:type="dxa"/>
          <w:bottom w:w="15" w:type="dxa"/>
          <w:right w:w="15" w:type="dxa"/>
        </w:tblCellMar>
        <w:tblLook w:val="04A0" w:firstRow="1" w:lastRow="0" w:firstColumn="1" w:lastColumn="0" w:noHBand="0" w:noVBand="1"/>
      </w:tblPr>
      <w:tblGrid>
        <w:gridCol w:w="38"/>
        <w:gridCol w:w="5231"/>
        <w:gridCol w:w="37"/>
        <w:gridCol w:w="120"/>
        <w:gridCol w:w="874"/>
        <w:gridCol w:w="36"/>
        <w:gridCol w:w="36"/>
        <w:gridCol w:w="36"/>
        <w:gridCol w:w="36"/>
        <w:gridCol w:w="120"/>
        <w:gridCol w:w="834"/>
        <w:gridCol w:w="36"/>
        <w:gridCol w:w="36"/>
        <w:gridCol w:w="36"/>
        <w:gridCol w:w="36"/>
        <w:gridCol w:w="36"/>
        <w:gridCol w:w="36"/>
        <w:gridCol w:w="36"/>
      </w:tblGrid>
      <w:tr w:rsidR="00000000">
        <w:trPr>
          <w:divId w:val="1409766744"/>
        </w:trPr>
        <w:tc>
          <w:tcPr>
            <w:tcW w:w="50" w:type="pct"/>
            <w:vAlign w:val="center"/>
            <w:hideMark/>
          </w:tcPr>
          <w:p w:rsidR="00000000" w:rsidRDefault="000C147A">
            <w:pPr>
              <w:rPr>
                <w:rFonts w:eastAsia="Times New Roman"/>
              </w:rPr>
            </w:pPr>
          </w:p>
        </w:tc>
        <w:tc>
          <w:tcPr>
            <w:tcW w:w="35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0976674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0976674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5,115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2,459 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(883)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accumulated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09766744"/>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Accumulated other 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970594825"/>
        <w:rPr>
          <w:rFonts w:eastAsia="Times New Roman"/>
        </w:rPr>
      </w:pPr>
    </w:p>
    <w:p w:rsidR="00000000" w:rsidRDefault="000C147A">
      <w:pPr>
        <w:jc w:val="center"/>
        <w:divId w:val="1300383305"/>
        <w:rPr>
          <w:rFonts w:eastAsia="Times New Roman"/>
        </w:rPr>
      </w:pPr>
    </w:p>
    <w:p w:rsidR="00000000" w:rsidRDefault="000C147A">
      <w:pPr>
        <w:jc w:val="center"/>
        <w:divId w:val="1300383305"/>
        <w:rPr>
          <w:rFonts w:eastAsia="Times New Roman"/>
        </w:rPr>
      </w:pPr>
      <w:r>
        <w:rPr>
          <w:rFonts w:eastAsia="Times New Roman"/>
          <w:color w:val="000000"/>
          <w:sz w:val="20"/>
          <w:szCs w:val="20"/>
        </w:rPr>
        <w:t>56</w:t>
      </w:r>
    </w:p>
    <w:p w:rsidR="00000000" w:rsidRDefault="000C147A">
      <w:pPr>
        <w:rPr>
          <w:rFonts w:eastAsia="Times New Roman"/>
        </w:rPr>
      </w:pPr>
      <w:r>
        <w:rPr>
          <w:rFonts w:eastAsia="Times New Roman"/>
        </w:rPr>
        <w:pict>
          <v:rect id="_x0000_i1082" style="width:0;height:1.5pt" o:hralign="center" o:hrstd="t" o:hr="t" fillcolor="#a0a0a0" stroked="f"/>
        </w:pict>
      </w:r>
    </w:p>
    <w:p w:rsidR="00000000" w:rsidRDefault="000C147A">
      <w:pPr>
        <w:jc w:val="center"/>
        <w:divId w:val="2002848309"/>
        <w:rPr>
          <w:rFonts w:eastAsia="Times New Roman"/>
        </w:rPr>
      </w:pPr>
      <w:r>
        <w:rPr>
          <w:rFonts w:eastAsia="Times New Roman"/>
          <w:b/>
          <w:bCs/>
          <w:color w:val="000000"/>
          <w:sz w:val="20"/>
          <w:szCs w:val="20"/>
        </w:rPr>
        <w:t>EQUITABLE HOLDINGS, INC.</w:t>
      </w:r>
    </w:p>
    <w:p w:rsidR="00000000" w:rsidRDefault="000C147A">
      <w:pPr>
        <w:jc w:val="center"/>
        <w:divId w:val="2002848309"/>
        <w:rPr>
          <w:rFonts w:eastAsia="Times New Roman"/>
        </w:rPr>
      </w:pPr>
      <w:r>
        <w:rPr>
          <w:rFonts w:eastAsia="Times New Roman"/>
          <w:b/>
          <w:bCs/>
          <w:color w:val="000000"/>
          <w:sz w:val="20"/>
          <w:szCs w:val="20"/>
        </w:rPr>
        <w:t>Notes to Consolidated Financial Statements (Unaudited), Continued</w:t>
      </w:r>
    </w:p>
    <w:p w:rsidR="00000000" w:rsidRDefault="000C147A">
      <w:pPr>
        <w:divId w:val="721944610"/>
        <w:rPr>
          <w:rFonts w:eastAsia="Times New Roman"/>
        </w:rPr>
      </w:pPr>
      <w:r>
        <w:rPr>
          <w:rFonts w:eastAsia="Times New Roman"/>
          <w:color w:val="000000"/>
          <w:sz w:val="20"/>
          <w:szCs w:val="20"/>
        </w:rPr>
        <w:t>The components of OCI, net of taxes for the three and nine months ended September 30, 2020 and 2019 follow:</w:t>
      </w:r>
    </w:p>
    <w:tbl>
      <w:tblPr>
        <w:tblW w:w="4788" w:type="pct"/>
        <w:tblCellMar>
          <w:top w:w="15" w:type="dxa"/>
          <w:left w:w="15" w:type="dxa"/>
          <w:bottom w:w="15" w:type="dxa"/>
          <w:right w:w="15" w:type="dxa"/>
        </w:tblCellMar>
        <w:tblLook w:val="04A0" w:firstRow="1" w:lastRow="0" w:firstColumn="1" w:lastColumn="0" w:noHBand="0" w:noVBand="1"/>
      </w:tblPr>
      <w:tblGrid>
        <w:gridCol w:w="39"/>
        <w:gridCol w:w="3771"/>
        <w:gridCol w:w="38"/>
        <w:gridCol w:w="120"/>
        <w:gridCol w:w="770"/>
        <w:gridCol w:w="36"/>
        <w:gridCol w:w="36"/>
        <w:gridCol w:w="36"/>
        <w:gridCol w:w="36"/>
        <w:gridCol w:w="120"/>
        <w:gridCol w:w="723"/>
        <w:gridCol w:w="36"/>
        <w:gridCol w:w="36"/>
        <w:gridCol w:w="36"/>
        <w:gridCol w:w="36"/>
        <w:gridCol w:w="120"/>
        <w:gridCol w:w="724"/>
        <w:gridCol w:w="36"/>
        <w:gridCol w:w="36"/>
        <w:gridCol w:w="36"/>
        <w:gridCol w:w="36"/>
        <w:gridCol w:w="120"/>
        <w:gridCol w:w="725"/>
        <w:gridCol w:w="36"/>
        <w:gridCol w:w="36"/>
        <w:gridCol w:w="36"/>
        <w:gridCol w:w="36"/>
        <w:gridCol w:w="36"/>
        <w:gridCol w:w="36"/>
        <w:gridCol w:w="36"/>
      </w:tblGrid>
      <w:tr w:rsidR="00000000">
        <w:trPr>
          <w:divId w:val="1789547855"/>
        </w:trPr>
        <w:tc>
          <w:tcPr>
            <w:tcW w:w="50" w:type="pct"/>
            <w:vAlign w:val="center"/>
            <w:hideMark/>
          </w:tcPr>
          <w:p w:rsidR="00000000" w:rsidRDefault="000C147A">
            <w:pPr>
              <w:rPr>
                <w:rFonts w:eastAsia="Times New Roman"/>
              </w:rPr>
            </w:pPr>
          </w:p>
        </w:tc>
        <w:tc>
          <w:tcPr>
            <w:tcW w:w="247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divId w:val="787822856"/>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8954785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8954785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(158)</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(225)</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(153)</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unrealized gains (losses) on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(375)</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(1,177)</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(975)</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unrealized gains (losses), net of adjustments (net of deferred income tax expense (benefit) of $61, $198, $870 and $759)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defined benefit plans: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Change in defined benefit plans (net of deferred income tax expense (benefit) of $6, $7, $19 and $25)</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Foreign currency translation adjustment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8954785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comprehensive income (loss) attributable to Holdings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803427077"/>
        <w:rPr>
          <w:rFonts w:eastAsia="Times New Roman"/>
        </w:rPr>
      </w:pPr>
      <w:r>
        <w:rPr>
          <w:rFonts w:eastAsia="Times New Roman"/>
          <w:color w:val="000000"/>
          <w:sz w:val="18"/>
          <w:szCs w:val="18"/>
        </w:rPr>
        <w:t>_______________</w:t>
      </w:r>
    </w:p>
    <w:p w:rsidR="00000000" w:rsidRDefault="000C147A">
      <w:pPr>
        <w:ind w:hanging="360"/>
        <w:divId w:val="1337809782"/>
        <w:rPr>
          <w:rFonts w:eastAsia="Times New Roman"/>
        </w:rPr>
      </w:pPr>
      <w:r>
        <w:rPr>
          <w:rFonts w:eastAsia="Times New Roman"/>
          <w:color w:val="000000"/>
          <w:sz w:val="18"/>
          <w:szCs w:val="18"/>
        </w:rPr>
        <w:t xml:space="preserve">(1)See “Reclassification adjustments” </w:t>
      </w:r>
      <w:r>
        <w:rPr>
          <w:rFonts w:eastAsia="Times New Roman"/>
          <w:color w:val="000000"/>
          <w:sz w:val="18"/>
          <w:szCs w:val="18"/>
        </w:rPr>
        <w:t>in Note 3. Reclassification amounts presented net of income tax expense (benefit) of $(7) million, $(42) million, $(60) million, and $(41) million for the three and nine months ended September 30, 2020 and 2019, respectively</w:t>
      </w:r>
    </w:p>
    <w:p w:rsidR="00000000" w:rsidRDefault="000C147A">
      <w:pPr>
        <w:divId w:val="1506898195"/>
        <w:rPr>
          <w:rFonts w:eastAsia="Times New Roman"/>
        </w:rPr>
      </w:pPr>
      <w:r>
        <w:rPr>
          <w:rFonts w:eastAsia="Times New Roman"/>
          <w:color w:val="000000"/>
          <w:sz w:val="20"/>
          <w:szCs w:val="20"/>
        </w:rPr>
        <w:t>Investment gains and losses rec</w:t>
      </w:r>
      <w:r>
        <w:rPr>
          <w:rFonts w:eastAsia="Times New Roman"/>
          <w:color w:val="000000"/>
          <w:sz w:val="20"/>
          <w:szCs w:val="20"/>
        </w:rPr>
        <w:t>lassified from AOCI to Net income (loss) primarily consist of realized gains (losses) on sales and credit losses of AFS securities and are included in Total investment gains (losses), net on the consolidated statements of income (loss). Amounts reclassifie</w:t>
      </w:r>
      <w:r>
        <w:rPr>
          <w:rFonts w:eastAsia="Times New Roman"/>
          <w:color w:val="000000"/>
          <w:sz w:val="20"/>
          <w:szCs w:val="20"/>
        </w:rPr>
        <w:t>d from AOCI to Net income (loss) as related to defined benefit plans primarily consist of amortization of net (gains) losses and net prior service cost (credit) recognized as a component of net periodic cost and reported in Compensation and benefits in the</w:t>
      </w:r>
      <w:r>
        <w:rPr>
          <w:rFonts w:eastAsia="Times New Roman"/>
          <w:color w:val="000000"/>
          <w:sz w:val="20"/>
          <w:szCs w:val="20"/>
        </w:rPr>
        <w:t xml:space="preserve"> consolidated statements of income (loss). Amounts presented in the table above are net of tax.</w:t>
      </w:r>
    </w:p>
    <w:p w:rsidR="00000000" w:rsidRDefault="000C147A">
      <w:pPr>
        <w:divId w:val="186523857"/>
        <w:rPr>
          <w:rFonts w:eastAsia="Times New Roman"/>
        </w:rPr>
      </w:pPr>
      <w:r>
        <w:rPr>
          <w:rFonts w:eastAsia="Times New Roman"/>
          <w:b/>
          <w:bCs/>
          <w:color w:val="000000"/>
          <w:sz w:val="20"/>
          <w:szCs w:val="20"/>
        </w:rPr>
        <w:t xml:space="preserve">12)    REDEEMABLE NONCONTROLLING INTEREST </w:t>
      </w:r>
    </w:p>
    <w:p w:rsidR="00000000" w:rsidRDefault="000C147A">
      <w:pPr>
        <w:divId w:val="37097684"/>
        <w:rPr>
          <w:rFonts w:eastAsia="Times New Roman"/>
        </w:rPr>
      </w:pPr>
      <w:r>
        <w:rPr>
          <w:rFonts w:eastAsia="Times New Roman"/>
          <w:color w:val="000000"/>
          <w:sz w:val="20"/>
          <w:szCs w:val="20"/>
        </w:rPr>
        <w:t>The changes in the components of redeemable noncontrolling interests are presented in the table that follows:</w:t>
      </w:r>
    </w:p>
    <w:tbl>
      <w:tblPr>
        <w:tblW w:w="4612" w:type="pct"/>
        <w:tblCellMar>
          <w:top w:w="15" w:type="dxa"/>
          <w:left w:w="15" w:type="dxa"/>
          <w:bottom w:w="15" w:type="dxa"/>
          <w:right w:w="15" w:type="dxa"/>
        </w:tblCellMar>
        <w:tblLook w:val="04A0" w:firstRow="1" w:lastRow="0" w:firstColumn="1" w:lastColumn="0" w:noHBand="0" w:noVBand="1"/>
      </w:tblPr>
      <w:tblGrid>
        <w:gridCol w:w="39"/>
        <w:gridCol w:w="3099"/>
        <w:gridCol w:w="38"/>
        <w:gridCol w:w="120"/>
        <w:gridCol w:w="860"/>
        <w:gridCol w:w="36"/>
        <w:gridCol w:w="36"/>
        <w:gridCol w:w="36"/>
        <w:gridCol w:w="36"/>
        <w:gridCol w:w="120"/>
        <w:gridCol w:w="860"/>
        <w:gridCol w:w="36"/>
        <w:gridCol w:w="36"/>
        <w:gridCol w:w="36"/>
        <w:gridCol w:w="36"/>
        <w:gridCol w:w="120"/>
        <w:gridCol w:w="806"/>
        <w:gridCol w:w="36"/>
        <w:gridCol w:w="36"/>
        <w:gridCol w:w="79"/>
        <w:gridCol w:w="36"/>
        <w:gridCol w:w="120"/>
        <w:gridCol w:w="860"/>
        <w:gridCol w:w="36"/>
        <w:gridCol w:w="36"/>
        <w:gridCol w:w="36"/>
        <w:gridCol w:w="36"/>
      </w:tblGrid>
      <w:tr w:rsidR="00000000">
        <w:trPr>
          <w:divId w:val="1696617860"/>
        </w:trPr>
        <w:tc>
          <w:tcPr>
            <w:tcW w:w="50" w:type="pct"/>
            <w:vAlign w:val="center"/>
            <w:hideMark/>
          </w:tcPr>
          <w:p w:rsidR="00000000" w:rsidRDefault="000C147A">
            <w:pPr>
              <w:rPr>
                <w:rFonts w:eastAsia="Times New Roman"/>
              </w:rPr>
            </w:pPr>
          </w:p>
        </w:tc>
        <w:tc>
          <w:tcPr>
            <w:tcW w:w="21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9661786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9661786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r>
      <w:tr w:rsidR="00000000">
        <w:trPr>
          <w:divId w:val="169661786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0C147A">
            <w:pPr>
              <w:jc w:val="center"/>
              <w:rPr>
                <w:rFonts w:eastAsia="Times New Roman"/>
              </w:rPr>
            </w:pPr>
          </w:p>
        </w:tc>
      </w:tr>
      <w:tr w:rsidR="00000000">
        <w:trPr>
          <w:divId w:val="169661786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r>
      <w:tr w:rsidR="00000000">
        <w:trPr>
          <w:divId w:val="169661786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earnings (loss) attributable to redeemable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r>
      <w:tr w:rsidR="00000000">
        <w:trPr>
          <w:divId w:val="169661786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Purchase/change of redeemable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r>
      <w:tr w:rsidR="00000000">
        <w:trPr>
          <w:divId w:val="169661786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Balance,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r>
    </w:tbl>
    <w:p w:rsidR="00000000" w:rsidRDefault="000C147A">
      <w:pPr>
        <w:divId w:val="1532576208"/>
        <w:rPr>
          <w:rFonts w:eastAsia="Times New Roman"/>
        </w:rPr>
      </w:pPr>
    </w:p>
    <w:p w:rsidR="00000000" w:rsidRDefault="000C147A">
      <w:pPr>
        <w:jc w:val="center"/>
        <w:divId w:val="1427382409"/>
        <w:rPr>
          <w:rFonts w:eastAsia="Times New Roman"/>
        </w:rPr>
      </w:pPr>
    </w:p>
    <w:p w:rsidR="00000000" w:rsidRDefault="000C147A">
      <w:pPr>
        <w:jc w:val="center"/>
        <w:divId w:val="1427382409"/>
        <w:rPr>
          <w:rFonts w:eastAsia="Times New Roman"/>
        </w:rPr>
      </w:pPr>
      <w:r>
        <w:rPr>
          <w:rFonts w:eastAsia="Times New Roman"/>
          <w:color w:val="000000"/>
          <w:sz w:val="20"/>
          <w:szCs w:val="20"/>
        </w:rPr>
        <w:t>57</w:t>
      </w:r>
    </w:p>
    <w:p w:rsidR="00000000" w:rsidRDefault="000C147A">
      <w:pPr>
        <w:rPr>
          <w:rFonts w:eastAsia="Times New Roman"/>
        </w:rPr>
      </w:pPr>
      <w:r>
        <w:rPr>
          <w:rFonts w:eastAsia="Times New Roman"/>
        </w:rPr>
        <w:pict>
          <v:rect id="_x0000_i1083" style="width:0;height:1.5pt" o:hralign="center" o:hrstd="t" o:hr="t" fillcolor="#a0a0a0" stroked="f"/>
        </w:pict>
      </w:r>
    </w:p>
    <w:p w:rsidR="00000000" w:rsidRDefault="000C147A">
      <w:pPr>
        <w:jc w:val="center"/>
        <w:divId w:val="1037002116"/>
        <w:rPr>
          <w:rFonts w:eastAsia="Times New Roman"/>
        </w:rPr>
      </w:pPr>
      <w:r>
        <w:rPr>
          <w:rFonts w:eastAsia="Times New Roman"/>
          <w:b/>
          <w:bCs/>
          <w:color w:val="000000"/>
          <w:sz w:val="20"/>
          <w:szCs w:val="20"/>
        </w:rPr>
        <w:t>EQUITABLE HOLDINGS, INC.</w:t>
      </w:r>
    </w:p>
    <w:p w:rsidR="00000000" w:rsidRDefault="000C147A">
      <w:pPr>
        <w:jc w:val="center"/>
        <w:divId w:val="1037002116"/>
        <w:rPr>
          <w:rFonts w:eastAsia="Times New Roman"/>
        </w:rPr>
      </w:pPr>
      <w:r>
        <w:rPr>
          <w:rFonts w:eastAsia="Times New Roman"/>
          <w:b/>
          <w:bCs/>
          <w:color w:val="000000"/>
          <w:sz w:val="20"/>
          <w:szCs w:val="20"/>
        </w:rPr>
        <w:t>Notes to Consolidated Financial Statements (Unaudited), Continued</w:t>
      </w:r>
    </w:p>
    <w:p w:rsidR="00000000" w:rsidRDefault="000C147A">
      <w:pPr>
        <w:divId w:val="466751672"/>
        <w:rPr>
          <w:rFonts w:eastAsia="Times New Roman"/>
        </w:rPr>
      </w:pPr>
      <w:r>
        <w:rPr>
          <w:rFonts w:eastAsia="Times New Roman"/>
          <w:b/>
          <w:bCs/>
          <w:color w:val="000000"/>
          <w:sz w:val="20"/>
          <w:szCs w:val="20"/>
        </w:rPr>
        <w:t>13)    COMMITMENTS AND CONTINGENT LIABILITIES</w:t>
      </w:r>
    </w:p>
    <w:p w:rsidR="00000000" w:rsidRDefault="000C147A">
      <w:pPr>
        <w:divId w:val="1909148178"/>
        <w:rPr>
          <w:rFonts w:eastAsia="Times New Roman"/>
        </w:rPr>
      </w:pPr>
      <w:r>
        <w:rPr>
          <w:rFonts w:eastAsia="Times New Roman"/>
          <w:color w:val="000000"/>
          <w:sz w:val="20"/>
          <w:szCs w:val="20"/>
          <w:u w:val="single"/>
        </w:rPr>
        <w:t>Litigation</w:t>
      </w:r>
    </w:p>
    <w:p w:rsidR="00000000" w:rsidRDefault="000C147A">
      <w:pPr>
        <w:divId w:val="753086188"/>
        <w:rPr>
          <w:rFonts w:eastAsia="Times New Roman"/>
        </w:rPr>
      </w:pPr>
      <w:r>
        <w:rPr>
          <w:rFonts w:eastAsia="Times New Roman"/>
          <w:color w:val="000000"/>
          <w:sz w:val="20"/>
          <w:szCs w:val="20"/>
        </w:rPr>
        <w:t>Litigati</w:t>
      </w:r>
      <w:r>
        <w:rPr>
          <w:rFonts w:eastAsia="Times New Roman"/>
          <w:color w:val="000000"/>
          <w:sz w:val="20"/>
          <w:szCs w:val="20"/>
        </w:rPr>
        <w:t>on, regulatory and other loss contingencies arise in the ordinary course of the Company’s activities as a diversified financial services firm. The Company is a defendant in a number of litigation matters arising from the conduct of its business. In some of</w:t>
      </w:r>
      <w:r>
        <w:rPr>
          <w:rFonts w:eastAsia="Times New Roman"/>
          <w:color w:val="000000"/>
          <w:sz w:val="20"/>
          <w:szCs w:val="20"/>
        </w:rPr>
        <w:t xml:space="preserve"> these matters, claimants seek to recover very large or indeterminate amounts, including compensatory, punitive, treble and exemplary damages. Modern pleading practice permits considerable variation in the assertion of monetary damages and other relief. Cl</w:t>
      </w:r>
      <w:r>
        <w:rPr>
          <w:rFonts w:eastAsia="Times New Roman"/>
          <w:color w:val="000000"/>
          <w:sz w:val="20"/>
          <w:szCs w:val="20"/>
        </w:rPr>
        <w:t>aimants are not always required to specify the monetary damages they seek, or they may be required only to state an amount sufficient to meet a court’s jurisdictional requirements. Moreover, some jurisdictions allow claimants to allege monetary damages tha</w:t>
      </w:r>
      <w:r>
        <w:rPr>
          <w:rFonts w:eastAsia="Times New Roman"/>
          <w:color w:val="000000"/>
          <w:sz w:val="20"/>
          <w:szCs w:val="20"/>
        </w:rPr>
        <w:t>t far exceed any reasonably possible verdict. The variability in pleading requirements and past experience demonstrates that the monetary and other relief that may be requested in a lawsuit or claim often bears little relevance to the merits or potential v</w:t>
      </w:r>
      <w:r>
        <w:rPr>
          <w:rFonts w:eastAsia="Times New Roman"/>
          <w:color w:val="000000"/>
          <w:sz w:val="20"/>
          <w:szCs w:val="20"/>
        </w:rPr>
        <w:t>alue of a claim. Litigation against the Company includes a variety of claims including, among other things, insurers’ sales practices, alleged agent misconduct, alleged failure to properly supervise agents, contract administration, product design, features</w:t>
      </w:r>
      <w:r>
        <w:rPr>
          <w:rFonts w:eastAsia="Times New Roman"/>
          <w:color w:val="000000"/>
          <w:sz w:val="20"/>
          <w:szCs w:val="20"/>
        </w:rPr>
        <w:t xml:space="preserve"> and accompanying disclosure, cost of insurance increases, payments of death benefits and the reporting and escheatment of unclaimed property, alleged breach of fiduciary duties, alleged mismanagement of client funds and other matters.</w:t>
      </w:r>
    </w:p>
    <w:p w:rsidR="00000000" w:rsidRDefault="000C147A">
      <w:pPr>
        <w:divId w:val="384990272"/>
        <w:rPr>
          <w:rFonts w:eastAsia="Times New Roman"/>
        </w:rPr>
      </w:pPr>
      <w:r>
        <w:rPr>
          <w:rFonts w:eastAsia="Times New Roman"/>
          <w:color w:val="000000"/>
          <w:sz w:val="20"/>
          <w:szCs w:val="20"/>
        </w:rPr>
        <w:t>As with other financ</w:t>
      </w:r>
      <w:r>
        <w:rPr>
          <w:rFonts w:eastAsia="Times New Roman"/>
          <w:color w:val="000000"/>
          <w:sz w:val="20"/>
          <w:szCs w:val="20"/>
        </w:rPr>
        <w:t>ial services companies, the Company periodically receives informal and formal requests for information from various state and federal governmental agencies and self-regulatory organizations in connection with inquiries and investigations of the products an</w:t>
      </w:r>
      <w:r>
        <w:rPr>
          <w:rFonts w:eastAsia="Times New Roman"/>
          <w:color w:val="000000"/>
          <w:sz w:val="20"/>
          <w:szCs w:val="20"/>
        </w:rPr>
        <w:t>d practices of the Company or the financial services industry. It is the practice of the Company to cooperate fully in these matters.</w:t>
      </w:r>
    </w:p>
    <w:p w:rsidR="00000000" w:rsidRDefault="000C147A">
      <w:pPr>
        <w:divId w:val="1659573858"/>
        <w:rPr>
          <w:rFonts w:eastAsia="Times New Roman"/>
        </w:rPr>
      </w:pPr>
      <w:r>
        <w:rPr>
          <w:rFonts w:eastAsia="Times New Roman"/>
          <w:color w:val="000000"/>
          <w:sz w:val="20"/>
          <w:szCs w:val="20"/>
        </w:rPr>
        <w:t>The outcome of a litigation or regulatory matter is difficult to predict, and the amount or range of potential losses asso</w:t>
      </w:r>
      <w:r>
        <w:rPr>
          <w:rFonts w:eastAsia="Times New Roman"/>
          <w:color w:val="000000"/>
          <w:sz w:val="20"/>
          <w:szCs w:val="20"/>
        </w:rPr>
        <w:t>ciated with these or other loss contingencies requires significant management judgment. It is not possible to predict the ultimate outcome or to provide reasonably possible losses or ranges of losses for all pending regulatory matters, litigation and other</w:t>
      </w:r>
      <w:r>
        <w:rPr>
          <w:rFonts w:eastAsia="Times New Roman"/>
          <w:color w:val="000000"/>
          <w:sz w:val="20"/>
          <w:szCs w:val="20"/>
        </w:rPr>
        <w:t xml:space="preserve"> loss contingencies. While it is possible that an adverse outcome in certain cases could have a material adverse effect upon the Company’s financial position, based on information currently known, management believes that neither the outcome of pending lit</w:t>
      </w:r>
      <w:r>
        <w:rPr>
          <w:rFonts w:eastAsia="Times New Roman"/>
          <w:color w:val="000000"/>
          <w:sz w:val="20"/>
          <w:szCs w:val="20"/>
        </w:rPr>
        <w:t xml:space="preserve">igation and regulatory matters, nor potential liabilities associated with other loss contingencies, are likely to have such an effect. However, given the large and indeterminate amounts sought in certain litigation and the inherent unpredictability of all </w:t>
      </w:r>
      <w:r>
        <w:rPr>
          <w:rFonts w:eastAsia="Times New Roman"/>
          <w:color w:val="000000"/>
          <w:sz w:val="20"/>
          <w:szCs w:val="20"/>
        </w:rPr>
        <w:t>such matters, it is possible that an adverse outcome in certain of the Company’s litigation or regulatory matters, or liabilities arising from other loss contingencies, could, from time to time, have a material adverse effect upon the Company’s results of </w:t>
      </w:r>
      <w:r>
        <w:rPr>
          <w:rFonts w:eastAsia="Times New Roman"/>
          <w:color w:val="000000"/>
          <w:sz w:val="20"/>
          <w:szCs w:val="20"/>
        </w:rPr>
        <w:t>operations or cash flows in a particular quarterly or annual period.</w:t>
      </w:r>
    </w:p>
    <w:p w:rsidR="00000000" w:rsidRDefault="000C147A">
      <w:pPr>
        <w:divId w:val="1215776626"/>
        <w:rPr>
          <w:rFonts w:eastAsia="Times New Roman"/>
        </w:rPr>
      </w:pPr>
      <w:r>
        <w:rPr>
          <w:rFonts w:eastAsia="Times New Roman"/>
          <w:color w:val="000000"/>
          <w:sz w:val="20"/>
          <w:szCs w:val="20"/>
        </w:rPr>
        <w:t xml:space="preserve">For some matters, the Company is able to estimate a possible range of loss. For such matters in which a loss is probable, an accrual has been made. For matters where the Company believes </w:t>
      </w:r>
      <w:r>
        <w:rPr>
          <w:rFonts w:eastAsia="Times New Roman"/>
          <w:color w:val="000000"/>
          <w:sz w:val="20"/>
          <w:szCs w:val="20"/>
        </w:rPr>
        <w:t>a loss is reasonably possible, but not probable, no accrual is required. For matters for which an accrual has been made, but there remains a reasonably possible range of loss in excess of the amounts accrued or for matters where no accrual is required, the</w:t>
      </w:r>
      <w:r>
        <w:rPr>
          <w:rFonts w:eastAsia="Times New Roman"/>
          <w:color w:val="000000"/>
          <w:sz w:val="20"/>
          <w:szCs w:val="20"/>
        </w:rPr>
        <w:t xml:space="preserve"> Company develops an estimate of the unaccrued amounts of the reasonably possible range of losses. As of September 30, 2020, the Company estimates the aggregate range of reasonably possible losses, in excess of any amounts accrued for these matters as of s</w:t>
      </w:r>
      <w:r>
        <w:rPr>
          <w:rFonts w:eastAsia="Times New Roman"/>
          <w:color w:val="000000"/>
          <w:sz w:val="20"/>
          <w:szCs w:val="20"/>
        </w:rPr>
        <w:t>uch date, to be up to approximately $100 million.</w:t>
      </w:r>
    </w:p>
    <w:p w:rsidR="00000000" w:rsidRDefault="000C147A">
      <w:pPr>
        <w:divId w:val="61414289"/>
        <w:rPr>
          <w:rFonts w:eastAsia="Times New Roman"/>
        </w:rPr>
      </w:pPr>
      <w:r>
        <w:rPr>
          <w:rFonts w:eastAsia="Times New Roman"/>
          <w:color w:val="000000"/>
          <w:sz w:val="20"/>
          <w:szCs w:val="20"/>
        </w:rPr>
        <w:t xml:space="preserve">For other matters, the Company is currently not able to estimate the reasonably possible loss or range of loss. The Company is often unable to estimate the possible loss or range of loss until developments </w:t>
      </w:r>
      <w:r>
        <w:rPr>
          <w:rFonts w:eastAsia="Times New Roman"/>
          <w:color w:val="000000"/>
          <w:sz w:val="20"/>
          <w:szCs w:val="20"/>
        </w:rPr>
        <w:t>in such matters have provided sufficient information to support an assessment of the range of possible loss, such as quantification of a damage demand from plaintiffs, discovery from plaintiffs and other parties, investigation of factual allegations, rulin</w:t>
      </w:r>
      <w:r>
        <w:rPr>
          <w:rFonts w:eastAsia="Times New Roman"/>
          <w:color w:val="000000"/>
          <w:sz w:val="20"/>
          <w:szCs w:val="20"/>
        </w:rPr>
        <w:t>gs by a court on motions or appeals, analysis by experts and the progress of settlement discussions. On a quarterly and annual basis, the Company reviews relevant information with respect to litigation and regulatory contingencies and updates the Company’s</w:t>
      </w:r>
      <w:r>
        <w:rPr>
          <w:rFonts w:eastAsia="Times New Roman"/>
          <w:color w:val="000000"/>
          <w:sz w:val="20"/>
          <w:szCs w:val="20"/>
        </w:rPr>
        <w:t xml:space="preserve"> accruals, disclosures and reasonably possible losses or ranges of loss based on such reviews.</w:t>
      </w:r>
    </w:p>
    <w:p w:rsidR="00000000" w:rsidRDefault="000C147A">
      <w:pPr>
        <w:divId w:val="683362919"/>
        <w:rPr>
          <w:rFonts w:eastAsia="Times New Roman"/>
        </w:rPr>
      </w:pPr>
      <w:r>
        <w:rPr>
          <w:rFonts w:eastAsia="Times New Roman"/>
          <w:color w:val="000000"/>
          <w:sz w:val="20"/>
          <w:szCs w:val="20"/>
        </w:rPr>
        <w:t>In August 2015, a lawsuit was filed in Connecticut Superior Court, Judicial Division of New Haven entitled Richard T. O’Donnell, on behalf of himself and all others similarly situated v. AXA Equitable Life Insurance Company. This lawsuit is a putative clas</w:t>
      </w:r>
      <w:r>
        <w:rPr>
          <w:rFonts w:eastAsia="Times New Roman"/>
          <w:color w:val="000000"/>
          <w:sz w:val="20"/>
          <w:szCs w:val="20"/>
        </w:rPr>
        <w:t>s action on behalf of all persons who purchased variable annuities from Equitable Financial, which were subsequently subjected to the volatility management strategy and who suffered injury as a result thereof. Plaintiff asserts a claim for breach of contra</w:t>
      </w:r>
      <w:r>
        <w:rPr>
          <w:rFonts w:eastAsia="Times New Roman"/>
          <w:color w:val="000000"/>
          <w:sz w:val="20"/>
          <w:szCs w:val="20"/>
        </w:rPr>
        <w:t>ct alleging that Equitable Financial implemented the volatility management strategy in violation of applicable law. Plaintiff seeks an award of damages individually and on a classwide basis, and costs and disbursements, including attorneys’ fees, expert wi</w:t>
      </w:r>
      <w:r>
        <w:rPr>
          <w:rFonts w:eastAsia="Times New Roman"/>
          <w:color w:val="000000"/>
          <w:sz w:val="20"/>
          <w:szCs w:val="20"/>
        </w:rPr>
        <w:t xml:space="preserve">tness fees and other costs. In November 2015, the Connecticut Federal District Court transferred this action to the United States District Court for the Southern District </w:t>
      </w:r>
    </w:p>
    <w:p w:rsidR="00000000" w:rsidRDefault="000C147A">
      <w:pPr>
        <w:jc w:val="center"/>
        <w:divId w:val="2038001877"/>
        <w:rPr>
          <w:rFonts w:eastAsia="Times New Roman"/>
        </w:rPr>
      </w:pPr>
      <w:r>
        <w:rPr>
          <w:rFonts w:eastAsia="Times New Roman"/>
          <w:color w:val="000000"/>
          <w:sz w:val="20"/>
          <w:szCs w:val="20"/>
        </w:rPr>
        <w:t>58</w:t>
      </w:r>
    </w:p>
    <w:p w:rsidR="00000000" w:rsidRDefault="000C147A">
      <w:pPr>
        <w:rPr>
          <w:rFonts w:eastAsia="Times New Roman"/>
        </w:rPr>
      </w:pPr>
      <w:r>
        <w:rPr>
          <w:rFonts w:eastAsia="Times New Roman"/>
        </w:rPr>
        <w:pict>
          <v:rect id="_x0000_i1084" style="width:0;height:1.5pt" o:hralign="center" o:hrstd="t" o:hr="t" fillcolor="#a0a0a0" stroked="f"/>
        </w:pict>
      </w:r>
    </w:p>
    <w:p w:rsidR="00000000" w:rsidRDefault="000C147A">
      <w:pPr>
        <w:jc w:val="center"/>
        <w:divId w:val="1384135817"/>
        <w:rPr>
          <w:rFonts w:eastAsia="Times New Roman"/>
        </w:rPr>
      </w:pPr>
      <w:r>
        <w:rPr>
          <w:rFonts w:eastAsia="Times New Roman"/>
          <w:b/>
          <w:bCs/>
          <w:color w:val="000000"/>
          <w:sz w:val="20"/>
          <w:szCs w:val="20"/>
        </w:rPr>
        <w:t>EQUITABLE HOLDINGS, INC.</w:t>
      </w:r>
    </w:p>
    <w:p w:rsidR="00000000" w:rsidRDefault="000C147A">
      <w:pPr>
        <w:jc w:val="center"/>
        <w:divId w:val="1384135817"/>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 (Unaudited), Continued</w:t>
      </w:r>
    </w:p>
    <w:p w:rsidR="00000000" w:rsidRDefault="000C147A">
      <w:pPr>
        <w:divId w:val="1856114845"/>
        <w:rPr>
          <w:rFonts w:eastAsia="Times New Roman"/>
        </w:rPr>
      </w:pPr>
      <w:r>
        <w:rPr>
          <w:rFonts w:eastAsia="Times New Roman"/>
          <w:color w:val="000000"/>
          <w:sz w:val="20"/>
          <w:szCs w:val="20"/>
        </w:rPr>
        <w:t>of New York. In March 2017, the Southern District of New York granted Equitable Financial’</w:t>
      </w:r>
      <w:r>
        <w:rPr>
          <w:rFonts w:eastAsia="Times New Roman"/>
          <w:color w:val="000000"/>
          <w:sz w:val="20"/>
          <w:szCs w:val="20"/>
        </w:rPr>
        <w:t>s motion to dismiss the complaint. In April 2017, the plaintiff filed a notice of appeal. In April 2018, the United States Court of Appeals for the Second Circuit reversed the trial court’s decision with instructions to remand the case to Connecticut state</w:t>
      </w:r>
      <w:r>
        <w:rPr>
          <w:rFonts w:eastAsia="Times New Roman"/>
          <w:color w:val="000000"/>
          <w:sz w:val="20"/>
          <w:szCs w:val="20"/>
        </w:rPr>
        <w:t xml:space="preserve"> court. In September 2018, the Second Circuit issued its mandate, following Equitable Financial’s notification to the court that it would not file a petition for writ of certiorari. The case was transferred in December 2018 to the Connecticut Superior Cour</w:t>
      </w:r>
      <w:r>
        <w:rPr>
          <w:rFonts w:eastAsia="Times New Roman"/>
          <w:color w:val="000000"/>
          <w:sz w:val="20"/>
          <w:szCs w:val="20"/>
        </w:rPr>
        <w:t>t, Judicial District of Stamford. In December 2018, Equitable Financial sought dismissal of the complaint by filing a motion to strike, which the court granted in August 2019. Plaintiff filed an Amended Class Action Complaint in September 2019. Equitable F</w:t>
      </w:r>
      <w:r>
        <w:rPr>
          <w:rFonts w:eastAsia="Times New Roman"/>
          <w:color w:val="000000"/>
          <w:sz w:val="20"/>
          <w:szCs w:val="20"/>
        </w:rPr>
        <w:t>inancial filed a motion for entry of judgment in October 2019. On August 3, 2020, the court granted Equitable Financial’s motion for entry of judgment. In August 2020, Plaintiff filed a notice of appeal. We are vigorously defending this matter.</w:t>
      </w:r>
    </w:p>
    <w:p w:rsidR="00000000" w:rsidRDefault="000C147A">
      <w:pPr>
        <w:divId w:val="1614243277"/>
        <w:rPr>
          <w:rFonts w:eastAsia="Times New Roman"/>
        </w:rPr>
      </w:pPr>
      <w:r>
        <w:rPr>
          <w:rFonts w:eastAsia="Times New Roman"/>
          <w:color w:val="000000"/>
          <w:sz w:val="20"/>
          <w:szCs w:val="20"/>
        </w:rPr>
        <w:t>In February</w:t>
      </w:r>
      <w:r>
        <w:rPr>
          <w:rFonts w:eastAsia="Times New Roman"/>
          <w:color w:val="000000"/>
          <w:sz w:val="20"/>
          <w:szCs w:val="20"/>
        </w:rPr>
        <w:t xml:space="preserve"> 2016, a lawsuit was filed in the United States District Court for the Southern District of New York entitled Brach Family Foundation, Inc. v. AXA Equitable Life Insurance Company. This lawsuit is a putative class action brought on behalf of all owners of </w:t>
      </w:r>
      <w:r>
        <w:rPr>
          <w:rFonts w:eastAsia="Times New Roman"/>
          <w:color w:val="000000"/>
          <w:sz w:val="20"/>
          <w:szCs w:val="20"/>
        </w:rPr>
        <w:t>universal life (“UL”) policies subject to Equitable Financial’s COI rate increase. In early 2016, Equitable Financial raised COI rates for certain UL policies issued between 2004 and 2007, which had both issue ages 70 and above and a current face value amo</w:t>
      </w:r>
      <w:r>
        <w:rPr>
          <w:rFonts w:eastAsia="Times New Roman"/>
          <w:color w:val="000000"/>
          <w:sz w:val="20"/>
          <w:szCs w:val="20"/>
        </w:rPr>
        <w:t>unt of $1 million and above. A second putative class action was filed in Arizona in 2017 and consolidated with the Brach matter. The current consolidated amended class action complaint alleges the following claims: breach of contract; misrepresentations by</w:t>
      </w:r>
      <w:r>
        <w:rPr>
          <w:rFonts w:eastAsia="Times New Roman"/>
          <w:color w:val="000000"/>
          <w:sz w:val="20"/>
          <w:szCs w:val="20"/>
        </w:rPr>
        <w:t xml:space="preserve"> Equitable Financial in violation of Section 4226 of the New York Insurance Law; violations of New York General Business Law Section 349; and violations of the California Unfair Competition Law, and the California Elder Abuse Statute. Plaintiffs seek: (a) </w:t>
      </w:r>
      <w:r>
        <w:rPr>
          <w:rFonts w:eastAsia="Times New Roman"/>
          <w:color w:val="000000"/>
          <w:sz w:val="20"/>
          <w:szCs w:val="20"/>
        </w:rPr>
        <w:t xml:space="preserve">compensatory damages, costs, and, pre- and post-judgment interest; (b) with respect to their claim concerning Section 4226, a penalty in the amount of premiums paid by the plaintiffs and the putative class; and (c) injunctive relief and attorneys’ fees in </w:t>
      </w:r>
      <w:r>
        <w:rPr>
          <w:rFonts w:eastAsia="Times New Roman"/>
          <w:color w:val="000000"/>
          <w:sz w:val="20"/>
          <w:szCs w:val="20"/>
        </w:rPr>
        <w:t>connection with their statutory claims. In August 2020, the federal district court issued a decision granting in part Brach Plaintiffs’ motion for class certification. The court certified nationwide breach of contract and Section 4226 classes, and a New Yo</w:t>
      </w:r>
      <w:r>
        <w:rPr>
          <w:rFonts w:eastAsia="Times New Roman"/>
          <w:color w:val="000000"/>
          <w:sz w:val="20"/>
          <w:szCs w:val="20"/>
        </w:rPr>
        <w:t>rk State Section 349 class, and class notice has gone out. Equitable Financial filed a petition seeking permission to appeal the decision to certify the Section 4226 class and New York State Section 349 class. Five other federal actions challenging the COI</w:t>
      </w:r>
      <w:r>
        <w:rPr>
          <w:rFonts w:eastAsia="Times New Roman"/>
          <w:color w:val="000000"/>
          <w:sz w:val="20"/>
          <w:szCs w:val="20"/>
        </w:rPr>
        <w:t xml:space="preserve"> rate increase are also pending against Equitable Financial and have been coordinated with the Brach action for the purposes of pre-trial activities. They contain allegations similar to those in the Brach action as well as additional allegations for violat</w:t>
      </w:r>
      <w:r>
        <w:rPr>
          <w:rFonts w:eastAsia="Times New Roman"/>
          <w:color w:val="000000"/>
          <w:sz w:val="20"/>
          <w:szCs w:val="20"/>
        </w:rPr>
        <w:t>ions of various states’ consumer protection statutes and common law fraud. Three actions are also pending against Equitable Financial in New York state court. Equitable Financial is vigorously defending each of these matters.</w:t>
      </w:r>
    </w:p>
    <w:p w:rsidR="00000000" w:rsidRDefault="000C147A">
      <w:pPr>
        <w:divId w:val="254286605"/>
        <w:rPr>
          <w:rFonts w:eastAsia="Times New Roman"/>
        </w:rPr>
      </w:pPr>
      <w:r>
        <w:rPr>
          <w:rFonts w:eastAsia="Times New Roman"/>
          <w:color w:val="000000"/>
          <w:sz w:val="20"/>
          <w:szCs w:val="20"/>
          <w:u w:val="single"/>
        </w:rPr>
        <w:t>Pre-Capitalized Trust Securiti</w:t>
      </w:r>
      <w:r>
        <w:rPr>
          <w:rFonts w:eastAsia="Times New Roman"/>
          <w:color w:val="000000"/>
          <w:sz w:val="20"/>
          <w:szCs w:val="20"/>
          <w:u w:val="single"/>
        </w:rPr>
        <w:t>es (“P-Caps”)</w:t>
      </w:r>
    </w:p>
    <w:p w:rsidR="00000000" w:rsidRDefault="000C147A">
      <w:pPr>
        <w:divId w:val="1429428686"/>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Trust I, a Delaware statutory trus</w:t>
      </w:r>
      <w:r>
        <w:rPr>
          <w:rFonts w:eastAsia="Times New Roman"/>
          <w:color w:val="000000"/>
          <w:sz w:val="20"/>
          <w:szCs w:val="20"/>
        </w:rPr>
        <w:t>t (the “2029 Trust”), completed the issuance and sale of 600,000 of its Pre-Capitalized Trust Securities redeemable February 15, 2029 (the “2029 P-Caps”) for an aggregate purchase price of $600 million and Pine Street Trust II, a Delaware statutory trust (</w:t>
      </w:r>
      <w:r>
        <w:rPr>
          <w:rFonts w:eastAsia="Times New Roman"/>
          <w:color w:val="000000"/>
          <w:sz w:val="20"/>
          <w:szCs w:val="20"/>
        </w:rPr>
        <w:t>the “2049 Trust” and, together with the 2029 Trust, the “Trusts”), completed the issuance and sale of 400,000 of its Pre-Capitalized Trust Securities redeemable February 15, 2049 (the “2049 P-Caps” and, together with the 2029 P-Caps, the “P-Caps”) for an a</w:t>
      </w:r>
      <w:r>
        <w:rPr>
          <w:rFonts w:eastAsia="Times New Roman"/>
          <w:color w:val="000000"/>
          <w:sz w:val="20"/>
          <w:szCs w:val="20"/>
        </w:rPr>
        <w:t xml:space="preserve">ggregate purchase price of $400 million in each case to qualified institutional buyers in reliance on Rule 144A that are also “qualified purchasers” for purposes of Section 3(c)(7) of the Investment Company Act of 1940, as amended. </w:t>
      </w:r>
    </w:p>
    <w:p w:rsidR="00000000" w:rsidRDefault="000C147A">
      <w:pPr>
        <w:divId w:val="1640766527"/>
        <w:rPr>
          <w:rFonts w:eastAsia="Times New Roman"/>
        </w:rPr>
      </w:pPr>
      <w:r>
        <w:rPr>
          <w:rFonts w:eastAsia="Times New Roman"/>
          <w:color w:val="000000"/>
          <w:sz w:val="20"/>
          <w:szCs w:val="20"/>
        </w:rPr>
        <w:t>The P-Caps are an off-b</w:t>
      </w:r>
      <w:r>
        <w:rPr>
          <w:rFonts w:eastAsia="Times New Roman"/>
          <w:color w:val="000000"/>
          <w:sz w:val="20"/>
          <w:szCs w:val="20"/>
        </w:rPr>
        <w:t>alance sheet contingent funding arrangement that, upon Holdings’ election, gives Holdings the right over a</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-year period (in the case of the 2029 Trust) or over a</w:t>
      </w:r>
      <w:r>
        <w:rPr>
          <w:rFonts w:eastAsia="Times New Roman"/>
          <w:color w:val="000000"/>
          <w:sz w:val="20"/>
          <w:szCs w:val="20"/>
        </w:rPr>
        <w:t xml:space="preserve"> </w:t>
      </w:r>
      <w:r>
        <w:rPr>
          <w:rFonts w:eastAsia="Times New Roman"/>
          <w:color w:val="000000"/>
          <w:sz w:val="20"/>
          <w:szCs w:val="20"/>
        </w:rPr>
        <w:t>thirt</w:t>
      </w:r>
      <w:r>
        <w:rPr>
          <w:rFonts w:eastAsia="Times New Roman"/>
          <w:color w:val="000000"/>
          <w:sz w:val="20"/>
          <w:szCs w:val="20"/>
        </w:rPr>
        <w:t>y</w:t>
      </w:r>
      <w:r>
        <w:rPr>
          <w:rFonts w:eastAsia="Times New Roman"/>
          <w:color w:val="000000"/>
          <w:sz w:val="20"/>
          <w:szCs w:val="20"/>
        </w:rPr>
        <w:t>-year period (in the case of the 2049 Trust) to issue senior notes to the Trusts. The</w:t>
      </w:r>
      <w:r>
        <w:rPr>
          <w:rFonts w:eastAsia="Times New Roman"/>
          <w:color w:val="000000"/>
          <w:sz w:val="20"/>
          <w:szCs w:val="20"/>
        </w:rPr>
        <w:t xml:space="preserve"> Trusts each invested the proceeds from the sale of their P-Caps in separate portfolios of principal and/or interest strips of U.S. Treasury securities. In return, Holdings will pay a semi-annual facility fee to the 2029 Trust and 2049 Trust calculated at </w:t>
      </w:r>
      <w:r>
        <w:rPr>
          <w:rFonts w:eastAsia="Times New Roman"/>
          <w:color w:val="000000"/>
          <w:sz w:val="20"/>
          <w:szCs w:val="20"/>
        </w:rPr>
        <w:t>a rate of 2.125% and 2.715% per annum, respectively, which will be applied to the unexercised portion of the contingent funding arrangement and Holdings will reimburse the Trusts for certain expenses. The facility fees are recorded in Other operating costs</w:t>
      </w:r>
      <w:r>
        <w:rPr>
          <w:rFonts w:eastAsia="Times New Roman"/>
          <w:color w:val="000000"/>
          <w:sz w:val="20"/>
          <w:szCs w:val="20"/>
        </w:rPr>
        <w:t xml:space="preserve"> and expenses in the Consolidated Statements of Income (Loss).</w:t>
      </w:r>
    </w:p>
    <w:p w:rsidR="00000000" w:rsidRDefault="000C147A">
      <w:pPr>
        <w:jc w:val="center"/>
        <w:divId w:val="498355125"/>
        <w:rPr>
          <w:rFonts w:eastAsia="Times New Roman"/>
        </w:rPr>
      </w:pPr>
      <w:r>
        <w:rPr>
          <w:rFonts w:eastAsia="Times New Roman"/>
          <w:color w:val="000000"/>
          <w:sz w:val="20"/>
          <w:szCs w:val="20"/>
        </w:rPr>
        <w:t>59</w:t>
      </w:r>
    </w:p>
    <w:p w:rsidR="00000000" w:rsidRDefault="000C147A">
      <w:pPr>
        <w:rPr>
          <w:rFonts w:eastAsia="Times New Roman"/>
        </w:rPr>
      </w:pPr>
      <w:r>
        <w:rPr>
          <w:rFonts w:eastAsia="Times New Roman"/>
        </w:rPr>
        <w:pict>
          <v:rect id="_x0000_i1085" style="width:0;height:1.5pt" o:hralign="center" o:hrstd="t" o:hr="t" fillcolor="#a0a0a0" stroked="f"/>
        </w:pict>
      </w:r>
    </w:p>
    <w:p w:rsidR="00000000" w:rsidRDefault="000C147A">
      <w:pPr>
        <w:jc w:val="center"/>
        <w:divId w:val="1891529483"/>
        <w:rPr>
          <w:rFonts w:eastAsia="Times New Roman"/>
        </w:rPr>
      </w:pPr>
      <w:r>
        <w:rPr>
          <w:rFonts w:eastAsia="Times New Roman"/>
          <w:b/>
          <w:bCs/>
          <w:color w:val="000000"/>
          <w:sz w:val="20"/>
          <w:szCs w:val="20"/>
        </w:rPr>
        <w:t>EQUITABLE HOLDINGS, INC.</w:t>
      </w:r>
    </w:p>
    <w:p w:rsidR="00000000" w:rsidRDefault="000C147A">
      <w:pPr>
        <w:jc w:val="center"/>
        <w:divId w:val="1891529483"/>
        <w:rPr>
          <w:rFonts w:eastAsia="Times New Roman"/>
        </w:rPr>
      </w:pPr>
      <w:r>
        <w:rPr>
          <w:rFonts w:eastAsia="Times New Roman"/>
          <w:b/>
          <w:bCs/>
          <w:color w:val="000000"/>
          <w:sz w:val="20"/>
          <w:szCs w:val="20"/>
        </w:rPr>
        <w:t>Notes to Consolidated Financial Statements (Unaudited), Continued</w:t>
      </w:r>
    </w:p>
    <w:p w:rsidR="00000000" w:rsidRDefault="000C147A">
      <w:pPr>
        <w:divId w:val="392123971"/>
        <w:rPr>
          <w:rFonts w:eastAsia="Times New Roman"/>
        </w:rPr>
      </w:pPr>
      <w:r>
        <w:rPr>
          <w:rFonts w:eastAsia="Times New Roman"/>
          <w:color w:val="000000"/>
          <w:sz w:val="20"/>
          <w:szCs w:val="20"/>
          <w:u w:val="single"/>
        </w:rPr>
        <w:t>Obligations under Funding Agreements</w:t>
      </w:r>
    </w:p>
    <w:p w:rsidR="00000000" w:rsidRDefault="000C147A">
      <w:pPr>
        <w:jc w:val="both"/>
        <w:divId w:val="1942487355"/>
        <w:rPr>
          <w:rFonts w:eastAsia="Times New Roman"/>
        </w:rPr>
      </w:pPr>
      <w:r>
        <w:rPr>
          <w:rFonts w:eastAsia="Times New Roman"/>
          <w:b/>
          <w:bCs/>
          <w:i/>
          <w:iCs/>
          <w:color w:val="000000"/>
          <w:sz w:val="20"/>
          <w:szCs w:val="20"/>
        </w:rPr>
        <w:t xml:space="preserve">Federal Home Loan Bank of </w:t>
      </w:r>
      <w:r>
        <w:rPr>
          <w:rFonts w:eastAsia="Times New Roman"/>
          <w:b/>
          <w:bCs/>
          <w:i/>
          <w:iCs/>
          <w:color w:val="000000"/>
          <w:sz w:val="20"/>
          <w:szCs w:val="20"/>
        </w:rPr>
        <w:t>New York</w:t>
      </w:r>
    </w:p>
    <w:p w:rsidR="00000000" w:rsidRDefault="000C147A">
      <w:pPr>
        <w:divId w:val="836921803"/>
        <w:rPr>
          <w:rFonts w:eastAsia="Times New Roman"/>
        </w:rPr>
      </w:pPr>
      <w:r>
        <w:rPr>
          <w:rFonts w:eastAsia="Times New Roman"/>
          <w:color w:val="000000"/>
          <w:sz w:val="20"/>
          <w:szCs w:val="20"/>
        </w:rPr>
        <w:t>As a member of the FHLB, Equitable Financial has access to collateralized borrowings. It also may issue funding agreements to the FHLB. Both the collateralized borrowings and funding agreements would require Equitable Financial to pledge qualified</w:t>
      </w:r>
      <w:r>
        <w:rPr>
          <w:rFonts w:eastAsia="Times New Roman"/>
          <w:color w:val="000000"/>
          <w:sz w:val="20"/>
          <w:szCs w:val="20"/>
        </w:rPr>
        <w:t xml:space="preserve"> mortgage-backed assets and/or government securities as collateral. Equitable Financial issues short-term funding agreements to the FHLB and uses the funds for asset, liability, and cash management purposes. Equitable Financial issues long-term funding agr</w:t>
      </w:r>
      <w:r>
        <w:rPr>
          <w:rFonts w:eastAsia="Times New Roman"/>
          <w:color w:val="000000"/>
          <w:sz w:val="20"/>
          <w:szCs w:val="20"/>
        </w:rPr>
        <w:t xml:space="preserve">eements to the FHLB and uses the funds for spread lending purposes. </w:t>
      </w:r>
    </w:p>
    <w:p w:rsidR="00000000" w:rsidRDefault="000C147A">
      <w:pPr>
        <w:divId w:val="639459469"/>
        <w:rPr>
          <w:rFonts w:eastAsia="Times New Roman"/>
        </w:rPr>
      </w:pPr>
      <w:r>
        <w:rPr>
          <w:rFonts w:eastAsia="Times New Roman"/>
          <w:color w:val="000000"/>
          <w:sz w:val="20"/>
          <w:szCs w:val="20"/>
        </w:rPr>
        <w:t xml:space="preserve">Entering into FHLB membership, borrowings and funding agreements requires the ownership of FHLB stock and the pledge of assets as collateral. Equitable Financial has purchased FHLB stock </w:t>
      </w:r>
      <w:r>
        <w:rPr>
          <w:rFonts w:eastAsia="Times New Roman"/>
          <w:color w:val="000000"/>
          <w:sz w:val="20"/>
          <w:szCs w:val="20"/>
        </w:rPr>
        <w:t xml:space="preserve">of $320 million and pledged collateral with a carrying value of $8.7 billion, as of September 30, 2020.  </w:t>
      </w:r>
    </w:p>
    <w:p w:rsidR="00000000" w:rsidRDefault="000C147A">
      <w:pPr>
        <w:divId w:val="381371955"/>
        <w:rPr>
          <w:rFonts w:eastAsia="Times New Roman"/>
        </w:rPr>
      </w:pPr>
      <w:r>
        <w:rPr>
          <w:rFonts w:eastAsia="Times New Roman"/>
          <w:color w:val="000000"/>
          <w:sz w:val="20"/>
          <w:szCs w:val="20"/>
        </w:rPr>
        <w:t xml:space="preserve">Funding agreements are reported in Policyholders’ account balances in the consolidated balance sheets. For other instruments used for asset/liability </w:t>
      </w:r>
      <w:r>
        <w:rPr>
          <w:rFonts w:eastAsia="Times New Roman"/>
          <w:color w:val="000000"/>
          <w:sz w:val="20"/>
          <w:szCs w:val="20"/>
        </w:rPr>
        <w:t>and cash management purposes, see “Derivative and offsetting assets and liabilities” included in Note 4. The table below summarizes the Company’s activity of funding agreements with the FHLB.</w:t>
      </w:r>
    </w:p>
    <w:p w:rsidR="00000000" w:rsidRDefault="000C147A">
      <w:pPr>
        <w:jc w:val="center"/>
        <w:rPr>
          <w:rFonts w:eastAsia="Times New Roman"/>
        </w:rPr>
      </w:pPr>
      <w:r>
        <w:rPr>
          <w:rFonts w:eastAsia="Times New Roman"/>
          <w:b/>
          <w:bCs/>
          <w:color w:val="000000"/>
          <w:sz w:val="20"/>
          <w:szCs w:val="20"/>
        </w:rPr>
        <w:t>Change in FHLB Funding Agreements during the Nine Months Ended S</w:t>
      </w:r>
      <w:r>
        <w:rPr>
          <w:rFonts w:eastAsia="Times New Roman"/>
          <w:b/>
          <w:bCs/>
          <w:color w:val="000000"/>
          <w:sz w:val="20"/>
          <w:szCs w:val="20"/>
        </w:rPr>
        <w:t xml:space="preserve">eptember 30, 2020 </w:t>
      </w:r>
    </w:p>
    <w:tbl>
      <w:tblPr>
        <w:tblW w:w="4919" w:type="pct"/>
        <w:jc w:val="right"/>
        <w:tblCellMar>
          <w:top w:w="15" w:type="dxa"/>
          <w:left w:w="15" w:type="dxa"/>
          <w:bottom w:w="15" w:type="dxa"/>
          <w:right w:w="15" w:type="dxa"/>
        </w:tblCellMar>
        <w:tblLook w:val="04A0" w:firstRow="1" w:lastRow="0" w:firstColumn="1" w:lastColumn="0" w:noHBand="0" w:noVBand="1"/>
      </w:tblPr>
      <w:tblGrid>
        <w:gridCol w:w="44"/>
        <w:gridCol w:w="2025"/>
        <w:gridCol w:w="37"/>
        <w:gridCol w:w="121"/>
        <w:gridCol w:w="791"/>
        <w:gridCol w:w="36"/>
        <w:gridCol w:w="36"/>
        <w:gridCol w:w="36"/>
        <w:gridCol w:w="36"/>
        <w:gridCol w:w="120"/>
        <w:gridCol w:w="600"/>
        <w:gridCol w:w="36"/>
        <w:gridCol w:w="36"/>
        <w:gridCol w:w="36"/>
        <w:gridCol w:w="36"/>
        <w:gridCol w:w="120"/>
        <w:gridCol w:w="600"/>
        <w:gridCol w:w="36"/>
        <w:gridCol w:w="36"/>
        <w:gridCol w:w="36"/>
        <w:gridCol w:w="36"/>
        <w:gridCol w:w="121"/>
        <w:gridCol w:w="874"/>
        <w:gridCol w:w="36"/>
        <w:gridCol w:w="36"/>
        <w:gridCol w:w="36"/>
        <w:gridCol w:w="36"/>
        <w:gridCol w:w="121"/>
        <w:gridCol w:w="805"/>
        <w:gridCol w:w="36"/>
        <w:gridCol w:w="36"/>
        <w:gridCol w:w="36"/>
        <w:gridCol w:w="36"/>
        <w:gridCol w:w="121"/>
        <w:gridCol w:w="915"/>
        <w:gridCol w:w="36"/>
      </w:tblGrid>
      <w:tr w:rsidR="00000000">
        <w:trPr>
          <w:jc w:val="right"/>
        </w:trPr>
        <w:tc>
          <w:tcPr>
            <w:tcW w:w="50" w:type="pct"/>
            <w:vAlign w:val="center"/>
            <w:hideMark/>
          </w:tcPr>
          <w:p w:rsidR="00000000" w:rsidRDefault="000C147A">
            <w:pPr>
              <w:jc w:val="center"/>
              <w:rPr>
                <w:rFonts w:eastAsia="Times New Roman"/>
              </w:rPr>
            </w:pPr>
          </w:p>
        </w:tc>
        <w:tc>
          <w:tcPr>
            <w:tcW w:w="128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9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4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Outstanding Balance at December 31,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Issued During the Period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Repaid During the Period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Long-term Agreements Maturing Within One Year</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Long-term Agreements Maturing Within Five Years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Outstanding Balance at September 30, 2020</w:t>
            </w:r>
          </w:p>
        </w:tc>
      </w:tr>
      <w:tr w:rsidR="00000000">
        <w:trPr>
          <w:jc w:val="right"/>
        </w:trPr>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jc w:val="right"/>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34,358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jc w:val="right"/>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right"/>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right"/>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34,358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jc w:val="right"/>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jc w:val="right"/>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591351305"/>
        <w:rPr>
          <w:rFonts w:eastAsia="Times New Roman"/>
        </w:rPr>
      </w:pPr>
      <w:r>
        <w:rPr>
          <w:rFonts w:eastAsia="Times New Roman"/>
          <w:color w:val="000000"/>
          <w:sz w:val="18"/>
          <w:szCs w:val="18"/>
        </w:rPr>
        <w:t>_____________</w:t>
      </w:r>
    </w:p>
    <w:p w:rsidR="00000000" w:rsidRDefault="000C147A">
      <w:pPr>
        <w:ind w:hanging="360"/>
        <w:divId w:val="1581213737"/>
        <w:rPr>
          <w:rFonts w:eastAsia="Times New Roman"/>
        </w:rPr>
      </w:pPr>
      <w:r>
        <w:rPr>
          <w:rFonts w:eastAsia="Times New Roman"/>
          <w:color w:val="000000"/>
          <w:sz w:val="18"/>
          <w:szCs w:val="18"/>
        </w:rPr>
        <w:t>(1)</w:t>
      </w:r>
      <w:r>
        <w:rPr>
          <w:rFonts w:eastAsia="Times New Roman"/>
          <w:color w:val="000000"/>
          <w:sz w:val="18"/>
          <w:szCs w:val="18"/>
        </w:rPr>
        <w:t>The $8 million and $9 million difference between the funding agreements carrying value shown in fair value table for September 30, 2020 and December 31, 2019, respectively, reflects the remaining amortization of a hedge implemented and closed, which locked</w:t>
      </w:r>
      <w:r>
        <w:rPr>
          <w:rFonts w:eastAsia="Times New Roman"/>
          <w:color w:val="000000"/>
          <w:sz w:val="18"/>
          <w:szCs w:val="18"/>
        </w:rPr>
        <w:t xml:space="preserve"> in the funding agreements borrowing rates.</w:t>
      </w:r>
    </w:p>
    <w:p w:rsidR="00000000" w:rsidRDefault="000C147A">
      <w:pPr>
        <w:jc w:val="both"/>
        <w:divId w:val="613484495"/>
        <w:rPr>
          <w:rFonts w:eastAsia="Times New Roman"/>
        </w:rPr>
      </w:pPr>
      <w:r>
        <w:rPr>
          <w:rFonts w:eastAsia="Times New Roman"/>
          <w:b/>
          <w:bCs/>
          <w:i/>
          <w:iCs/>
          <w:color w:val="000000"/>
          <w:sz w:val="20"/>
          <w:szCs w:val="20"/>
        </w:rPr>
        <w:t>Funding Agreement-Backed Notes Program</w:t>
      </w:r>
    </w:p>
    <w:p w:rsidR="00000000" w:rsidRDefault="000C147A">
      <w:pPr>
        <w:divId w:val="414665549"/>
        <w:rPr>
          <w:rFonts w:eastAsia="Times New Roman"/>
        </w:rPr>
      </w:pPr>
      <w:r>
        <w:rPr>
          <w:rFonts w:eastAsia="Times New Roman"/>
          <w:color w:val="000000"/>
          <w:sz w:val="20"/>
          <w:szCs w:val="20"/>
        </w:rPr>
        <w:t>Under the FABN, Equitable Financial may issue funding agreements to a Delaware special purpose statutory trust (the “Trust”) in exchange for the proceeds from issuances of f</w:t>
      </w:r>
      <w:r>
        <w:rPr>
          <w:rFonts w:eastAsia="Times New Roman"/>
          <w:color w:val="000000"/>
          <w:sz w:val="20"/>
          <w:szCs w:val="20"/>
        </w:rPr>
        <w:t>ixed and floating rate medium-term marketable notes issued by the Trust from time to time (the “Trust notes”). The funding agreements have matching interest and maturity payment terms to the applicable Trust notes. The maximum aggregate principal amount of</w:t>
      </w:r>
      <w:r>
        <w:rPr>
          <w:rFonts w:eastAsia="Times New Roman"/>
          <w:color w:val="000000"/>
          <w:sz w:val="20"/>
          <w:szCs w:val="20"/>
        </w:rPr>
        <w:t xml:space="preserve"> Trust notes permitted to be outstanding at any one time is $5 billion. Funding agreements issued to the Trust are reported in policyholders’ account balances in the consolidated balance sheets. The table below summarizes the Equitable Financial’s activity</w:t>
      </w:r>
      <w:r>
        <w:rPr>
          <w:rFonts w:eastAsia="Times New Roman"/>
          <w:color w:val="000000"/>
          <w:sz w:val="20"/>
          <w:szCs w:val="20"/>
        </w:rPr>
        <w:t xml:space="preserve"> of funding agreements under the FABN. </w:t>
      </w:r>
    </w:p>
    <w:p w:rsidR="00000000" w:rsidRDefault="000C147A">
      <w:pPr>
        <w:divId w:val="1875071851"/>
        <w:rPr>
          <w:rFonts w:eastAsia="Times New Roman"/>
        </w:rPr>
      </w:pPr>
    </w:p>
    <w:p w:rsidR="00000000" w:rsidRDefault="000C147A">
      <w:pPr>
        <w:jc w:val="center"/>
        <w:divId w:val="1333293429"/>
        <w:rPr>
          <w:rFonts w:eastAsia="Times New Roman"/>
        </w:rPr>
      </w:pPr>
      <w:r>
        <w:rPr>
          <w:rFonts w:eastAsia="Times New Roman"/>
          <w:color w:val="000000"/>
          <w:sz w:val="20"/>
          <w:szCs w:val="20"/>
        </w:rPr>
        <w:t>60</w:t>
      </w:r>
    </w:p>
    <w:p w:rsidR="00000000" w:rsidRDefault="000C147A">
      <w:pPr>
        <w:rPr>
          <w:rFonts w:eastAsia="Times New Roman"/>
        </w:rPr>
      </w:pPr>
      <w:r>
        <w:rPr>
          <w:rFonts w:eastAsia="Times New Roman"/>
        </w:rPr>
        <w:pict>
          <v:rect id="_x0000_i1086" style="width:0;height:1.5pt" o:hralign="center" o:hrstd="t" o:hr="t" fillcolor="#a0a0a0" stroked="f"/>
        </w:pict>
      </w:r>
    </w:p>
    <w:p w:rsidR="00000000" w:rsidRDefault="000C147A">
      <w:pPr>
        <w:jc w:val="center"/>
        <w:divId w:val="1941597756"/>
        <w:rPr>
          <w:rFonts w:eastAsia="Times New Roman"/>
        </w:rPr>
      </w:pPr>
      <w:r>
        <w:rPr>
          <w:rFonts w:eastAsia="Times New Roman"/>
          <w:b/>
          <w:bCs/>
          <w:color w:val="000000"/>
          <w:sz w:val="20"/>
          <w:szCs w:val="20"/>
        </w:rPr>
        <w:t>EQUITABLE HOLDINGS, INC.</w:t>
      </w:r>
    </w:p>
    <w:p w:rsidR="00000000" w:rsidRDefault="000C147A">
      <w:pPr>
        <w:jc w:val="center"/>
        <w:divId w:val="1941597756"/>
        <w:rPr>
          <w:rFonts w:eastAsia="Times New Roman"/>
        </w:rPr>
      </w:pPr>
      <w:r>
        <w:rPr>
          <w:rFonts w:eastAsia="Times New Roman"/>
          <w:b/>
          <w:bCs/>
          <w:color w:val="000000"/>
          <w:sz w:val="20"/>
          <w:szCs w:val="20"/>
        </w:rPr>
        <w:t>Notes to Consolidated Financial Statements (Unaudited), Continued</w:t>
      </w:r>
    </w:p>
    <w:p w:rsidR="00000000" w:rsidRDefault="000C147A">
      <w:pPr>
        <w:jc w:val="center"/>
        <w:rPr>
          <w:rFonts w:eastAsia="Times New Roman"/>
        </w:rPr>
      </w:pPr>
      <w:r>
        <w:rPr>
          <w:rFonts w:eastAsia="Times New Roman"/>
          <w:b/>
          <w:bCs/>
          <w:color w:val="000000"/>
          <w:sz w:val="20"/>
          <w:szCs w:val="20"/>
        </w:rPr>
        <w:t>Change in FABN Funding Agreements during the Nine Months Ended September 30, 2020</w:t>
      </w:r>
    </w:p>
    <w:tbl>
      <w:tblPr>
        <w:tblW w:w="4956" w:type="pct"/>
        <w:tblCellMar>
          <w:top w:w="15" w:type="dxa"/>
          <w:left w:w="15" w:type="dxa"/>
          <w:bottom w:w="15" w:type="dxa"/>
          <w:right w:w="15" w:type="dxa"/>
        </w:tblCellMar>
        <w:tblLook w:val="04A0" w:firstRow="1" w:lastRow="0" w:firstColumn="1" w:lastColumn="0" w:noHBand="0" w:noVBand="1"/>
      </w:tblPr>
      <w:tblGrid>
        <w:gridCol w:w="44"/>
        <w:gridCol w:w="2026"/>
        <w:gridCol w:w="37"/>
        <w:gridCol w:w="121"/>
        <w:gridCol w:w="790"/>
        <w:gridCol w:w="36"/>
        <w:gridCol w:w="36"/>
        <w:gridCol w:w="36"/>
        <w:gridCol w:w="36"/>
        <w:gridCol w:w="120"/>
        <w:gridCol w:w="536"/>
        <w:gridCol w:w="36"/>
        <w:gridCol w:w="36"/>
        <w:gridCol w:w="36"/>
        <w:gridCol w:w="36"/>
        <w:gridCol w:w="121"/>
        <w:gridCol w:w="623"/>
        <w:gridCol w:w="36"/>
        <w:gridCol w:w="36"/>
        <w:gridCol w:w="36"/>
        <w:gridCol w:w="36"/>
        <w:gridCol w:w="121"/>
        <w:gridCol w:w="915"/>
        <w:gridCol w:w="36"/>
        <w:gridCol w:w="36"/>
        <w:gridCol w:w="36"/>
        <w:gridCol w:w="36"/>
        <w:gridCol w:w="121"/>
        <w:gridCol w:w="866"/>
        <w:gridCol w:w="36"/>
        <w:gridCol w:w="36"/>
        <w:gridCol w:w="36"/>
        <w:gridCol w:w="36"/>
        <w:gridCol w:w="121"/>
        <w:gridCol w:w="915"/>
        <w:gridCol w:w="36"/>
      </w:tblGrid>
      <w:tr w:rsidR="00000000">
        <w:trPr>
          <w:divId w:val="1923028194"/>
        </w:trPr>
        <w:tc>
          <w:tcPr>
            <w:tcW w:w="50" w:type="pct"/>
            <w:vAlign w:val="center"/>
            <w:hideMark/>
          </w:tcPr>
          <w:p w:rsidR="00000000" w:rsidRDefault="000C147A">
            <w:pPr>
              <w:jc w:val="center"/>
              <w:rPr>
                <w:rFonts w:eastAsia="Times New Roman"/>
              </w:rPr>
            </w:pPr>
          </w:p>
        </w:tc>
        <w:tc>
          <w:tcPr>
            <w:tcW w:w="127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1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92302819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4"/>
                <w:szCs w:val="14"/>
              </w:rPr>
              <w:t>Outstanding Balance at December 31,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Outstanding Balance at September 30, 2020</w:t>
            </w:r>
          </w:p>
        </w:tc>
      </w:tr>
      <w:tr w:rsidR="00000000">
        <w:trPr>
          <w:divId w:val="1923028194"/>
        </w:trPr>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92302819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2302819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one year or less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2302819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23028194"/>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23028194"/>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2302819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23028194"/>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23028194"/>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923028194"/>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838548061"/>
        <w:rPr>
          <w:rFonts w:eastAsia="Times New Roman"/>
        </w:rPr>
      </w:pPr>
      <w:r>
        <w:rPr>
          <w:rFonts w:eastAsia="Times New Roman"/>
          <w:color w:val="000000"/>
          <w:sz w:val="18"/>
          <w:szCs w:val="18"/>
        </w:rPr>
        <w:t>_____________</w:t>
      </w:r>
    </w:p>
    <w:p w:rsidR="00000000" w:rsidRDefault="000C147A">
      <w:pPr>
        <w:ind w:hanging="360"/>
        <w:divId w:val="528295712"/>
        <w:rPr>
          <w:rFonts w:eastAsia="Times New Roman"/>
        </w:rPr>
      </w:pPr>
      <w:r>
        <w:rPr>
          <w:rFonts w:eastAsia="Times New Roman"/>
          <w:color w:val="000000"/>
          <w:sz w:val="18"/>
          <w:szCs w:val="18"/>
        </w:rPr>
        <w:t xml:space="preserve">(1)The$7 </w:t>
      </w:r>
      <w:r>
        <w:rPr>
          <w:rFonts w:eastAsia="Times New Roman"/>
          <w:color w:val="000000"/>
          <w:sz w:val="18"/>
          <w:szCs w:val="18"/>
        </w:rPr>
        <w:t xml:space="preserve">million difference between the funding agreements notional value shown and carrying value table at September 30, 2020, reflects the remaining amortization of the issuance cost of the funding agreements. </w:t>
      </w:r>
    </w:p>
    <w:p w:rsidR="00000000" w:rsidRDefault="000C147A">
      <w:pPr>
        <w:divId w:val="487863378"/>
        <w:rPr>
          <w:rFonts w:eastAsia="Times New Roman"/>
        </w:rPr>
      </w:pPr>
      <w:r>
        <w:rPr>
          <w:rFonts w:eastAsia="Times New Roman"/>
          <w:color w:val="000000"/>
          <w:sz w:val="20"/>
          <w:szCs w:val="20"/>
          <w:u w:val="single"/>
        </w:rPr>
        <w:t>Credit Facilities</w:t>
      </w:r>
    </w:p>
    <w:p w:rsidR="00000000" w:rsidRDefault="000C147A">
      <w:pPr>
        <w:divId w:val="1008093260"/>
        <w:rPr>
          <w:rFonts w:eastAsia="Times New Roman"/>
        </w:rPr>
      </w:pPr>
      <w:r>
        <w:rPr>
          <w:rFonts w:eastAsia="Times New Roman"/>
          <w:color w:val="000000"/>
          <w:sz w:val="20"/>
          <w:szCs w:val="20"/>
        </w:rPr>
        <w:t>The Company has a $2.5 billion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-year senior unsecured revolving credit facility with a syndicate of banks. The revolving credit facility has a sub-limit of $1.5 billion for letters of credit issued to support the Company’s life insurance business reinsured by EQ AZ Life Re Company “EQ </w:t>
      </w:r>
      <w:r>
        <w:rPr>
          <w:rFonts w:eastAsia="Times New Roman"/>
          <w:color w:val="000000"/>
          <w:sz w:val="20"/>
          <w:szCs w:val="20"/>
        </w:rPr>
        <w:t>AZ Life Re” and to support the third-party GMxB variable annuity business retroceded to CS Life RE Company “CS Life RE”. As of September 30, 2020, $150 million and $425 million of undrawn letters of credit have been issued out of the $1.5 billion sub-limit</w:t>
      </w:r>
      <w:r>
        <w:rPr>
          <w:rFonts w:eastAsia="Times New Roman"/>
          <w:color w:val="000000"/>
          <w:sz w:val="20"/>
          <w:szCs w:val="20"/>
        </w:rPr>
        <w:t xml:space="preserve"> for ACS Life and Equitable Financial, respectively, as beneficiaries. In addition to the letters of credit issued under the $2.5 billion revolving credit facility, as of September 30, 2020, $1.9 billion of undrawn letters of credit have been issued relate</w:t>
      </w:r>
      <w:r>
        <w:rPr>
          <w:rFonts w:eastAsia="Times New Roman"/>
          <w:color w:val="000000"/>
          <w:sz w:val="20"/>
          <w:szCs w:val="20"/>
        </w:rPr>
        <w:t>d to reinsurance assumed by EQ AZ Life Re from Equitable Financial and Equitable Financial Life Insurance Company of America “EFLOA”.</w:t>
      </w:r>
    </w:p>
    <w:p w:rsidR="00000000" w:rsidRDefault="000C147A">
      <w:pPr>
        <w:divId w:val="507840282"/>
        <w:rPr>
          <w:rFonts w:eastAsia="Times New Roman"/>
        </w:rPr>
      </w:pPr>
      <w:r>
        <w:rPr>
          <w:rFonts w:eastAsia="Times New Roman"/>
          <w:color w:val="000000"/>
          <w:sz w:val="20"/>
          <w:szCs w:val="20"/>
          <w:u w:val="single"/>
        </w:rPr>
        <w:t>Guarantees and Other Commitments</w:t>
      </w:r>
    </w:p>
    <w:p w:rsidR="00000000" w:rsidRDefault="000C147A">
      <w:pPr>
        <w:divId w:val="1977951335"/>
        <w:rPr>
          <w:rFonts w:eastAsia="Times New Roman"/>
        </w:rPr>
      </w:pPr>
      <w:r>
        <w:rPr>
          <w:rFonts w:eastAsia="Times New Roman"/>
          <w:color w:val="000000"/>
          <w:sz w:val="20"/>
          <w:szCs w:val="20"/>
        </w:rPr>
        <w:t>The Company provides certain guarantees or commitments to affiliates and others. At Septe</w:t>
      </w:r>
      <w:r>
        <w:rPr>
          <w:rFonts w:eastAsia="Times New Roman"/>
          <w:color w:val="000000"/>
          <w:sz w:val="20"/>
          <w:szCs w:val="20"/>
        </w:rPr>
        <w:t>mber 30, 2020, these arrangements include commitments by the Company to provide equity financing of $1.3 billion (including $217 million with affiliates) to certain limited partnerships and real estate joint ventures under certain conditions. Management be</w:t>
      </w:r>
      <w:r>
        <w:rPr>
          <w:rFonts w:eastAsia="Times New Roman"/>
          <w:color w:val="000000"/>
          <w:sz w:val="20"/>
          <w:szCs w:val="20"/>
        </w:rPr>
        <w:t>lieves the Company will not incur material losses as a result of these commitments.</w:t>
      </w:r>
    </w:p>
    <w:p w:rsidR="00000000" w:rsidRDefault="000C147A">
      <w:pPr>
        <w:divId w:val="598217034"/>
        <w:rPr>
          <w:rFonts w:eastAsia="Times New Roman"/>
        </w:rPr>
      </w:pPr>
      <w:r>
        <w:rPr>
          <w:rFonts w:eastAsia="Times New Roman"/>
          <w:color w:val="000000"/>
          <w:sz w:val="20"/>
          <w:szCs w:val="20"/>
        </w:rPr>
        <w:t>The Company is the obligor under certain structured settlement agreements it had entered into with unaffiliated insurance companies and beneficiaries. To satisfy its obliga</w:t>
      </w:r>
      <w:r>
        <w:rPr>
          <w:rFonts w:eastAsia="Times New Roman"/>
          <w:color w:val="000000"/>
          <w:sz w:val="20"/>
          <w:szCs w:val="20"/>
        </w:rPr>
        <w:t>tions under these agreements, the Company owns single premium annuities issued by previously wholly-owned life insurance subsidiaries. The Company has directed payment under these annuities to be made directly to the beneficiaries under the structured sett</w:t>
      </w:r>
      <w:r>
        <w:rPr>
          <w:rFonts w:eastAsia="Times New Roman"/>
          <w:color w:val="000000"/>
          <w:sz w:val="20"/>
          <w:szCs w:val="20"/>
        </w:rPr>
        <w:t>lement agreements. A contingent liability exists with respect to these agreements should the previously wholly-owned subsidiaries be unable to meet their obligations. Management believes the need for the Company to satisfy those obligations is remote.</w:t>
      </w:r>
    </w:p>
    <w:p w:rsidR="00000000" w:rsidRDefault="000C147A">
      <w:pPr>
        <w:divId w:val="1381588848"/>
        <w:rPr>
          <w:rFonts w:eastAsia="Times New Roman"/>
        </w:rPr>
      </w:pPr>
      <w:r>
        <w:rPr>
          <w:rFonts w:eastAsia="Times New Roman"/>
          <w:color w:val="000000"/>
          <w:sz w:val="20"/>
          <w:szCs w:val="20"/>
        </w:rPr>
        <w:t xml:space="preserve">The </w:t>
      </w:r>
      <w:r>
        <w:rPr>
          <w:rFonts w:eastAsia="Times New Roman"/>
          <w:color w:val="000000"/>
          <w:sz w:val="20"/>
          <w:szCs w:val="20"/>
        </w:rPr>
        <w:t>Company had $17 million of undrawn letters of credit related to reinsurance at September 30, 2020. The Company had $469 million of commitments under existing mortgage loan agreements at September 30, 2020.</w:t>
      </w:r>
    </w:p>
    <w:p w:rsidR="00000000" w:rsidRDefault="000C147A">
      <w:pPr>
        <w:jc w:val="center"/>
        <w:divId w:val="1657760089"/>
        <w:rPr>
          <w:rFonts w:eastAsia="Times New Roman"/>
        </w:rPr>
      </w:pPr>
      <w:r>
        <w:rPr>
          <w:rFonts w:eastAsia="Times New Roman"/>
          <w:color w:val="000000"/>
          <w:sz w:val="20"/>
          <w:szCs w:val="20"/>
        </w:rPr>
        <w:t>61</w:t>
      </w:r>
    </w:p>
    <w:p w:rsidR="00000000" w:rsidRDefault="000C147A">
      <w:pPr>
        <w:rPr>
          <w:rFonts w:eastAsia="Times New Roman"/>
        </w:rPr>
      </w:pPr>
      <w:r>
        <w:rPr>
          <w:rFonts w:eastAsia="Times New Roman"/>
        </w:rPr>
        <w:pict>
          <v:rect id="_x0000_i1087" style="width:0;height:1.5pt" o:hralign="center" o:hrstd="t" o:hr="t" fillcolor="#a0a0a0" stroked="f"/>
        </w:pict>
      </w:r>
    </w:p>
    <w:p w:rsidR="00000000" w:rsidRDefault="000C147A">
      <w:pPr>
        <w:jc w:val="center"/>
        <w:divId w:val="322901466"/>
        <w:rPr>
          <w:rFonts w:eastAsia="Times New Roman"/>
        </w:rPr>
      </w:pPr>
      <w:r>
        <w:rPr>
          <w:rFonts w:eastAsia="Times New Roman"/>
          <w:b/>
          <w:bCs/>
          <w:color w:val="000000"/>
          <w:sz w:val="20"/>
          <w:szCs w:val="20"/>
        </w:rPr>
        <w:t xml:space="preserve">EQUITABLE </w:t>
      </w:r>
      <w:r>
        <w:rPr>
          <w:rFonts w:eastAsia="Times New Roman"/>
          <w:b/>
          <w:bCs/>
          <w:color w:val="000000"/>
          <w:sz w:val="20"/>
          <w:szCs w:val="20"/>
        </w:rPr>
        <w:t>HOLDINGS, INC.</w:t>
      </w:r>
    </w:p>
    <w:p w:rsidR="00000000" w:rsidRDefault="000C147A">
      <w:pPr>
        <w:jc w:val="center"/>
        <w:divId w:val="322901466"/>
        <w:rPr>
          <w:rFonts w:eastAsia="Times New Roman"/>
        </w:rPr>
      </w:pPr>
      <w:r>
        <w:rPr>
          <w:rFonts w:eastAsia="Times New Roman"/>
          <w:b/>
          <w:bCs/>
          <w:color w:val="000000"/>
          <w:sz w:val="20"/>
          <w:szCs w:val="20"/>
        </w:rPr>
        <w:t>Notes to Consolidated Financial Statements (Unaudited), Continued</w:t>
      </w:r>
    </w:p>
    <w:p w:rsidR="00000000" w:rsidRDefault="000C147A">
      <w:pPr>
        <w:divId w:val="1444226942"/>
        <w:rPr>
          <w:rFonts w:eastAsia="Times New Roman"/>
        </w:rPr>
      </w:pPr>
      <w:r>
        <w:rPr>
          <w:rFonts w:eastAsia="Times New Roman"/>
          <w:b/>
          <w:bCs/>
          <w:color w:val="000000"/>
          <w:sz w:val="20"/>
          <w:szCs w:val="20"/>
        </w:rPr>
        <w:t>14)    BUSINESS SEGMENT INFORMATION</w:t>
      </w:r>
    </w:p>
    <w:p w:rsidR="00000000" w:rsidRDefault="000C147A">
      <w:pPr>
        <w:divId w:val="378628456"/>
        <w:rPr>
          <w:rFonts w:eastAsia="Times New Roman"/>
        </w:rPr>
      </w:pPr>
      <w:r>
        <w:rPr>
          <w:rFonts w:eastAsia="Times New Roman"/>
          <w:color w:val="000000"/>
          <w:sz w:val="20"/>
          <w:szCs w:val="20"/>
        </w:rPr>
        <w:t>The Company has four reportable segments: Individual Retirement, Group Retirement, Investment Management and Research and Protection Soluti</w:t>
      </w:r>
      <w:r>
        <w:rPr>
          <w:rFonts w:eastAsia="Times New Roman"/>
          <w:color w:val="000000"/>
          <w:sz w:val="20"/>
          <w:szCs w:val="20"/>
        </w:rPr>
        <w:t>ons.</w:t>
      </w:r>
    </w:p>
    <w:p w:rsidR="00000000" w:rsidRDefault="000C147A">
      <w:pPr>
        <w:divId w:val="1816294101"/>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p>
    <w:p w:rsidR="00000000" w:rsidRDefault="000C147A">
      <w:pPr>
        <w:ind w:hanging="360"/>
        <w:jc w:val="both"/>
        <w:divId w:val="4595810"/>
        <w:rPr>
          <w:rFonts w:eastAsia="Times New Roman"/>
        </w:rPr>
      </w:pPr>
      <w:r>
        <w:rPr>
          <w:rFonts w:eastAsia="Times New Roman"/>
          <w:color w:val="000000"/>
          <w:sz w:val="20"/>
          <w:szCs w:val="20"/>
        </w:rPr>
        <w:t>•The Individual Retirement segment offers a diverse suite of variable annuity produc</w:t>
      </w:r>
      <w:r>
        <w:rPr>
          <w:rFonts w:eastAsia="Times New Roman"/>
          <w:color w:val="000000"/>
          <w:sz w:val="20"/>
          <w:szCs w:val="20"/>
        </w:rPr>
        <w:t>ts which are primarily sold to affluent and high net worth individuals saving for retirement or seeking retirement income.</w:t>
      </w:r>
    </w:p>
    <w:p w:rsidR="00000000" w:rsidRDefault="000C147A">
      <w:pPr>
        <w:ind w:hanging="360"/>
        <w:jc w:val="both"/>
        <w:divId w:val="1545170823"/>
        <w:rPr>
          <w:rFonts w:eastAsia="Times New Roman"/>
        </w:rPr>
      </w:pPr>
      <w:r>
        <w:rPr>
          <w:rFonts w:eastAsia="Times New Roman"/>
          <w:color w:val="000000"/>
          <w:sz w:val="20"/>
          <w:szCs w:val="20"/>
        </w:rPr>
        <w:t>•The Group Retirement segment offers tax-deferred investment and retirement services or products to plans sponsored by educational en</w:t>
      </w:r>
      <w:r>
        <w:rPr>
          <w:rFonts w:eastAsia="Times New Roman"/>
          <w:color w:val="000000"/>
          <w:sz w:val="20"/>
          <w:szCs w:val="20"/>
        </w:rPr>
        <w:t>tities, municipalities and not-for-profit entities, as well as small and medium-sized businesses.</w:t>
      </w:r>
    </w:p>
    <w:p w:rsidR="00000000" w:rsidRDefault="000C147A">
      <w:pPr>
        <w:ind w:hanging="360"/>
        <w:jc w:val="both"/>
        <w:divId w:val="683166043"/>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w:t>
      </w:r>
      <w:r>
        <w:rPr>
          <w:rFonts w:eastAsia="Times New Roman"/>
          <w:color w:val="000000"/>
          <w:sz w:val="20"/>
          <w:szCs w:val="20"/>
        </w:rPr>
        <w:t>s through three main client channels - Institutional, Retail and Private Wealth Management - and distributes its institutional research products and solutions through Bernstein Research Services.</w:t>
      </w:r>
    </w:p>
    <w:p w:rsidR="00000000" w:rsidRDefault="000C147A">
      <w:pPr>
        <w:ind w:hanging="360"/>
        <w:divId w:val="1323970318"/>
        <w:rPr>
          <w:rFonts w:eastAsia="Times New Roman"/>
        </w:rPr>
      </w:pPr>
      <w:r>
        <w:rPr>
          <w:rFonts w:eastAsia="Times New Roman"/>
          <w:color w:val="000000"/>
          <w:sz w:val="20"/>
          <w:szCs w:val="20"/>
        </w:rPr>
        <w:t>•The Protection Solutions segment includes our life insuranc</w:t>
      </w:r>
      <w:r>
        <w:rPr>
          <w:rFonts w:eastAsia="Times New Roman"/>
          <w:color w:val="000000"/>
          <w:sz w:val="20"/>
          <w:szCs w:val="20"/>
        </w:rPr>
        <w:t>e and group employee benefits businesses. Our life insurance business offers a variety of variable universal life, universal life and term life products to help affluent and high net worth individuals, as well as small and medium-sized business owners, wit</w:t>
      </w:r>
      <w:r>
        <w:rPr>
          <w:rFonts w:eastAsia="Times New Roman"/>
          <w:color w:val="000000"/>
          <w:sz w:val="20"/>
          <w:szCs w:val="20"/>
        </w:rPr>
        <w:t>h their wealth protection, wealth transfer and corporate needs. Our group employee benefits business offers a suite of dental, vision, life, and short- and long-term disability and other insurance products to small and medium-size businesses across the Uni</w:t>
      </w:r>
      <w:r>
        <w:rPr>
          <w:rFonts w:eastAsia="Times New Roman"/>
          <w:color w:val="000000"/>
          <w:sz w:val="20"/>
          <w:szCs w:val="20"/>
        </w:rPr>
        <w:t>ted States.</w:t>
      </w:r>
    </w:p>
    <w:p w:rsidR="00000000" w:rsidRDefault="000C147A">
      <w:pPr>
        <w:divId w:val="1357926290"/>
        <w:rPr>
          <w:rFonts w:eastAsia="Times New Roman"/>
        </w:rPr>
      </w:pPr>
      <w:r>
        <w:rPr>
          <w:rFonts w:eastAsia="Times New Roman"/>
          <w:color w:val="000000"/>
          <w:sz w:val="20"/>
          <w:szCs w:val="20"/>
          <w:u w:val="single"/>
        </w:rPr>
        <w:t>Measurement</w:t>
      </w:r>
    </w:p>
    <w:p w:rsidR="00000000" w:rsidRDefault="000C147A">
      <w:pPr>
        <w:divId w:val="1064183839"/>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profitability of the Company’s core business. By excluding items that can be disto</w:t>
      </w:r>
      <w:r>
        <w:rPr>
          <w:rFonts w:eastAsia="Times New Roman"/>
          <w:color w:val="000000"/>
          <w:sz w:val="20"/>
          <w:szCs w:val="20"/>
        </w:rPr>
        <w:t>rtive and unpredictable such as investment gains (losses) and investment income (loss) from derivative instruments, the Company believes Operating earnings (loss) by segment enhances the understanding of the Company’s underlying drivers of profitability an</w:t>
      </w:r>
      <w:r>
        <w:rPr>
          <w:rFonts w:eastAsia="Times New Roman"/>
          <w:color w:val="000000"/>
          <w:sz w:val="20"/>
          <w:szCs w:val="20"/>
        </w:rPr>
        <w:t>d trends in the Company’s segments.</w:t>
      </w:r>
    </w:p>
    <w:p w:rsidR="00000000" w:rsidRDefault="000C147A">
      <w:pPr>
        <w:divId w:val="1100560752"/>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0C147A">
      <w:pPr>
        <w:ind w:hanging="360"/>
        <w:jc w:val="both"/>
        <w:divId w:val="146555887"/>
        <w:rPr>
          <w:rFonts w:eastAsia="Times New Roman"/>
        </w:rPr>
      </w:pPr>
      <w:r>
        <w:rPr>
          <w:rFonts w:eastAsia="Times New Roman"/>
          <w:color w:val="000000"/>
          <w:sz w:val="20"/>
          <w:szCs w:val="20"/>
        </w:rPr>
        <w:t xml:space="preserve">•Items related to variable annuity product features, which include: (i) certain changes in </w:t>
      </w:r>
      <w:r>
        <w:rPr>
          <w:rFonts w:eastAsia="Times New Roman"/>
          <w:color w:val="000000"/>
          <w:sz w:val="20"/>
          <w:szCs w:val="20"/>
        </w:rPr>
        <w:t>the fair value of the derivatives and other securities we use to hedge these features; (ii) the effect of benefit ratio unlock adjustments related to extraordinary economic conditions or events such as COVID-19; and (iii) changes in the fair value of the e</w:t>
      </w:r>
      <w:r>
        <w:rPr>
          <w:rFonts w:eastAsia="Times New Roman"/>
          <w:color w:val="000000"/>
          <w:sz w:val="20"/>
          <w:szCs w:val="20"/>
        </w:rPr>
        <w:t xml:space="preserve">mbedded derivatives reflected within variable annuity products’ net derivative results and the impact of these items on DAC amortization on our SCS product. </w:t>
      </w:r>
    </w:p>
    <w:p w:rsidR="00000000" w:rsidRDefault="000C147A">
      <w:pPr>
        <w:ind w:hanging="360"/>
        <w:jc w:val="both"/>
        <w:divId w:val="938218698"/>
        <w:rPr>
          <w:rFonts w:eastAsia="Times New Roman"/>
        </w:rPr>
      </w:pPr>
      <w:r>
        <w:rPr>
          <w:rFonts w:eastAsia="Times New Roman"/>
          <w:color w:val="000000"/>
          <w:sz w:val="20"/>
          <w:szCs w:val="20"/>
        </w:rPr>
        <w:t>•</w:t>
      </w:r>
      <w:r>
        <w:rPr>
          <w:rFonts w:eastAsia="Times New Roman"/>
          <w:color w:val="000000"/>
          <w:sz w:val="20"/>
          <w:szCs w:val="20"/>
        </w:rPr>
        <w:t>Investment (gains) losses, which includes credit loss impairments of securities/investments, sales or disposals of securities/investments, realized capital gains/losses and valuation allowances;</w:t>
      </w:r>
    </w:p>
    <w:p w:rsidR="00000000" w:rsidRDefault="000C147A">
      <w:pPr>
        <w:ind w:hanging="360"/>
        <w:jc w:val="both"/>
        <w:divId w:val="92480382"/>
        <w:rPr>
          <w:rFonts w:eastAsia="Times New Roman"/>
        </w:rPr>
      </w:pPr>
      <w:r>
        <w:rPr>
          <w:rFonts w:eastAsia="Times New Roman"/>
          <w:color w:val="000000"/>
          <w:sz w:val="20"/>
          <w:szCs w:val="20"/>
        </w:rPr>
        <w:t>•Net actuarial (gains) losses, which includes actuarial gains</w:t>
      </w:r>
      <w:r>
        <w:rPr>
          <w:rFonts w:eastAsia="Times New Roman"/>
          <w:color w:val="000000"/>
          <w:sz w:val="20"/>
          <w:szCs w:val="20"/>
        </w:rPr>
        <w:t xml:space="preserve"> and losses as a result of differences between actual and expected experience on pension plan assets or projected benefit obligation during a given period related to pension, other postretirement benefit obligations, and the one-time impact of the settleme</w:t>
      </w:r>
      <w:r>
        <w:rPr>
          <w:rFonts w:eastAsia="Times New Roman"/>
          <w:color w:val="000000"/>
          <w:sz w:val="20"/>
          <w:szCs w:val="20"/>
        </w:rPr>
        <w:t>nt of the defined benefit obligation;</w:t>
      </w:r>
    </w:p>
    <w:p w:rsidR="00000000" w:rsidRDefault="000C147A">
      <w:pPr>
        <w:ind w:hanging="360"/>
        <w:jc w:val="both"/>
        <w:divId w:val="698049724"/>
        <w:rPr>
          <w:rFonts w:eastAsia="Times New Roman"/>
        </w:rPr>
      </w:pPr>
      <w:r>
        <w:rPr>
          <w:rFonts w:eastAsia="Times New Roman"/>
          <w:color w:val="000000"/>
          <w:sz w:val="20"/>
          <w:szCs w:val="20"/>
        </w:rPr>
        <w:t xml:space="preserve">•Other adjustments, which includes restructuring costs related to severance, lease write-offs related to non-recurring restructuring activities, separation costs and impacts related to COVID-19; and </w:t>
      </w:r>
    </w:p>
    <w:p w:rsidR="00000000" w:rsidRDefault="000C147A">
      <w:pPr>
        <w:ind w:hanging="360"/>
        <w:divId w:val="964040773"/>
        <w:rPr>
          <w:rFonts w:eastAsia="Times New Roman"/>
        </w:rPr>
      </w:pPr>
      <w:r>
        <w:rPr>
          <w:rFonts w:eastAsia="Times New Roman"/>
          <w:color w:val="000000"/>
          <w:sz w:val="20"/>
          <w:szCs w:val="20"/>
        </w:rPr>
        <w:t>•Income tax expens</w:t>
      </w:r>
      <w:r>
        <w:rPr>
          <w:rFonts w:eastAsia="Times New Roman"/>
          <w:color w:val="000000"/>
          <w:sz w:val="20"/>
          <w:szCs w:val="20"/>
        </w:rPr>
        <w:t>e (benefit) related to the above items and non-recurring tax items, which includes the effect of uncertain tax positions for a given audit period.</w:t>
      </w:r>
    </w:p>
    <w:p w:rsidR="00000000" w:rsidRDefault="000C147A">
      <w:pPr>
        <w:divId w:val="320084935"/>
        <w:rPr>
          <w:rFonts w:eastAsia="Times New Roman"/>
        </w:rPr>
      </w:pPr>
      <w:r>
        <w:rPr>
          <w:rFonts w:eastAsia="Times New Roman"/>
          <w:color w:val="000000"/>
          <w:sz w:val="20"/>
          <w:szCs w:val="20"/>
        </w:rPr>
        <w:t>Revenues derived from any customer did not exceed 10% of revenues for the three and nine months ended Septemb</w:t>
      </w:r>
      <w:r>
        <w:rPr>
          <w:rFonts w:eastAsia="Times New Roman"/>
          <w:color w:val="000000"/>
          <w:sz w:val="20"/>
          <w:szCs w:val="20"/>
        </w:rPr>
        <w:t>er 30, 2020 and 2019.</w:t>
      </w:r>
    </w:p>
    <w:p w:rsidR="00000000" w:rsidRDefault="000C147A">
      <w:pPr>
        <w:divId w:val="830753575"/>
        <w:rPr>
          <w:rFonts w:eastAsia="Times New Roman"/>
        </w:rPr>
      </w:pPr>
      <w:r>
        <w:rPr>
          <w:rFonts w:eastAsia="Times New Roman"/>
          <w:color w:val="000000"/>
          <w:sz w:val="20"/>
          <w:szCs w:val="20"/>
        </w:rPr>
        <w:t>The table below presents Operating earnings (loss) by segment and Corporate and Other and a reconciliation to Net income (loss) attributable to Holdings for the three and nine months ended September 30, 2020 and 2019, respectively:</w:t>
      </w:r>
    </w:p>
    <w:p w:rsidR="00000000" w:rsidRDefault="000C147A">
      <w:pPr>
        <w:jc w:val="center"/>
        <w:divId w:val="826676471"/>
        <w:rPr>
          <w:rFonts w:eastAsia="Times New Roman"/>
        </w:rPr>
      </w:pPr>
      <w:r>
        <w:rPr>
          <w:rFonts w:eastAsia="Times New Roman"/>
          <w:color w:val="000000"/>
          <w:sz w:val="20"/>
          <w:szCs w:val="20"/>
        </w:rPr>
        <w:t>62</w:t>
      </w:r>
    </w:p>
    <w:p w:rsidR="00000000" w:rsidRDefault="000C147A">
      <w:pPr>
        <w:rPr>
          <w:rFonts w:eastAsia="Times New Roman"/>
        </w:rPr>
      </w:pPr>
      <w:r>
        <w:rPr>
          <w:rFonts w:eastAsia="Times New Roman"/>
        </w:rPr>
        <w:pict>
          <v:rect id="_x0000_i1088" style="width:0;height:1.5pt" o:hralign="center" o:hrstd="t" o:hr="t" fillcolor="#a0a0a0" stroked="f"/>
        </w:pict>
      </w:r>
    </w:p>
    <w:p w:rsidR="00000000" w:rsidRDefault="000C147A">
      <w:pPr>
        <w:jc w:val="center"/>
        <w:divId w:val="1476332494"/>
        <w:rPr>
          <w:rFonts w:eastAsia="Times New Roman"/>
        </w:rPr>
      </w:pPr>
      <w:r>
        <w:rPr>
          <w:rFonts w:eastAsia="Times New Roman"/>
          <w:b/>
          <w:bCs/>
          <w:color w:val="000000"/>
          <w:sz w:val="20"/>
          <w:szCs w:val="20"/>
        </w:rPr>
        <w:t>EQUITABLE HOLDINGS, INC.</w:t>
      </w:r>
    </w:p>
    <w:p w:rsidR="00000000" w:rsidRDefault="000C147A">
      <w:pPr>
        <w:jc w:val="center"/>
        <w:divId w:val="1476332494"/>
        <w:rPr>
          <w:rFonts w:eastAsia="Times New Roman"/>
        </w:rPr>
      </w:pPr>
      <w:r>
        <w:rPr>
          <w:rFonts w:eastAsia="Times New Roman"/>
          <w:b/>
          <w:bCs/>
          <w:color w:val="000000"/>
          <w:sz w:val="20"/>
          <w:szCs w:val="20"/>
        </w:rPr>
        <w:t>Notes to Consolidated Financial Statements (Unaudited), Continued</w:t>
      </w:r>
    </w:p>
    <w:tbl>
      <w:tblPr>
        <w:tblW w:w="4605" w:type="pct"/>
        <w:tblCellMar>
          <w:top w:w="15" w:type="dxa"/>
          <w:left w:w="15" w:type="dxa"/>
          <w:bottom w:w="15" w:type="dxa"/>
          <w:right w:w="15" w:type="dxa"/>
        </w:tblCellMar>
        <w:tblLook w:val="04A0" w:firstRow="1" w:lastRow="0" w:firstColumn="1" w:lastColumn="0" w:noHBand="0" w:noVBand="1"/>
      </w:tblPr>
      <w:tblGrid>
        <w:gridCol w:w="40"/>
        <w:gridCol w:w="3740"/>
        <w:gridCol w:w="39"/>
        <w:gridCol w:w="120"/>
        <w:gridCol w:w="683"/>
        <w:gridCol w:w="36"/>
        <w:gridCol w:w="36"/>
        <w:gridCol w:w="36"/>
        <w:gridCol w:w="36"/>
        <w:gridCol w:w="120"/>
        <w:gridCol w:w="683"/>
        <w:gridCol w:w="36"/>
        <w:gridCol w:w="36"/>
        <w:gridCol w:w="36"/>
        <w:gridCol w:w="36"/>
        <w:gridCol w:w="120"/>
        <w:gridCol w:w="683"/>
        <w:gridCol w:w="36"/>
        <w:gridCol w:w="36"/>
        <w:gridCol w:w="36"/>
        <w:gridCol w:w="36"/>
        <w:gridCol w:w="120"/>
        <w:gridCol w:w="618"/>
        <w:gridCol w:w="36"/>
        <w:gridCol w:w="36"/>
        <w:gridCol w:w="36"/>
        <w:gridCol w:w="36"/>
        <w:gridCol w:w="36"/>
        <w:gridCol w:w="36"/>
        <w:gridCol w:w="36"/>
      </w:tblGrid>
      <w:tr w:rsidR="00000000">
        <w:trPr>
          <w:divId w:val="1826627632"/>
        </w:trPr>
        <w:tc>
          <w:tcPr>
            <w:tcW w:w="50" w:type="pct"/>
            <w:vAlign w:val="center"/>
            <w:hideMark/>
          </w:tcPr>
          <w:p w:rsidR="00000000" w:rsidRDefault="000C147A">
            <w:pPr>
              <w:jc w:val="center"/>
              <w:rPr>
                <w:rFonts w:eastAsia="Times New Roman"/>
              </w:rPr>
            </w:pPr>
          </w:p>
        </w:tc>
        <w:tc>
          <w:tcPr>
            <w:tcW w:w="258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2662763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attributable to Holdings</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(779)</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Variable annuity product features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adjustments (2)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Income tax expense (benefit) related to above adjustments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(685)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Earnings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Height w:val="28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Operating earnings (loss) by segment: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Group Retirement</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Management and Research</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Protection Solutions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2662763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and Other (5)</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960336631"/>
        <w:rPr>
          <w:rFonts w:eastAsia="Times New Roman"/>
        </w:rPr>
      </w:pPr>
      <w:r>
        <w:rPr>
          <w:rFonts w:eastAsia="Times New Roman"/>
          <w:color w:val="000000"/>
          <w:sz w:val="18"/>
          <w:szCs w:val="18"/>
        </w:rPr>
        <w:t>______________</w:t>
      </w:r>
    </w:p>
    <w:p w:rsidR="00000000" w:rsidRDefault="000C147A">
      <w:pPr>
        <w:ind w:hanging="360"/>
        <w:divId w:val="408963462"/>
        <w:rPr>
          <w:rFonts w:eastAsia="Times New Roman"/>
        </w:rPr>
      </w:pPr>
      <w:r>
        <w:rPr>
          <w:rFonts w:eastAsia="Times New Roman"/>
          <w:color w:val="000000"/>
          <w:sz w:val="18"/>
          <w:szCs w:val="18"/>
        </w:rPr>
        <w:t>(1)Includes COVID-19 impact on Variable annuity product features due to a first quarter 2020 assumption update of $1.5 billion a</w:t>
      </w:r>
      <w:r>
        <w:rPr>
          <w:rFonts w:eastAsia="Times New Roman"/>
          <w:color w:val="000000"/>
          <w:sz w:val="18"/>
          <w:szCs w:val="18"/>
        </w:rPr>
        <w:t>nd other COVID-19 related impacts of $35 million for the nine months ended September 30, 2020.</w:t>
      </w:r>
    </w:p>
    <w:p w:rsidR="00000000" w:rsidRDefault="000C147A">
      <w:pPr>
        <w:ind w:hanging="360"/>
        <w:divId w:val="1056709766"/>
        <w:rPr>
          <w:rFonts w:eastAsia="Times New Roman"/>
        </w:rPr>
      </w:pPr>
      <w:r>
        <w:rPr>
          <w:rFonts w:eastAsia="Times New Roman"/>
          <w:color w:val="000000"/>
          <w:sz w:val="18"/>
          <w:szCs w:val="18"/>
        </w:rPr>
        <w:t>(2)Includes COVID-19 impact on Other adjustments due to a first quarter 2020 assumption update of $1,049 million and other COVID-19 related impacts of $86 millio</w:t>
      </w:r>
      <w:r>
        <w:rPr>
          <w:rFonts w:eastAsia="Times New Roman"/>
          <w:color w:val="000000"/>
          <w:sz w:val="18"/>
          <w:szCs w:val="18"/>
        </w:rPr>
        <w:t>n for the nine months ended September 30, 2020.</w:t>
      </w:r>
    </w:p>
    <w:p w:rsidR="00000000" w:rsidRDefault="000C147A">
      <w:pPr>
        <w:ind w:hanging="360"/>
        <w:divId w:val="1609049216"/>
        <w:rPr>
          <w:rFonts w:eastAsia="Times New Roman"/>
        </w:rPr>
      </w:pPr>
      <w:r>
        <w:rPr>
          <w:rFonts w:eastAsia="Times New Roman"/>
          <w:color w:val="000000"/>
          <w:sz w:val="18"/>
          <w:szCs w:val="18"/>
        </w:rPr>
        <w:t xml:space="preserve">(3)Include separation costs of $37 million, $39 million,$108 million and $121 </w:t>
      </w:r>
      <w:r>
        <w:rPr>
          <w:rFonts w:eastAsia="Times New Roman"/>
          <w:color w:val="000000"/>
          <w:sz w:val="18"/>
          <w:szCs w:val="18"/>
        </w:rPr>
        <w:t>million for the three and nine months ended September 30, 2020 and 2019, respectively.</w:t>
      </w:r>
    </w:p>
    <w:p w:rsidR="00000000" w:rsidRDefault="000C147A">
      <w:pPr>
        <w:ind w:hanging="360"/>
        <w:divId w:val="1599675289"/>
        <w:rPr>
          <w:rFonts w:eastAsia="Times New Roman"/>
        </w:rPr>
      </w:pPr>
      <w:r>
        <w:rPr>
          <w:rFonts w:eastAsia="Times New Roman"/>
          <w:color w:val="000000"/>
          <w:sz w:val="18"/>
          <w:szCs w:val="18"/>
        </w:rPr>
        <w:t>(4)Includes income taxes of $554 million for the above COVID-19 items for the nine months ended September 30, 2020.</w:t>
      </w:r>
    </w:p>
    <w:p w:rsidR="00000000" w:rsidRDefault="000C147A">
      <w:pPr>
        <w:ind w:hanging="360"/>
        <w:divId w:val="1560745502"/>
        <w:rPr>
          <w:rFonts w:eastAsia="Times New Roman"/>
        </w:rPr>
      </w:pPr>
      <w:r>
        <w:rPr>
          <w:rFonts w:eastAsia="Times New Roman"/>
          <w:color w:val="000000"/>
          <w:sz w:val="18"/>
          <w:szCs w:val="18"/>
        </w:rPr>
        <w:t>(5)</w:t>
      </w:r>
      <w:r>
        <w:rPr>
          <w:rFonts w:eastAsia="Times New Roman"/>
          <w:color w:val="000000"/>
          <w:sz w:val="18"/>
          <w:szCs w:val="18"/>
        </w:rPr>
        <w:t>Includes interest expense and financing fees of $56 million, $59 million, $164 million and $170 million for the three and nine months ended September 30, 2020 and 2019, respectively.</w:t>
      </w:r>
    </w:p>
    <w:p w:rsidR="00000000" w:rsidRDefault="000C147A">
      <w:pPr>
        <w:divId w:val="2114935223"/>
        <w:rPr>
          <w:rFonts w:eastAsia="Times New Roman"/>
        </w:rPr>
      </w:pPr>
      <w:r>
        <w:rPr>
          <w:rFonts w:eastAsia="Times New Roman"/>
          <w:color w:val="000000"/>
          <w:sz w:val="20"/>
          <w:szCs w:val="20"/>
        </w:rPr>
        <w:t>Segment revenues is a measure of the Company’s revenue by segment as adju</w:t>
      </w:r>
      <w:r>
        <w:rPr>
          <w:rFonts w:eastAsia="Times New Roman"/>
          <w:color w:val="000000"/>
          <w:sz w:val="20"/>
          <w:szCs w:val="20"/>
        </w:rPr>
        <w:t>sted to exclude certain items. The following table reconciles segment revenues to total revenues by excluding the following items:</w:t>
      </w:r>
    </w:p>
    <w:p w:rsidR="00000000" w:rsidRDefault="000C147A">
      <w:pPr>
        <w:ind w:hanging="360"/>
        <w:jc w:val="both"/>
        <w:divId w:val="1993632314"/>
        <w:rPr>
          <w:rFonts w:eastAsia="Times New Roman"/>
        </w:rPr>
      </w:pPr>
      <w:r>
        <w:rPr>
          <w:rFonts w:eastAsia="Times New Roman"/>
          <w:color w:val="000000"/>
          <w:sz w:val="20"/>
          <w:szCs w:val="20"/>
        </w:rPr>
        <w:t>•Items related to variable annuity product features, which include certain changes in the fair value of the derivatives and o</w:t>
      </w:r>
      <w:r>
        <w:rPr>
          <w:rFonts w:eastAsia="Times New Roman"/>
          <w:color w:val="000000"/>
          <w:sz w:val="20"/>
          <w:szCs w:val="20"/>
        </w:rPr>
        <w:t>ther securities we use to hedge these features and changes in the fair value of the embedded derivatives reflected within the net derivative results of variable annuity product features;</w:t>
      </w:r>
    </w:p>
    <w:p w:rsidR="00000000" w:rsidRDefault="000C147A">
      <w:pPr>
        <w:ind w:hanging="360"/>
        <w:jc w:val="both"/>
        <w:divId w:val="1777554658"/>
        <w:rPr>
          <w:rFonts w:eastAsia="Times New Roman"/>
        </w:rPr>
      </w:pPr>
      <w:r>
        <w:rPr>
          <w:rFonts w:eastAsia="Times New Roman"/>
          <w:color w:val="000000"/>
          <w:sz w:val="20"/>
          <w:szCs w:val="20"/>
        </w:rPr>
        <w:t>•Investment (gains) losses, which includes credit loss impairments of</w:t>
      </w:r>
      <w:r>
        <w:rPr>
          <w:rFonts w:eastAsia="Times New Roman"/>
          <w:color w:val="000000"/>
          <w:sz w:val="20"/>
          <w:szCs w:val="20"/>
        </w:rPr>
        <w:t xml:space="preserve"> securities/investments, sales or disposals of securities/investments, realized capital gains/losses and valuation allowances; </w:t>
      </w:r>
    </w:p>
    <w:p w:rsidR="00000000" w:rsidRDefault="000C147A">
      <w:pPr>
        <w:ind w:hanging="360"/>
        <w:divId w:val="1911503868"/>
        <w:rPr>
          <w:rFonts w:eastAsia="Times New Roman"/>
        </w:rPr>
      </w:pPr>
      <w:r>
        <w:rPr>
          <w:rFonts w:eastAsia="Times New Roman"/>
          <w:color w:val="000000"/>
          <w:sz w:val="20"/>
          <w:szCs w:val="20"/>
        </w:rPr>
        <w:t>•Other adjustments, which includes investment income (loss) from certain derivative instruments, excluding derivative instrument</w:t>
      </w:r>
      <w:r>
        <w:rPr>
          <w:rFonts w:eastAsia="Times New Roman"/>
          <w:color w:val="000000"/>
          <w:sz w:val="20"/>
          <w:szCs w:val="20"/>
        </w:rPr>
        <w:t>s used to hedge risks associated with interest margins on interest sensitive life and annuity contracts and freestanding and embedded derivatives associated with products with GMxB features.</w:t>
      </w:r>
    </w:p>
    <w:p w:rsidR="00000000" w:rsidRDefault="000C147A">
      <w:pPr>
        <w:jc w:val="center"/>
        <w:divId w:val="1560559234"/>
        <w:rPr>
          <w:rFonts w:eastAsia="Times New Roman"/>
        </w:rPr>
      </w:pPr>
      <w:r>
        <w:rPr>
          <w:rFonts w:eastAsia="Times New Roman"/>
          <w:color w:val="000000"/>
          <w:sz w:val="20"/>
          <w:szCs w:val="20"/>
        </w:rPr>
        <w:t>63</w:t>
      </w:r>
    </w:p>
    <w:p w:rsidR="00000000" w:rsidRDefault="000C147A">
      <w:pPr>
        <w:rPr>
          <w:rFonts w:eastAsia="Times New Roman"/>
        </w:rPr>
      </w:pPr>
      <w:r>
        <w:rPr>
          <w:rFonts w:eastAsia="Times New Roman"/>
        </w:rPr>
        <w:pict>
          <v:rect id="_x0000_i1089" style="width:0;height:1.5pt" o:hralign="center" o:hrstd="t" o:hr="t" fillcolor="#a0a0a0" stroked="f"/>
        </w:pict>
      </w:r>
    </w:p>
    <w:p w:rsidR="00000000" w:rsidRDefault="000C147A">
      <w:pPr>
        <w:jc w:val="center"/>
        <w:divId w:val="1472092177"/>
        <w:rPr>
          <w:rFonts w:eastAsia="Times New Roman"/>
        </w:rPr>
      </w:pPr>
      <w:r>
        <w:rPr>
          <w:rFonts w:eastAsia="Times New Roman"/>
          <w:b/>
          <w:bCs/>
          <w:color w:val="000000"/>
          <w:sz w:val="20"/>
          <w:szCs w:val="20"/>
        </w:rPr>
        <w:t>EQUITABLE HOLDINGS, INC.</w:t>
      </w:r>
    </w:p>
    <w:p w:rsidR="00000000" w:rsidRDefault="000C147A">
      <w:pPr>
        <w:jc w:val="center"/>
        <w:divId w:val="1472092177"/>
        <w:rPr>
          <w:rFonts w:eastAsia="Times New Roman"/>
        </w:rPr>
      </w:pPr>
      <w:r>
        <w:rPr>
          <w:rFonts w:eastAsia="Times New Roman"/>
          <w:b/>
          <w:bCs/>
          <w:color w:val="000000"/>
          <w:sz w:val="20"/>
          <w:szCs w:val="20"/>
        </w:rPr>
        <w:t>N</w:t>
      </w:r>
      <w:r>
        <w:rPr>
          <w:rFonts w:eastAsia="Times New Roman"/>
          <w:b/>
          <w:bCs/>
          <w:color w:val="000000"/>
          <w:sz w:val="20"/>
          <w:szCs w:val="20"/>
        </w:rPr>
        <w:t>otes to Consolidated Financial Statements (Unaudited), Continued</w:t>
      </w:r>
    </w:p>
    <w:p w:rsidR="00000000" w:rsidRDefault="000C147A">
      <w:pPr>
        <w:divId w:val="340284610"/>
        <w:rPr>
          <w:rFonts w:eastAsia="Times New Roman"/>
        </w:rPr>
      </w:pPr>
      <w:r>
        <w:rPr>
          <w:rFonts w:eastAsia="Times New Roman"/>
          <w:color w:val="000000"/>
          <w:sz w:val="20"/>
          <w:szCs w:val="20"/>
        </w:rPr>
        <w:t>The table below presents segment revenues for the three and nine months ended September 30, 2020 and 2019.</w:t>
      </w:r>
    </w:p>
    <w:tbl>
      <w:tblPr>
        <w:tblW w:w="4634" w:type="pct"/>
        <w:tblCellMar>
          <w:top w:w="15" w:type="dxa"/>
          <w:left w:w="15" w:type="dxa"/>
          <w:bottom w:w="15" w:type="dxa"/>
          <w:right w:w="15" w:type="dxa"/>
        </w:tblCellMar>
        <w:tblLook w:val="04A0" w:firstRow="1" w:lastRow="0" w:firstColumn="1" w:lastColumn="0" w:noHBand="0" w:noVBand="1"/>
      </w:tblPr>
      <w:tblGrid>
        <w:gridCol w:w="39"/>
        <w:gridCol w:w="3790"/>
        <w:gridCol w:w="38"/>
        <w:gridCol w:w="120"/>
        <w:gridCol w:w="682"/>
        <w:gridCol w:w="36"/>
        <w:gridCol w:w="36"/>
        <w:gridCol w:w="36"/>
        <w:gridCol w:w="36"/>
        <w:gridCol w:w="120"/>
        <w:gridCol w:w="682"/>
        <w:gridCol w:w="36"/>
        <w:gridCol w:w="36"/>
        <w:gridCol w:w="36"/>
        <w:gridCol w:w="36"/>
        <w:gridCol w:w="120"/>
        <w:gridCol w:w="682"/>
        <w:gridCol w:w="36"/>
        <w:gridCol w:w="36"/>
        <w:gridCol w:w="36"/>
        <w:gridCol w:w="36"/>
        <w:gridCol w:w="120"/>
        <w:gridCol w:w="621"/>
        <w:gridCol w:w="36"/>
        <w:gridCol w:w="36"/>
        <w:gridCol w:w="36"/>
        <w:gridCol w:w="36"/>
        <w:gridCol w:w="36"/>
        <w:gridCol w:w="36"/>
        <w:gridCol w:w="36"/>
      </w:tblGrid>
      <w:tr w:rsidR="00000000">
        <w:trPr>
          <w:divId w:val="819882992"/>
        </w:trPr>
        <w:tc>
          <w:tcPr>
            <w:tcW w:w="50" w:type="pct"/>
            <w:vAlign w:val="center"/>
            <w:hideMark/>
          </w:tcPr>
          <w:p w:rsidR="00000000" w:rsidRDefault="000C147A">
            <w:pPr>
              <w:rPr>
                <w:rFonts w:eastAsia="Times New Roman"/>
              </w:rPr>
            </w:pPr>
          </w:p>
        </w:tc>
        <w:tc>
          <w:tcPr>
            <w:tcW w:w="26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tcMar>
              <w:top w:w="30" w:type="dxa"/>
              <w:left w:w="20" w:type="dxa"/>
              <w:bottom w:w="30" w:type="dxa"/>
              <w:right w:w="20" w:type="dxa"/>
            </w:tcMar>
            <w:vAlign w:val="bottom"/>
            <w:hideMark/>
          </w:tcPr>
          <w:p w:rsidR="00000000" w:rsidRDefault="000C147A">
            <w:pPr>
              <w:divId w:val="1244292447"/>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19882992"/>
        </w:trPr>
        <w:tc>
          <w:tcPr>
            <w:tcW w:w="0" w:type="auto"/>
            <w:gridSpan w:val="3"/>
            <w:tcMar>
              <w:top w:w="30" w:type="dxa"/>
              <w:left w:w="20" w:type="dxa"/>
              <w:bottom w:w="30" w:type="dxa"/>
              <w:right w:w="20" w:type="dxa"/>
            </w:tcMar>
            <w:vAlign w:val="bottom"/>
            <w:hideMark/>
          </w:tcPr>
          <w:p w:rsidR="00000000" w:rsidRDefault="000C147A">
            <w:pPr>
              <w:divId w:val="11332942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1988299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Segment revenues: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3,253 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Group Retirement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Management and Research (2)</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872 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Protection Solutions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(608)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adjustments to segment revenues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1988299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11,899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270"/>
        <w:divId w:val="239027933"/>
        <w:rPr>
          <w:rFonts w:eastAsia="Times New Roman"/>
        </w:rPr>
      </w:pPr>
      <w:r>
        <w:rPr>
          <w:rFonts w:eastAsia="Times New Roman"/>
          <w:color w:val="000000"/>
          <w:sz w:val="18"/>
          <w:szCs w:val="18"/>
        </w:rPr>
        <w:t>______________</w:t>
      </w:r>
    </w:p>
    <w:p w:rsidR="00000000" w:rsidRDefault="000C147A">
      <w:pPr>
        <w:ind w:hanging="360"/>
        <w:divId w:val="473719478"/>
        <w:rPr>
          <w:rFonts w:eastAsia="Times New Roman"/>
        </w:rPr>
      </w:pPr>
      <w:r>
        <w:rPr>
          <w:rFonts w:eastAsia="Times New Roman"/>
          <w:color w:val="000000"/>
          <w:sz w:val="18"/>
          <w:szCs w:val="18"/>
        </w:rPr>
        <w:t xml:space="preserve">(1)Includes investment expenses charged by AB of $17 million, $18 million, $51 million and $57 million for the three and nine months ended September 30, </w:t>
      </w:r>
      <w:r>
        <w:rPr>
          <w:rFonts w:eastAsia="Times New Roman"/>
          <w:color w:val="000000"/>
          <w:sz w:val="18"/>
          <w:szCs w:val="18"/>
        </w:rPr>
        <w:t>2020 and 2019, respectively, for services provided to the Company.</w:t>
      </w:r>
    </w:p>
    <w:p w:rsidR="00000000" w:rsidRDefault="000C147A">
      <w:pPr>
        <w:ind w:hanging="360"/>
        <w:divId w:val="351997482"/>
        <w:rPr>
          <w:rFonts w:eastAsia="Times New Roman"/>
        </w:rPr>
      </w:pPr>
      <w:r>
        <w:rPr>
          <w:rFonts w:eastAsia="Times New Roman"/>
          <w:color w:val="000000"/>
          <w:sz w:val="18"/>
          <w:szCs w:val="18"/>
        </w:rPr>
        <w:t>(2)Inter-segment investment management and other fees of $28 million, $26 million, $82 million and $77 million for the three and nine months ended September 30, 2020 and 2019, respectively,</w:t>
      </w:r>
      <w:r>
        <w:rPr>
          <w:rFonts w:eastAsia="Times New Roman"/>
          <w:color w:val="000000"/>
          <w:sz w:val="18"/>
          <w:szCs w:val="18"/>
        </w:rPr>
        <w:t xml:space="preserve"> are included in segment revenues of the Investment Management and Research segment.</w:t>
      </w:r>
    </w:p>
    <w:p w:rsidR="00000000" w:rsidRDefault="000C147A">
      <w:pPr>
        <w:ind w:hanging="360"/>
        <w:divId w:val="1637685362"/>
        <w:rPr>
          <w:rFonts w:eastAsia="Times New Roman"/>
        </w:rPr>
      </w:pPr>
      <w:r>
        <w:rPr>
          <w:rFonts w:eastAsia="Times New Roman"/>
          <w:color w:val="000000"/>
          <w:sz w:val="18"/>
          <w:szCs w:val="18"/>
        </w:rPr>
        <w:t>(3)Includes COVID-19 impact on other adjustments due to an assumption update of $46 million and other COVID-19 related impacts of $(30) million for the nine months ended S</w:t>
      </w:r>
      <w:r>
        <w:rPr>
          <w:rFonts w:eastAsia="Times New Roman"/>
          <w:color w:val="000000"/>
          <w:sz w:val="18"/>
          <w:szCs w:val="18"/>
        </w:rPr>
        <w:t xml:space="preserve">eptember 30, 2020. </w:t>
      </w:r>
    </w:p>
    <w:p w:rsidR="00000000" w:rsidRDefault="000C147A">
      <w:pPr>
        <w:divId w:val="1822848769"/>
        <w:rPr>
          <w:rFonts w:eastAsia="Times New Roman"/>
        </w:rPr>
      </w:pPr>
      <w:r>
        <w:rPr>
          <w:rFonts w:eastAsia="Times New Roman"/>
          <w:color w:val="000000"/>
          <w:sz w:val="20"/>
          <w:szCs w:val="20"/>
        </w:rPr>
        <w:t>The table below presents total assets by segment as of September 30, 2020 and December 31, 2019:</w:t>
      </w:r>
    </w:p>
    <w:tbl>
      <w:tblPr>
        <w:tblW w:w="4649" w:type="pct"/>
        <w:tblCellMar>
          <w:top w:w="15" w:type="dxa"/>
          <w:left w:w="15" w:type="dxa"/>
          <w:bottom w:w="15" w:type="dxa"/>
          <w:right w:w="15" w:type="dxa"/>
        </w:tblCellMar>
        <w:tblLook w:val="04A0" w:firstRow="1" w:lastRow="0" w:firstColumn="1" w:lastColumn="0" w:noHBand="0" w:noVBand="1"/>
      </w:tblPr>
      <w:tblGrid>
        <w:gridCol w:w="39"/>
        <w:gridCol w:w="4998"/>
        <w:gridCol w:w="38"/>
        <w:gridCol w:w="120"/>
        <w:gridCol w:w="1132"/>
        <w:gridCol w:w="36"/>
        <w:gridCol w:w="36"/>
        <w:gridCol w:w="36"/>
        <w:gridCol w:w="36"/>
        <w:gridCol w:w="120"/>
        <w:gridCol w:w="1096"/>
        <w:gridCol w:w="36"/>
      </w:tblGrid>
      <w:tr w:rsidR="00000000">
        <w:trPr>
          <w:divId w:val="1956326944"/>
        </w:trPr>
        <w:tc>
          <w:tcPr>
            <w:tcW w:w="50" w:type="pct"/>
            <w:vAlign w:val="center"/>
            <w:hideMark/>
          </w:tcPr>
          <w:p w:rsidR="00000000" w:rsidRDefault="000C147A">
            <w:pPr>
              <w:rPr>
                <w:rFonts w:eastAsia="Times New Roman"/>
              </w:rPr>
            </w:pPr>
          </w:p>
        </w:tc>
        <w:tc>
          <w:tcPr>
            <w:tcW w:w="327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956326944"/>
        </w:trPr>
        <w:tc>
          <w:tcPr>
            <w:tcW w:w="0" w:type="auto"/>
            <w:gridSpan w:val="3"/>
            <w:tcMar>
              <w:top w:w="30" w:type="dxa"/>
              <w:left w:w="20" w:type="dxa"/>
              <w:bottom w:w="30" w:type="dxa"/>
              <w:right w:w="20" w:type="dxa"/>
            </w:tcMar>
            <w:vAlign w:val="bottom"/>
            <w:hideMark/>
          </w:tcPr>
          <w:p w:rsidR="00000000" w:rsidRDefault="000C147A">
            <w:pPr>
              <w:divId w:val="315187306"/>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195632694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95632694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5632694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129,265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123,627 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5632694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43,590 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56326944"/>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10,170 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56326944"/>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46,832 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56326944"/>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25,599 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56326944"/>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262,496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249,818 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355623841"/>
        <w:rPr>
          <w:rFonts w:eastAsia="Times New Roman"/>
        </w:rPr>
      </w:pPr>
    </w:p>
    <w:p w:rsidR="00000000" w:rsidRDefault="000C147A">
      <w:pPr>
        <w:divId w:val="867571082"/>
        <w:rPr>
          <w:rFonts w:eastAsia="Times New Roman"/>
        </w:rPr>
      </w:pPr>
      <w:r>
        <w:rPr>
          <w:rFonts w:eastAsia="Times New Roman"/>
          <w:b/>
          <w:bCs/>
          <w:color w:val="000000"/>
          <w:sz w:val="20"/>
          <w:szCs w:val="20"/>
        </w:rPr>
        <w:t>15)    EARNINGS PER COMMON SHARE</w:t>
      </w:r>
    </w:p>
    <w:p w:rsidR="00000000" w:rsidRDefault="000C147A">
      <w:pPr>
        <w:divId w:val="1474447595"/>
        <w:rPr>
          <w:rFonts w:eastAsia="Times New Roman"/>
        </w:rPr>
      </w:pPr>
      <w:r>
        <w:rPr>
          <w:rFonts w:eastAsia="Times New Roman"/>
          <w:color w:val="000000"/>
          <w:sz w:val="20"/>
          <w:szCs w:val="20"/>
        </w:rPr>
        <w:t>The following table presents a reconciliation of Net income (loss) and Weighted-average common shares used in calculating basic and diluted Earnings per common share for the periods indicated:</w:t>
      </w:r>
    </w:p>
    <w:p w:rsidR="00000000" w:rsidRDefault="000C147A">
      <w:pPr>
        <w:jc w:val="center"/>
        <w:divId w:val="2071154817"/>
        <w:rPr>
          <w:rFonts w:eastAsia="Times New Roman"/>
        </w:rPr>
      </w:pPr>
      <w:r>
        <w:rPr>
          <w:rFonts w:eastAsia="Times New Roman"/>
          <w:color w:val="000000"/>
          <w:sz w:val="20"/>
          <w:szCs w:val="20"/>
        </w:rPr>
        <w:t>64</w:t>
      </w:r>
    </w:p>
    <w:p w:rsidR="00000000" w:rsidRDefault="000C147A">
      <w:pPr>
        <w:rPr>
          <w:rFonts w:eastAsia="Times New Roman"/>
        </w:rPr>
      </w:pPr>
      <w:r>
        <w:rPr>
          <w:rFonts w:eastAsia="Times New Roman"/>
        </w:rPr>
        <w:pict>
          <v:rect id="_x0000_i1090" style="width:0;height:1.5pt" o:hralign="center" o:hrstd="t" o:hr="t" fillcolor="#a0a0a0" stroked="f"/>
        </w:pict>
      </w:r>
    </w:p>
    <w:p w:rsidR="00000000" w:rsidRDefault="000C147A">
      <w:pPr>
        <w:jc w:val="center"/>
        <w:divId w:val="412894767"/>
        <w:rPr>
          <w:rFonts w:eastAsia="Times New Roman"/>
        </w:rPr>
      </w:pPr>
      <w:r>
        <w:rPr>
          <w:rFonts w:eastAsia="Times New Roman"/>
          <w:b/>
          <w:bCs/>
          <w:color w:val="000000"/>
          <w:sz w:val="20"/>
          <w:szCs w:val="20"/>
        </w:rPr>
        <w:t>EQUITABLE HOLDINGS, INC.</w:t>
      </w:r>
    </w:p>
    <w:p w:rsidR="00000000" w:rsidRDefault="000C147A">
      <w:pPr>
        <w:jc w:val="center"/>
        <w:divId w:val="412894767"/>
        <w:rPr>
          <w:rFonts w:eastAsia="Times New Roman"/>
        </w:rPr>
      </w:pPr>
      <w:r>
        <w:rPr>
          <w:rFonts w:eastAsia="Times New Roman"/>
          <w:b/>
          <w:bCs/>
          <w:color w:val="000000"/>
          <w:sz w:val="20"/>
          <w:szCs w:val="20"/>
        </w:rPr>
        <w:t>Notes to Consolidated Financial Statements (Unaudited), Continued</w:t>
      </w:r>
    </w:p>
    <w:tbl>
      <w:tblPr>
        <w:tblW w:w="4736" w:type="pct"/>
        <w:tblCellMar>
          <w:top w:w="15" w:type="dxa"/>
          <w:left w:w="15" w:type="dxa"/>
          <w:bottom w:w="15" w:type="dxa"/>
          <w:right w:w="15" w:type="dxa"/>
        </w:tblCellMar>
        <w:tblLook w:val="04A0" w:firstRow="1" w:lastRow="0" w:firstColumn="1" w:lastColumn="0" w:noHBand="0" w:noVBand="1"/>
      </w:tblPr>
      <w:tblGrid>
        <w:gridCol w:w="41"/>
        <w:gridCol w:w="3009"/>
        <w:gridCol w:w="38"/>
        <w:gridCol w:w="120"/>
        <w:gridCol w:w="920"/>
        <w:gridCol w:w="36"/>
        <w:gridCol w:w="36"/>
        <w:gridCol w:w="36"/>
        <w:gridCol w:w="36"/>
        <w:gridCol w:w="120"/>
        <w:gridCol w:w="920"/>
        <w:gridCol w:w="36"/>
        <w:gridCol w:w="36"/>
        <w:gridCol w:w="36"/>
        <w:gridCol w:w="36"/>
        <w:gridCol w:w="120"/>
        <w:gridCol w:w="920"/>
        <w:gridCol w:w="36"/>
        <w:gridCol w:w="36"/>
        <w:gridCol w:w="36"/>
        <w:gridCol w:w="36"/>
        <w:gridCol w:w="120"/>
        <w:gridCol w:w="855"/>
        <w:gridCol w:w="36"/>
        <w:gridCol w:w="36"/>
        <w:gridCol w:w="36"/>
        <w:gridCol w:w="36"/>
        <w:gridCol w:w="36"/>
        <w:gridCol w:w="36"/>
        <w:gridCol w:w="36"/>
      </w:tblGrid>
      <w:tr w:rsidR="00000000">
        <w:trPr>
          <w:divId w:val="2084258922"/>
        </w:trPr>
        <w:tc>
          <w:tcPr>
            <w:tcW w:w="50" w:type="pct"/>
            <w:vAlign w:val="center"/>
            <w:hideMark/>
          </w:tcPr>
          <w:p w:rsidR="00000000" w:rsidRDefault="000C147A">
            <w:pPr>
              <w:jc w:val="center"/>
              <w:rPr>
                <w:rFonts w:eastAsia="Times New Roman"/>
              </w:rPr>
            </w:pPr>
          </w:p>
        </w:tc>
        <w:tc>
          <w:tcPr>
            <w:tcW w:w="20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tcMar>
              <w:top w:w="30" w:type="dxa"/>
              <w:left w:w="20" w:type="dxa"/>
              <w:bottom w:w="30" w:type="dxa"/>
              <w:right w:w="20" w:type="dxa"/>
            </w:tcMar>
            <w:vAlign w:val="bottom"/>
            <w:hideMark/>
          </w:tcPr>
          <w:p w:rsidR="00000000" w:rsidRDefault="000C147A">
            <w:pPr>
              <w:divId w:val="32748882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0C147A">
            <w:pP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84258922"/>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0" w:type="dxa"/>
              <w:bottom w:w="30" w:type="dxa"/>
              <w:right w:w="20" w:type="dxa"/>
            </w:tcMar>
            <w:vAlign w:val="bottom"/>
            <w:hideMark/>
          </w:tcPr>
          <w:p w:rsidR="00000000" w:rsidRDefault="000C147A">
            <w:pPr>
              <w:divId w:val="1603338959"/>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Effect of dilutive potential common shares: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Employee share awards (1)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20" w:type="dxa"/>
              <w:bottom w:w="30" w:type="dxa"/>
              <w:right w:w="20" w:type="dxa"/>
            </w:tcMar>
            <w:vAlign w:val="bottom"/>
            <w:hideMark/>
          </w:tcPr>
          <w:p w:rsidR="00000000" w:rsidRDefault="000C147A">
            <w:pPr>
              <w:divId w:val="1358921398"/>
              <w:rPr>
                <w:rFonts w:eastAsia="Times New Roman"/>
              </w:rPr>
            </w:pPr>
            <w:r>
              <w:rPr>
                <w:rFonts w:eastAsia="Times New Roman"/>
                <w:color w:val="000000"/>
                <w:sz w:val="20"/>
                <w:szCs w:val="20"/>
              </w:rPr>
              <w:t>Weighted-average common shares outstanding — diluted (2) (3)</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tcBorders>
              <w:top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454.1</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tcBorders>
              <w:top w:val="double" w:sz="6"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495"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(1.77)</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20"/>
                <w:szCs w:val="20"/>
              </w:rPr>
              <w:t>(0.76)</w:t>
            </w:r>
          </w:p>
        </w:tc>
        <w:tc>
          <w:tcPr>
            <w:tcW w:w="0" w:type="auto"/>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0C147A">
            <w:pPr>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425892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852954365"/>
        <w:rPr>
          <w:rFonts w:eastAsia="Times New Roman"/>
        </w:rPr>
      </w:pPr>
      <w:r>
        <w:rPr>
          <w:rFonts w:eastAsia="Times New Roman"/>
          <w:color w:val="000000"/>
          <w:sz w:val="18"/>
          <w:szCs w:val="18"/>
        </w:rPr>
        <w:t>____</w:t>
      </w:r>
      <w:r>
        <w:rPr>
          <w:rFonts w:eastAsia="Times New Roman"/>
          <w:color w:val="000000"/>
          <w:sz w:val="18"/>
          <w:szCs w:val="18"/>
        </w:rPr>
        <w:t>_________</w:t>
      </w:r>
    </w:p>
    <w:p w:rsidR="00000000" w:rsidRDefault="000C147A">
      <w:pPr>
        <w:ind w:hanging="360"/>
        <w:divId w:val="1159544663"/>
        <w:rPr>
          <w:rFonts w:eastAsia="Times New Roman"/>
        </w:rPr>
      </w:pPr>
      <w:r>
        <w:rPr>
          <w:rFonts w:eastAsia="Times New Roman"/>
          <w:color w:val="000000"/>
          <w:sz w:val="18"/>
          <w:szCs w:val="18"/>
        </w:rPr>
        <w:t>(1)Calculated using the treasury stock method.</w:t>
      </w:r>
    </w:p>
    <w:p w:rsidR="00000000" w:rsidRDefault="000C147A">
      <w:pPr>
        <w:ind w:hanging="360"/>
        <w:divId w:val="25562970"/>
        <w:rPr>
          <w:rFonts w:eastAsia="Times New Roman"/>
        </w:rPr>
      </w:pPr>
      <w:r>
        <w:rPr>
          <w:rFonts w:eastAsia="Times New Roman"/>
          <w:color w:val="000000"/>
          <w:sz w:val="18"/>
          <w:szCs w:val="18"/>
        </w:rPr>
        <w:t>(2)Due to net loss for the three months ended September 30, 2020 and three and nine months ended September 30, 2019 , approximately 1.5 million, 1.0 million and 0.8 million more shares, respectively,</w:t>
      </w:r>
      <w:r>
        <w:rPr>
          <w:rFonts w:eastAsia="Times New Roman"/>
          <w:color w:val="000000"/>
          <w:sz w:val="18"/>
          <w:szCs w:val="18"/>
        </w:rPr>
        <w:t xml:space="preserve"> were excluded from the diluted earnings per common share calculation than would have been excluded as being anti-dilutive under the treasury stock method.</w:t>
      </w:r>
    </w:p>
    <w:p w:rsidR="00000000" w:rsidRDefault="000C147A">
      <w:pPr>
        <w:ind w:hanging="360"/>
        <w:divId w:val="1882130332"/>
        <w:rPr>
          <w:rFonts w:eastAsia="Times New Roman"/>
        </w:rPr>
      </w:pPr>
      <w:r>
        <w:rPr>
          <w:rFonts w:eastAsia="Times New Roman"/>
          <w:color w:val="000000"/>
          <w:sz w:val="18"/>
          <w:szCs w:val="18"/>
        </w:rPr>
        <w:t>(3)Weighted-average common shares outstanding - diluted may not foot precisely due to rounding.</w:t>
      </w:r>
    </w:p>
    <w:p w:rsidR="00000000" w:rsidRDefault="000C147A">
      <w:pPr>
        <w:divId w:val="80373453"/>
        <w:rPr>
          <w:rFonts w:eastAsia="Times New Roman"/>
        </w:rPr>
      </w:pPr>
      <w:r>
        <w:rPr>
          <w:rFonts w:eastAsia="Times New Roman"/>
          <w:color w:val="000000"/>
          <w:sz w:val="20"/>
          <w:szCs w:val="20"/>
        </w:rPr>
        <w:t xml:space="preserve">For </w:t>
      </w:r>
      <w:r>
        <w:rPr>
          <w:rFonts w:eastAsia="Times New Roman"/>
          <w:color w:val="000000"/>
          <w:sz w:val="20"/>
          <w:szCs w:val="20"/>
        </w:rPr>
        <w:t>the three and nine months ended September 30, 2020 and 2019, 8.2 million, 8.4 million, 4.6 million and 6.2 million of outstanding stock awards, respectively, were not included in the computation of diluted earnings per share because their effect was anti-d</w:t>
      </w:r>
      <w:r>
        <w:rPr>
          <w:rFonts w:eastAsia="Times New Roman"/>
          <w:color w:val="000000"/>
          <w:sz w:val="20"/>
          <w:szCs w:val="20"/>
        </w:rPr>
        <w:t>ilutive.</w:t>
      </w:r>
    </w:p>
    <w:p w:rsidR="00000000" w:rsidRDefault="000C147A">
      <w:pPr>
        <w:jc w:val="center"/>
        <w:divId w:val="1735351257"/>
        <w:rPr>
          <w:rFonts w:eastAsia="Times New Roman"/>
        </w:rPr>
      </w:pPr>
      <w:r>
        <w:rPr>
          <w:rFonts w:eastAsia="Times New Roman"/>
          <w:color w:val="000000"/>
          <w:sz w:val="20"/>
          <w:szCs w:val="20"/>
        </w:rPr>
        <w:t>65</w:t>
      </w:r>
    </w:p>
    <w:p w:rsidR="00000000" w:rsidRDefault="000C147A">
      <w:pPr>
        <w:rPr>
          <w:rFonts w:eastAsia="Times New Roman"/>
        </w:rPr>
      </w:pPr>
      <w:r>
        <w:rPr>
          <w:rFonts w:eastAsia="Times New Roman"/>
        </w:rPr>
        <w:pict>
          <v:rect id="_x0000_i1091" style="width:0;height:1.5pt" o:hralign="center" o:hrstd="t" o:hr="t" fillcolor="#a0a0a0" stroked="f"/>
        </w:pict>
      </w:r>
    </w:p>
    <w:p w:rsidR="00000000" w:rsidRDefault="000C147A">
      <w:pPr>
        <w:jc w:val="center"/>
        <w:divId w:val="1717730043"/>
        <w:rPr>
          <w:rFonts w:eastAsia="Times New Roman"/>
        </w:rPr>
      </w:pPr>
      <w:r>
        <w:rPr>
          <w:rFonts w:eastAsia="Times New Roman"/>
          <w:b/>
          <w:bCs/>
          <w:color w:val="000000"/>
          <w:sz w:val="20"/>
          <w:szCs w:val="20"/>
        </w:rPr>
        <w:t>EQUITABLE HOLDINGS, INC.</w:t>
      </w:r>
    </w:p>
    <w:p w:rsidR="00000000" w:rsidRDefault="000C147A">
      <w:pPr>
        <w:jc w:val="center"/>
        <w:divId w:val="1717730043"/>
        <w:rPr>
          <w:rFonts w:eastAsia="Times New Roman"/>
        </w:rPr>
      </w:pPr>
      <w:r>
        <w:rPr>
          <w:rFonts w:eastAsia="Times New Roman"/>
          <w:b/>
          <w:bCs/>
          <w:color w:val="000000"/>
          <w:sz w:val="20"/>
          <w:szCs w:val="20"/>
        </w:rPr>
        <w:t>NOTES TO CONSOLIDATED FINANCIAL STATEMENTS</w:t>
      </w:r>
    </w:p>
    <w:p w:rsidR="00000000" w:rsidRDefault="000C147A">
      <w:pPr>
        <w:divId w:val="536353258"/>
        <w:rPr>
          <w:rFonts w:eastAsia="Times New Roman"/>
        </w:rPr>
      </w:pPr>
      <w:r>
        <w:rPr>
          <w:rFonts w:eastAsia="Times New Roman"/>
          <w:b/>
          <w:bCs/>
          <w:color w:val="000000"/>
          <w:sz w:val="20"/>
          <w:szCs w:val="20"/>
        </w:rPr>
        <w:t>16)    REVISION OF PRIOR PERIOD FINANCIAL STATEMENTS</w:t>
      </w:r>
    </w:p>
    <w:p w:rsidR="00000000" w:rsidRDefault="000C147A">
      <w:pPr>
        <w:divId w:val="689795338"/>
        <w:rPr>
          <w:rFonts w:eastAsia="Times New Roman"/>
        </w:rPr>
      </w:pPr>
      <w:r>
        <w:rPr>
          <w:rFonts w:eastAsia="Times New Roman"/>
          <w:color w:val="000000"/>
          <w:sz w:val="20"/>
          <w:szCs w:val="20"/>
        </w:rPr>
        <w:t>The Company identified certain errors primarily related to the calculation of actuarially determined insurance contract assets and liabilities that impacted previously issued consolidated financial statements. Management evaluated these adjustments and con</w:t>
      </w:r>
      <w:r>
        <w:rPr>
          <w:rFonts w:eastAsia="Times New Roman"/>
          <w:color w:val="000000"/>
          <w:sz w:val="20"/>
          <w:szCs w:val="20"/>
        </w:rPr>
        <w:t>cluded they were not material to any previously reported quarterly or annual financial statements. In order to improve the consistency and comparability of the financial statements, management revised the financial statements and related disclosures to cor</w:t>
      </w:r>
      <w:r>
        <w:rPr>
          <w:rFonts w:eastAsia="Times New Roman"/>
          <w:color w:val="000000"/>
          <w:sz w:val="20"/>
          <w:szCs w:val="20"/>
        </w:rPr>
        <w:t>rect these errors as shown below.</w:t>
      </w:r>
    </w:p>
    <w:p w:rsidR="00000000" w:rsidRDefault="000C147A">
      <w:pPr>
        <w:divId w:val="658658864"/>
        <w:rPr>
          <w:rFonts w:eastAsia="Times New Roman"/>
        </w:rPr>
      </w:pPr>
      <w:r>
        <w:rPr>
          <w:rFonts w:eastAsia="Times New Roman"/>
          <w:color w:val="000000"/>
          <w:sz w:val="20"/>
          <w:szCs w:val="20"/>
        </w:rPr>
        <w:t>Management assessed the materiality of this change within prior period financial statements based upon SEC Staff Accounting Bulletin Number 99, Materiality, which is since codified in Accounting Standards Codification ("AS</w:t>
      </w:r>
      <w:r>
        <w:rPr>
          <w:rFonts w:eastAsia="Times New Roman"/>
          <w:color w:val="000000"/>
          <w:sz w:val="20"/>
          <w:szCs w:val="20"/>
        </w:rPr>
        <w:t>C") 250, Accounting Changes and Error Corrections. The prior period comparative financial statements that are presented herein have been revised.</w:t>
      </w:r>
    </w:p>
    <w:p w:rsidR="00000000" w:rsidRDefault="000C147A">
      <w:pPr>
        <w:divId w:val="584269687"/>
        <w:rPr>
          <w:rFonts w:eastAsia="Times New Roman"/>
        </w:rPr>
      </w:pPr>
      <w:r>
        <w:rPr>
          <w:rFonts w:eastAsia="Times New Roman"/>
          <w:color w:val="000000"/>
          <w:sz w:val="20"/>
          <w:szCs w:val="20"/>
        </w:rPr>
        <w:t>The following tables present line items for prior period financial statements that have been affected by the r</w:t>
      </w:r>
      <w:r>
        <w:rPr>
          <w:rFonts w:eastAsia="Times New Roman"/>
          <w:color w:val="000000"/>
          <w:sz w:val="20"/>
          <w:szCs w:val="20"/>
        </w:rPr>
        <w:t>evision. For these line items, the tables detail the amounts as previously reported, the impact upon those line items due to the revision, and the amounts as currently revised within the financial statements.</w:t>
      </w:r>
    </w:p>
    <w:p w:rsidR="00000000" w:rsidRDefault="000C147A">
      <w:pPr>
        <w:divId w:val="1601914324"/>
        <w:rPr>
          <w:rFonts w:eastAsia="Times New Roman"/>
        </w:rPr>
      </w:pPr>
    </w:p>
    <w:tbl>
      <w:tblPr>
        <w:tblW w:w="4926" w:type="pct"/>
        <w:tblCellMar>
          <w:top w:w="15" w:type="dxa"/>
          <w:left w:w="15" w:type="dxa"/>
          <w:bottom w:w="15" w:type="dxa"/>
          <w:right w:w="15" w:type="dxa"/>
        </w:tblCellMar>
        <w:tblLook w:val="04A0" w:firstRow="1" w:lastRow="0" w:firstColumn="1" w:lastColumn="0" w:noHBand="0" w:noVBand="1"/>
      </w:tblPr>
      <w:tblGrid>
        <w:gridCol w:w="39"/>
        <w:gridCol w:w="2345"/>
        <w:gridCol w:w="38"/>
        <w:gridCol w:w="101"/>
        <w:gridCol w:w="753"/>
        <w:gridCol w:w="36"/>
        <w:gridCol w:w="36"/>
        <w:gridCol w:w="36"/>
        <w:gridCol w:w="36"/>
        <w:gridCol w:w="36"/>
        <w:gridCol w:w="36"/>
        <w:gridCol w:w="36"/>
        <w:gridCol w:w="46"/>
        <w:gridCol w:w="101"/>
        <w:gridCol w:w="611"/>
        <w:gridCol w:w="36"/>
        <w:gridCol w:w="36"/>
        <w:gridCol w:w="36"/>
        <w:gridCol w:w="36"/>
        <w:gridCol w:w="100"/>
        <w:gridCol w:w="560"/>
        <w:gridCol w:w="36"/>
        <w:gridCol w:w="36"/>
        <w:gridCol w:w="36"/>
        <w:gridCol w:w="36"/>
        <w:gridCol w:w="101"/>
        <w:gridCol w:w="711"/>
        <w:gridCol w:w="36"/>
        <w:gridCol w:w="36"/>
        <w:gridCol w:w="36"/>
        <w:gridCol w:w="36"/>
        <w:gridCol w:w="36"/>
        <w:gridCol w:w="36"/>
        <w:gridCol w:w="36"/>
        <w:gridCol w:w="36"/>
        <w:gridCol w:w="36"/>
        <w:gridCol w:w="36"/>
        <w:gridCol w:w="36"/>
        <w:gridCol w:w="36"/>
        <w:gridCol w:w="36"/>
        <w:gridCol w:w="36"/>
        <w:gridCol w:w="36"/>
        <w:gridCol w:w="36"/>
        <w:gridCol w:w="101"/>
        <w:gridCol w:w="611"/>
        <w:gridCol w:w="36"/>
        <w:gridCol w:w="36"/>
        <w:gridCol w:w="36"/>
        <w:gridCol w:w="36"/>
        <w:gridCol w:w="100"/>
        <w:gridCol w:w="569"/>
        <w:gridCol w:w="36"/>
      </w:tblGrid>
      <w:tr w:rsidR="00000000">
        <w:trPr>
          <w:divId w:val="1543134810"/>
        </w:trPr>
        <w:tc>
          <w:tcPr>
            <w:tcW w:w="50" w:type="pct"/>
            <w:vAlign w:val="center"/>
            <w:hideMark/>
          </w:tcPr>
          <w:p w:rsidR="00000000" w:rsidRDefault="000C147A">
            <w:pPr>
              <w:rPr>
                <w:rFonts w:eastAsia="Times New Roman"/>
              </w:rPr>
            </w:pPr>
          </w:p>
        </w:tc>
        <w:tc>
          <w:tcPr>
            <w:tcW w:w="16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54313481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June 30, 2020</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March 31, 2020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4313481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54313481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2"/>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43134810"/>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Balance Sheet: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4,182 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4,697 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254,110 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254,018 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240,781 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240,681 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41,476 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41,506 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37,968 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38,001 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1,848 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Liabilities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234,889 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234,893 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218,884 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218,889 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17,007 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equity attributable to Holdings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17,594 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17,498 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20,086 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19,981 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Equity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19,134 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21,640 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4313481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Total Liabilities, Redeemable Noncontrolling Interest and Equity</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254,110 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254,018 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240,781 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240,681 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431348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274291586"/>
        <w:rPr>
          <w:rFonts w:eastAsia="Times New Roman"/>
        </w:rPr>
      </w:pPr>
    </w:p>
    <w:p w:rsidR="00000000" w:rsidRDefault="000C147A">
      <w:pPr>
        <w:jc w:val="center"/>
        <w:divId w:val="216478615"/>
        <w:rPr>
          <w:rFonts w:eastAsia="Times New Roman"/>
        </w:rPr>
      </w:pPr>
      <w:r>
        <w:rPr>
          <w:rFonts w:eastAsia="Times New Roman"/>
          <w:color w:val="000000"/>
          <w:sz w:val="20"/>
          <w:szCs w:val="20"/>
        </w:rPr>
        <w:t>66</w:t>
      </w:r>
    </w:p>
    <w:p w:rsidR="00000000" w:rsidRDefault="000C147A">
      <w:pPr>
        <w:rPr>
          <w:rFonts w:eastAsia="Times New Roman"/>
        </w:rPr>
      </w:pPr>
      <w:r>
        <w:rPr>
          <w:rFonts w:eastAsia="Times New Roman"/>
        </w:rPr>
        <w:pict>
          <v:rect id="_x0000_i1092" style="width:0;height:1.5pt" o:hralign="center" o:hrstd="t" o:hr="t" fillcolor="#a0a0a0" stroked="f"/>
        </w:pict>
      </w:r>
    </w:p>
    <w:p w:rsidR="00000000" w:rsidRDefault="000C147A">
      <w:pPr>
        <w:jc w:val="center"/>
        <w:divId w:val="353775397"/>
        <w:rPr>
          <w:rFonts w:eastAsia="Times New Roman"/>
        </w:rPr>
      </w:pPr>
      <w:r>
        <w:rPr>
          <w:rFonts w:eastAsia="Times New Roman"/>
          <w:b/>
          <w:bCs/>
          <w:color w:val="000000"/>
          <w:sz w:val="20"/>
          <w:szCs w:val="20"/>
        </w:rPr>
        <w:t>EQUITABLE HOLDINGS, INC.</w:t>
      </w:r>
    </w:p>
    <w:p w:rsidR="00000000" w:rsidRDefault="000C147A">
      <w:pPr>
        <w:jc w:val="center"/>
        <w:divId w:val="353775397"/>
        <w:rPr>
          <w:rFonts w:eastAsia="Times New Roman"/>
        </w:rPr>
      </w:pPr>
      <w:r>
        <w:rPr>
          <w:rFonts w:eastAsia="Times New Roman"/>
          <w:b/>
          <w:bCs/>
          <w:color w:val="000000"/>
          <w:sz w:val="20"/>
          <w:szCs w:val="20"/>
        </w:rPr>
        <w:t>NOTES TO CONSOLIDATED FINANCIAL STATEMENTS</w:t>
      </w:r>
    </w:p>
    <w:tbl>
      <w:tblPr>
        <w:tblW w:w="4919" w:type="pct"/>
        <w:tblCellMar>
          <w:top w:w="15" w:type="dxa"/>
          <w:left w:w="15" w:type="dxa"/>
          <w:bottom w:w="15" w:type="dxa"/>
          <w:right w:w="15" w:type="dxa"/>
        </w:tblCellMar>
        <w:tblLook w:val="04A0" w:firstRow="1" w:lastRow="0" w:firstColumn="1" w:lastColumn="0" w:noHBand="0" w:noVBand="1"/>
      </w:tblPr>
      <w:tblGrid>
        <w:gridCol w:w="39"/>
        <w:gridCol w:w="2469"/>
        <w:gridCol w:w="38"/>
        <w:gridCol w:w="100"/>
        <w:gridCol w:w="672"/>
        <w:gridCol w:w="36"/>
        <w:gridCol w:w="36"/>
        <w:gridCol w:w="36"/>
        <w:gridCol w:w="36"/>
        <w:gridCol w:w="36"/>
        <w:gridCol w:w="36"/>
        <w:gridCol w:w="36"/>
        <w:gridCol w:w="46"/>
        <w:gridCol w:w="101"/>
        <w:gridCol w:w="609"/>
        <w:gridCol w:w="36"/>
        <w:gridCol w:w="36"/>
        <w:gridCol w:w="36"/>
        <w:gridCol w:w="36"/>
        <w:gridCol w:w="100"/>
        <w:gridCol w:w="560"/>
        <w:gridCol w:w="36"/>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9"/>
        <w:gridCol w:w="36"/>
        <w:gridCol w:w="36"/>
        <w:gridCol w:w="36"/>
        <w:gridCol w:w="36"/>
        <w:gridCol w:w="100"/>
        <w:gridCol w:w="560"/>
        <w:gridCol w:w="36"/>
      </w:tblGrid>
      <w:tr w:rsidR="00000000">
        <w:trPr>
          <w:divId w:val="850950152"/>
        </w:trPr>
        <w:tc>
          <w:tcPr>
            <w:tcW w:w="50" w:type="pct"/>
            <w:vAlign w:val="center"/>
            <w:hideMark/>
          </w:tcPr>
          <w:p w:rsidR="00000000" w:rsidRDefault="000C147A">
            <w:pPr>
              <w:jc w:val="center"/>
              <w:rPr>
                <w:rFonts w:eastAsia="Times New Roman"/>
              </w:rPr>
            </w:pPr>
          </w:p>
        </w:tc>
        <w:tc>
          <w:tcPr>
            <w:tcW w:w="19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5095015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December 31,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December 31, 2018</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5095015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85095015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50950152"/>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Balance Sheet: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5,837 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6,745 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6,705 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Other assets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3,127 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36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Assets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249,870 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249,818 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220,797 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220,779 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LIABILITIES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34,587 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34,635 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30,998 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31,077 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Liabilities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234,379 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234,406 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205,178 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205,224 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EQUITY</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equity attributable to Holdings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13,535 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13,456 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16"/>
                <w:szCs w:val="16"/>
              </w:rPr>
              <w:t>Total Equity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15,126 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15,432 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15,368 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5095015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Total Liabilities, Redeemable Noncontrolling Interest and Equity</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249,870 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249,818 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220,797 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220,779 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5095015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2077165684"/>
        <w:rPr>
          <w:rFonts w:eastAsia="Times New Roman"/>
        </w:rPr>
      </w:pPr>
    </w:p>
    <w:p w:rsidR="00000000" w:rsidRDefault="000C147A">
      <w:pPr>
        <w:divId w:val="1422066462"/>
        <w:rPr>
          <w:rFonts w:eastAsia="Times New Roman"/>
        </w:rPr>
      </w:pPr>
    </w:p>
    <w:p w:rsidR="00000000" w:rsidRDefault="000C147A">
      <w:pPr>
        <w:divId w:val="791829080"/>
        <w:rPr>
          <w:rFonts w:eastAsia="Times New Roman"/>
        </w:rPr>
      </w:pPr>
    </w:p>
    <w:p w:rsidR="00000000" w:rsidRDefault="000C147A">
      <w:pPr>
        <w:divId w:val="2103452091"/>
        <w:rPr>
          <w:rFonts w:eastAsia="Times New Roman"/>
        </w:rPr>
      </w:pPr>
    </w:p>
    <w:p w:rsidR="00000000" w:rsidRDefault="000C147A">
      <w:pPr>
        <w:divId w:val="359284671"/>
        <w:rPr>
          <w:rFonts w:eastAsia="Times New Roman"/>
        </w:rPr>
      </w:pPr>
    </w:p>
    <w:p w:rsidR="00000000" w:rsidRDefault="000C147A">
      <w:pPr>
        <w:divId w:val="785660047"/>
        <w:rPr>
          <w:rFonts w:eastAsia="Times New Roman"/>
        </w:rPr>
      </w:pPr>
    </w:p>
    <w:p w:rsidR="00000000" w:rsidRDefault="000C147A">
      <w:pPr>
        <w:jc w:val="center"/>
        <w:divId w:val="1743066653"/>
        <w:rPr>
          <w:rFonts w:eastAsia="Times New Roman"/>
        </w:rPr>
      </w:pPr>
      <w:r>
        <w:rPr>
          <w:rFonts w:eastAsia="Times New Roman"/>
          <w:color w:val="000000"/>
          <w:sz w:val="20"/>
          <w:szCs w:val="20"/>
        </w:rPr>
        <w:t>67</w:t>
      </w:r>
    </w:p>
    <w:p w:rsidR="00000000" w:rsidRDefault="000C147A">
      <w:pPr>
        <w:rPr>
          <w:rFonts w:eastAsia="Times New Roman"/>
        </w:rPr>
      </w:pPr>
      <w:r>
        <w:rPr>
          <w:rFonts w:eastAsia="Times New Roman"/>
        </w:rPr>
        <w:pict>
          <v:rect id="_x0000_i1093" style="width:0;height:1.5pt" o:hralign="center" o:hrstd="t" o:hr="t" fillcolor="#a0a0a0" stroked="f"/>
        </w:pict>
      </w:r>
    </w:p>
    <w:p w:rsidR="00000000" w:rsidRDefault="000C147A">
      <w:pPr>
        <w:jc w:val="center"/>
        <w:divId w:val="813568840"/>
        <w:rPr>
          <w:rFonts w:eastAsia="Times New Roman"/>
        </w:rPr>
      </w:pPr>
      <w:r>
        <w:rPr>
          <w:rFonts w:eastAsia="Times New Roman"/>
          <w:b/>
          <w:bCs/>
          <w:color w:val="000000"/>
          <w:sz w:val="20"/>
          <w:szCs w:val="20"/>
        </w:rPr>
        <w:t>EQUITABLE HOLDINGS, INC.</w:t>
      </w:r>
    </w:p>
    <w:p w:rsidR="00000000" w:rsidRDefault="000C147A">
      <w:pPr>
        <w:jc w:val="center"/>
        <w:divId w:val="81356884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2049"/>
        <w:gridCol w:w="37"/>
        <w:gridCol w:w="101"/>
        <w:gridCol w:w="814"/>
        <w:gridCol w:w="37"/>
        <w:gridCol w:w="36"/>
        <w:gridCol w:w="36"/>
        <w:gridCol w:w="36"/>
        <w:gridCol w:w="46"/>
        <w:gridCol w:w="36"/>
        <w:gridCol w:w="101"/>
        <w:gridCol w:w="814"/>
        <w:gridCol w:w="37"/>
        <w:gridCol w:w="36"/>
        <w:gridCol w:w="36"/>
        <w:gridCol w:w="36"/>
        <w:gridCol w:w="100"/>
        <w:gridCol w:w="548"/>
        <w:gridCol w:w="36"/>
        <w:gridCol w:w="36"/>
        <w:gridCol w:w="36"/>
        <w:gridCol w:w="36"/>
        <w:gridCol w:w="101"/>
        <w:gridCol w:w="815"/>
        <w:gridCol w:w="36"/>
        <w:gridCol w:w="36"/>
        <w:gridCol w:w="36"/>
        <w:gridCol w:w="36"/>
        <w:gridCol w:w="36"/>
        <w:gridCol w:w="36"/>
        <w:gridCol w:w="36"/>
        <w:gridCol w:w="36"/>
        <w:gridCol w:w="36"/>
        <w:gridCol w:w="36"/>
        <w:gridCol w:w="36"/>
        <w:gridCol w:w="36"/>
        <w:gridCol w:w="36"/>
        <w:gridCol w:w="36"/>
        <w:gridCol w:w="36"/>
        <w:gridCol w:w="36"/>
        <w:gridCol w:w="101"/>
        <w:gridCol w:w="765"/>
        <w:gridCol w:w="36"/>
        <w:gridCol w:w="36"/>
        <w:gridCol w:w="36"/>
        <w:gridCol w:w="36"/>
        <w:gridCol w:w="101"/>
        <w:gridCol w:w="548"/>
        <w:gridCol w:w="36"/>
      </w:tblGrid>
      <w:tr w:rsidR="00000000">
        <w:trPr>
          <w:divId w:val="644163798"/>
        </w:trPr>
        <w:tc>
          <w:tcPr>
            <w:tcW w:w="50" w:type="pct"/>
            <w:vAlign w:val="center"/>
            <w:hideMark/>
          </w:tcPr>
          <w:p w:rsidR="00000000" w:rsidRDefault="000C147A">
            <w:pPr>
              <w:jc w:val="center"/>
              <w:rPr>
                <w:rFonts w:eastAsia="Times New Roman"/>
              </w:rPr>
            </w:pPr>
          </w:p>
        </w:tc>
        <w:tc>
          <w:tcPr>
            <w:tcW w:w="137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4416379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2020</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4416379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64416379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0"/>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44163798"/>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(6,033)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6,038)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(2,550)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10,063 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10,059 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746 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2,458 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8,195 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8,208 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(5,019)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(5,008)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1,851 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1,077 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1,075 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(3,942)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(4,028)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(4,019)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Height w:val="24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41637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441637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059594340"/>
        <w:rPr>
          <w:rFonts w:eastAsia="Times New Roman"/>
        </w:rPr>
      </w:pPr>
    </w:p>
    <w:p w:rsidR="00000000" w:rsidRDefault="000C147A">
      <w:pPr>
        <w:jc w:val="center"/>
        <w:divId w:val="646711102"/>
        <w:rPr>
          <w:rFonts w:eastAsia="Times New Roman"/>
        </w:rPr>
      </w:pPr>
      <w:r>
        <w:rPr>
          <w:rFonts w:eastAsia="Times New Roman"/>
          <w:color w:val="000000"/>
          <w:sz w:val="20"/>
          <w:szCs w:val="20"/>
        </w:rPr>
        <w:t>68</w:t>
      </w:r>
    </w:p>
    <w:p w:rsidR="00000000" w:rsidRDefault="000C147A">
      <w:pPr>
        <w:rPr>
          <w:rFonts w:eastAsia="Times New Roman"/>
        </w:rPr>
      </w:pPr>
      <w:r>
        <w:rPr>
          <w:rFonts w:eastAsia="Times New Roman"/>
        </w:rPr>
        <w:pict>
          <v:rect id="_x0000_i1094" style="width:0;height:1.5pt" o:hralign="center" o:hrstd="t" o:hr="t" fillcolor="#a0a0a0" stroked="f"/>
        </w:pict>
      </w:r>
    </w:p>
    <w:p w:rsidR="00000000" w:rsidRDefault="000C147A">
      <w:pPr>
        <w:jc w:val="center"/>
        <w:divId w:val="581523070"/>
        <w:rPr>
          <w:rFonts w:eastAsia="Times New Roman"/>
        </w:rPr>
      </w:pPr>
      <w:r>
        <w:rPr>
          <w:rFonts w:eastAsia="Times New Roman"/>
          <w:b/>
          <w:bCs/>
          <w:color w:val="000000"/>
          <w:sz w:val="20"/>
          <w:szCs w:val="20"/>
        </w:rPr>
        <w:t>EQUITABLE HOLDINGS, INC.</w:t>
      </w:r>
    </w:p>
    <w:p w:rsidR="00000000" w:rsidRDefault="000C147A">
      <w:pPr>
        <w:jc w:val="center"/>
        <w:divId w:val="58152307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494"/>
        <w:gridCol w:w="37"/>
        <w:gridCol w:w="101"/>
        <w:gridCol w:w="671"/>
        <w:gridCol w:w="37"/>
        <w:gridCol w:w="36"/>
        <w:gridCol w:w="36"/>
        <w:gridCol w:w="36"/>
        <w:gridCol w:w="36"/>
        <w:gridCol w:w="36"/>
        <w:gridCol w:w="36"/>
        <w:gridCol w:w="36"/>
        <w:gridCol w:w="36"/>
        <w:gridCol w:w="36"/>
        <w:gridCol w:w="101"/>
        <w:gridCol w:w="608"/>
        <w:gridCol w:w="36"/>
        <w:gridCol w:w="36"/>
        <w:gridCol w:w="36"/>
        <w:gridCol w:w="36"/>
        <w:gridCol w:w="101"/>
        <w:gridCol w:w="506"/>
        <w:gridCol w:w="36"/>
        <w:gridCol w:w="36"/>
        <w:gridCol w:w="36"/>
        <w:gridCol w:w="36"/>
      </w:tblGrid>
      <w:tr w:rsidR="00000000">
        <w:trPr>
          <w:divId w:val="475297559"/>
        </w:trPr>
        <w:tc>
          <w:tcPr>
            <w:tcW w:w="50" w:type="pct"/>
            <w:vAlign w:val="center"/>
            <w:hideMark/>
          </w:tcPr>
          <w:p w:rsidR="00000000" w:rsidRDefault="000C147A">
            <w:pPr>
              <w:jc w:val="center"/>
              <w:rPr>
                <w:rFonts w:eastAsia="Times New Roman"/>
              </w:rPr>
            </w:pPr>
          </w:p>
        </w:tc>
        <w:tc>
          <w:tcPr>
            <w:tcW w:w="34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4752975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4752975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r>
      <w:tr w:rsidR="00000000">
        <w:trPr>
          <w:divId w:val="4752975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47529755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996 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12,593 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12,609 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2,788 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1,303 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5,706 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5,750 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6,887 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6,859 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(1,440)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Height w:val="24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47529755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47529755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5068989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53"/>
        <w:gridCol w:w="37"/>
        <w:gridCol w:w="101"/>
        <w:gridCol w:w="671"/>
        <w:gridCol w:w="37"/>
        <w:gridCol w:w="36"/>
        <w:gridCol w:w="36"/>
        <w:gridCol w:w="36"/>
        <w:gridCol w:w="36"/>
        <w:gridCol w:w="36"/>
        <w:gridCol w:w="36"/>
        <w:gridCol w:w="46"/>
        <w:gridCol w:w="101"/>
        <w:gridCol w:w="608"/>
        <w:gridCol w:w="36"/>
        <w:gridCol w:w="36"/>
        <w:gridCol w:w="36"/>
        <w:gridCol w:w="36"/>
        <w:gridCol w:w="100"/>
        <w:gridCol w:w="467"/>
        <w:gridCol w:w="36"/>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392628551"/>
        </w:trPr>
        <w:tc>
          <w:tcPr>
            <w:tcW w:w="50" w:type="pct"/>
            <w:vAlign w:val="center"/>
            <w:hideMark/>
          </w:tcPr>
          <w:p w:rsidR="00000000" w:rsidRDefault="000C147A">
            <w:pPr>
              <w:rPr>
                <w:rFonts w:eastAsia="Times New Roman"/>
              </w:rPr>
            </w:pPr>
          </w:p>
        </w:tc>
        <w:tc>
          <w:tcPr>
            <w:tcW w:w="19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39262855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9262855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39262855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9262855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(4,000)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9,591 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9,619 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12,078 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12,069 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4,385 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2,856 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1,090 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Commissions and distribution related payments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11,626 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9,617 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9,579 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(2,035)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(2,060)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(1,764)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Height w:val="30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9262855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9262855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3.57)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1746805164"/>
        <w:rPr>
          <w:rFonts w:eastAsia="Times New Roman"/>
        </w:rPr>
      </w:pPr>
      <w:r>
        <w:rPr>
          <w:rFonts w:eastAsia="Times New Roman"/>
          <w:color w:val="000000"/>
          <w:sz w:val="20"/>
          <w:szCs w:val="20"/>
        </w:rPr>
        <w:t>69</w:t>
      </w:r>
    </w:p>
    <w:p w:rsidR="00000000" w:rsidRDefault="000C147A">
      <w:pPr>
        <w:rPr>
          <w:rFonts w:eastAsia="Times New Roman"/>
        </w:rPr>
      </w:pPr>
      <w:r>
        <w:rPr>
          <w:rFonts w:eastAsia="Times New Roman"/>
        </w:rPr>
        <w:pict>
          <v:rect id="_x0000_i1095" style="width:0;height:1.5pt" o:hralign="center" o:hrstd="t" o:hr="t" fillcolor="#a0a0a0" stroked="f"/>
        </w:pict>
      </w:r>
    </w:p>
    <w:p w:rsidR="00000000" w:rsidRDefault="000C147A">
      <w:pPr>
        <w:jc w:val="center"/>
        <w:divId w:val="492185609"/>
        <w:rPr>
          <w:rFonts w:eastAsia="Times New Roman"/>
        </w:rPr>
      </w:pPr>
      <w:r>
        <w:rPr>
          <w:rFonts w:eastAsia="Times New Roman"/>
          <w:b/>
          <w:bCs/>
          <w:color w:val="000000"/>
          <w:sz w:val="20"/>
          <w:szCs w:val="20"/>
        </w:rPr>
        <w:t>EQUITABLE HOLDINGS, INC.</w:t>
      </w:r>
    </w:p>
    <w:p w:rsidR="00000000" w:rsidRDefault="000C147A">
      <w:pPr>
        <w:jc w:val="center"/>
        <w:divId w:val="492185609"/>
        <w:rPr>
          <w:rFonts w:eastAsia="Times New Roman"/>
        </w:rPr>
      </w:pPr>
      <w:r>
        <w:rPr>
          <w:rFonts w:eastAsia="Times New Roman"/>
          <w:b/>
          <w:bCs/>
          <w:color w:val="000000"/>
          <w:sz w:val="20"/>
          <w:szCs w:val="20"/>
        </w:rPr>
        <w:t>NOTES TO CONSOLIDATED FINANCIAL STATEMENTS</w:t>
      </w:r>
    </w:p>
    <w:tbl>
      <w:tblPr>
        <w:tblW w:w="4919" w:type="pct"/>
        <w:tblCellMar>
          <w:top w:w="15" w:type="dxa"/>
          <w:left w:w="15" w:type="dxa"/>
          <w:bottom w:w="15" w:type="dxa"/>
          <w:right w:w="15" w:type="dxa"/>
        </w:tblCellMar>
        <w:tblLook w:val="04A0" w:firstRow="1" w:lastRow="0" w:firstColumn="1" w:lastColumn="0" w:noHBand="0" w:noVBand="1"/>
      </w:tblPr>
      <w:tblGrid>
        <w:gridCol w:w="38"/>
        <w:gridCol w:w="2508"/>
        <w:gridCol w:w="37"/>
        <w:gridCol w:w="100"/>
        <w:gridCol w:w="672"/>
        <w:gridCol w:w="36"/>
        <w:gridCol w:w="36"/>
        <w:gridCol w:w="36"/>
        <w:gridCol w:w="36"/>
        <w:gridCol w:w="36"/>
        <w:gridCol w:w="36"/>
        <w:gridCol w:w="36"/>
        <w:gridCol w:w="36"/>
        <w:gridCol w:w="36"/>
        <w:gridCol w:w="36"/>
        <w:gridCol w:w="36"/>
        <w:gridCol w:w="36"/>
        <w:gridCol w:w="101"/>
        <w:gridCol w:w="610"/>
        <w:gridCol w:w="37"/>
        <w:gridCol w:w="36"/>
        <w:gridCol w:w="36"/>
        <w:gridCol w:w="36"/>
        <w:gridCol w:w="101"/>
        <w:gridCol w:w="508"/>
        <w:gridCol w:w="37"/>
        <w:gridCol w:w="36"/>
        <w:gridCol w:w="36"/>
        <w:gridCol w:w="36"/>
        <w:gridCol w:w="100"/>
        <w:gridCol w:w="672"/>
        <w:gridCol w:w="36"/>
        <w:gridCol w:w="36"/>
        <w:gridCol w:w="36"/>
        <w:gridCol w:w="36"/>
        <w:gridCol w:w="36"/>
        <w:gridCol w:w="36"/>
        <w:gridCol w:w="36"/>
        <w:gridCol w:w="36"/>
        <w:gridCol w:w="36"/>
        <w:gridCol w:w="36"/>
        <w:gridCol w:w="36"/>
        <w:gridCol w:w="36"/>
        <w:gridCol w:w="36"/>
        <w:gridCol w:w="36"/>
        <w:gridCol w:w="101"/>
        <w:gridCol w:w="609"/>
        <w:gridCol w:w="36"/>
        <w:gridCol w:w="36"/>
        <w:gridCol w:w="36"/>
        <w:gridCol w:w="36"/>
        <w:gridCol w:w="101"/>
        <w:gridCol w:w="507"/>
        <w:gridCol w:w="36"/>
      </w:tblGrid>
      <w:tr w:rsidR="00000000">
        <w:trPr>
          <w:divId w:val="1800538026"/>
        </w:trPr>
        <w:tc>
          <w:tcPr>
            <w:tcW w:w="50" w:type="pct"/>
            <w:vAlign w:val="center"/>
            <w:hideMark/>
          </w:tcPr>
          <w:p w:rsidR="00000000" w:rsidRDefault="000C147A">
            <w:pPr>
              <w:jc w:val="center"/>
              <w:rPr>
                <w:rFonts w:eastAsia="Times New Roman"/>
              </w:rPr>
            </w:pPr>
          </w:p>
        </w:tc>
        <w:tc>
          <w:tcPr>
            <w:tcW w:w="18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0053802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053802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80053802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053802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Height w:val="6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460 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3,468 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8,894 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(951)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C147A">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(818)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0538026"/>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80053802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80053802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359357659"/>
        <w:rPr>
          <w:rFonts w:eastAsia="Times New Roman"/>
        </w:rPr>
      </w:pPr>
    </w:p>
    <w:p w:rsidR="00000000" w:rsidRDefault="000C147A">
      <w:pPr>
        <w:divId w:val="160472632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12"/>
        <w:gridCol w:w="37"/>
        <w:gridCol w:w="101"/>
        <w:gridCol w:w="671"/>
        <w:gridCol w:w="37"/>
        <w:gridCol w:w="36"/>
        <w:gridCol w:w="36"/>
        <w:gridCol w:w="36"/>
        <w:gridCol w:w="36"/>
        <w:gridCol w:w="36"/>
        <w:gridCol w:w="36"/>
        <w:gridCol w:w="46"/>
        <w:gridCol w:w="101"/>
        <w:gridCol w:w="607"/>
        <w:gridCol w:w="37"/>
        <w:gridCol w:w="36"/>
        <w:gridCol w:w="36"/>
        <w:gridCol w:w="36"/>
        <w:gridCol w:w="101"/>
        <w:gridCol w:w="506"/>
        <w:gridCol w:w="37"/>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969020302"/>
        </w:trPr>
        <w:tc>
          <w:tcPr>
            <w:tcW w:w="50" w:type="pct"/>
            <w:vAlign w:val="center"/>
            <w:hideMark/>
          </w:tcPr>
          <w:p w:rsidR="00000000" w:rsidRDefault="000C147A">
            <w:pPr>
              <w:rPr>
                <w:rFonts w:eastAsia="Times New Roman"/>
              </w:rPr>
            </w:pPr>
          </w:p>
        </w:tc>
        <w:tc>
          <w:tcPr>
            <w:tcW w:w="19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96902030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6902030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96902030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6902030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3,160 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4,865 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902030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(0.82)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(0.88)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902030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0.82)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(0.88)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784538700"/>
        <w:rPr>
          <w:rFonts w:eastAsia="Times New Roman"/>
        </w:rPr>
      </w:pPr>
    </w:p>
    <w:p w:rsidR="00000000" w:rsidRDefault="000C147A">
      <w:pPr>
        <w:jc w:val="center"/>
        <w:divId w:val="318382629"/>
        <w:rPr>
          <w:rFonts w:eastAsia="Times New Roman"/>
        </w:rPr>
      </w:pPr>
      <w:r>
        <w:rPr>
          <w:rFonts w:eastAsia="Times New Roman"/>
          <w:color w:val="000000"/>
          <w:sz w:val="20"/>
          <w:szCs w:val="20"/>
        </w:rPr>
        <w:t>70</w:t>
      </w:r>
    </w:p>
    <w:p w:rsidR="00000000" w:rsidRDefault="000C147A">
      <w:pPr>
        <w:rPr>
          <w:rFonts w:eastAsia="Times New Roman"/>
        </w:rPr>
      </w:pPr>
      <w:r>
        <w:rPr>
          <w:rFonts w:eastAsia="Times New Roman"/>
        </w:rPr>
        <w:pict>
          <v:rect id="_x0000_i1096" style="width:0;height:1.5pt" o:hralign="center" o:hrstd="t" o:hr="t" fillcolor="#a0a0a0" stroked="f"/>
        </w:pict>
      </w:r>
    </w:p>
    <w:p w:rsidR="00000000" w:rsidRDefault="000C147A">
      <w:pPr>
        <w:jc w:val="center"/>
        <w:divId w:val="1386179875"/>
        <w:rPr>
          <w:rFonts w:eastAsia="Times New Roman"/>
        </w:rPr>
      </w:pPr>
      <w:r>
        <w:rPr>
          <w:rFonts w:eastAsia="Times New Roman"/>
          <w:b/>
          <w:bCs/>
          <w:color w:val="000000"/>
          <w:sz w:val="20"/>
          <w:szCs w:val="20"/>
        </w:rPr>
        <w:t>EQUITABLE HOLDINGS, INC.</w:t>
      </w:r>
    </w:p>
    <w:p w:rsidR="00000000" w:rsidRDefault="000C147A">
      <w:pPr>
        <w:jc w:val="center"/>
        <w:divId w:val="138617987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493"/>
        <w:gridCol w:w="37"/>
        <w:gridCol w:w="36"/>
        <w:gridCol w:w="36"/>
        <w:gridCol w:w="36"/>
        <w:gridCol w:w="101"/>
        <w:gridCol w:w="671"/>
        <w:gridCol w:w="37"/>
        <w:gridCol w:w="36"/>
        <w:gridCol w:w="36"/>
        <w:gridCol w:w="36"/>
        <w:gridCol w:w="36"/>
        <w:gridCol w:w="36"/>
        <w:gridCol w:w="36"/>
        <w:gridCol w:w="36"/>
        <w:gridCol w:w="36"/>
        <w:gridCol w:w="36"/>
        <w:gridCol w:w="101"/>
        <w:gridCol w:w="608"/>
        <w:gridCol w:w="36"/>
        <w:gridCol w:w="36"/>
        <w:gridCol w:w="36"/>
        <w:gridCol w:w="36"/>
        <w:gridCol w:w="101"/>
        <w:gridCol w:w="507"/>
        <w:gridCol w:w="36"/>
      </w:tblGrid>
      <w:tr w:rsidR="00000000">
        <w:trPr>
          <w:divId w:val="806555695"/>
        </w:trPr>
        <w:tc>
          <w:tcPr>
            <w:tcW w:w="50" w:type="pct"/>
            <w:vAlign w:val="center"/>
            <w:hideMark/>
          </w:tcPr>
          <w:p w:rsidR="00000000" w:rsidRDefault="000C147A">
            <w:pPr>
              <w:jc w:val="center"/>
              <w:rPr>
                <w:rFonts w:eastAsia="Times New Roman"/>
              </w:rPr>
            </w:pPr>
          </w:p>
        </w:tc>
        <w:tc>
          <w:tcPr>
            <w:tcW w:w="34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0655569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0655569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80655569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0655569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operating costs and expenses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2,638 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2,671 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(709)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(739)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06555695"/>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0655569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0655569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785"/>
        <w:gridCol w:w="144"/>
        <w:gridCol w:w="144"/>
        <w:gridCol w:w="684"/>
        <w:gridCol w:w="144"/>
        <w:gridCol w:w="480"/>
        <w:gridCol w:w="1440"/>
        <w:gridCol w:w="1440"/>
        <w:gridCol w:w="1440"/>
        <w:gridCol w:w="144"/>
        <w:gridCol w:w="144"/>
        <w:gridCol w:w="144"/>
        <w:gridCol w:w="144"/>
        <w:gridCol w:w="684"/>
        <w:gridCol w:w="144"/>
        <w:gridCol w:w="144"/>
        <w:gridCol w:w="144"/>
        <w:gridCol w:w="144"/>
        <w:gridCol w:w="144"/>
        <w:gridCol w:w="686"/>
        <w:gridCol w:w="144"/>
      </w:tblGrid>
      <w:tr w:rsidR="00000000">
        <w:tc>
          <w:tcPr>
            <w:tcW w:w="50" w:type="pct"/>
            <w:vAlign w:val="center"/>
            <w:hideMark/>
          </w:tcPr>
          <w:p w:rsidR="00000000" w:rsidRDefault="000C147A">
            <w:pPr>
              <w:rPr>
                <w:rFonts w:eastAsia="Times New Roman"/>
              </w:rPr>
            </w:pPr>
          </w:p>
        </w:tc>
        <w:tc>
          <w:tcPr>
            <w:tcW w:w="348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2017</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3,686 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revenues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6"/>
                <w:szCs w:val="16"/>
              </w:rPr>
              <w:t>12,460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6"/>
                <w:szCs w:val="16"/>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16"/>
                <w:szCs w:val="16"/>
              </w:rPr>
              <w:t>12,430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trHeight w:val="6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503 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11,154 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11,187 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Net income (loss)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(0.10)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Diluted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(0.09)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446731214"/>
        <w:rPr>
          <w:rFonts w:eastAsia="Times New Roman"/>
        </w:rPr>
      </w:pPr>
    </w:p>
    <w:p w:rsidR="00000000" w:rsidRDefault="000C147A">
      <w:pPr>
        <w:jc w:val="center"/>
        <w:divId w:val="1399479799"/>
        <w:rPr>
          <w:rFonts w:eastAsia="Times New Roman"/>
        </w:rPr>
      </w:pPr>
      <w:r>
        <w:rPr>
          <w:rFonts w:eastAsia="Times New Roman"/>
          <w:color w:val="000000"/>
          <w:sz w:val="20"/>
          <w:szCs w:val="20"/>
        </w:rPr>
        <w:t>71</w:t>
      </w:r>
    </w:p>
    <w:p w:rsidR="00000000" w:rsidRDefault="000C147A">
      <w:pPr>
        <w:rPr>
          <w:rFonts w:eastAsia="Times New Roman"/>
        </w:rPr>
      </w:pPr>
      <w:r>
        <w:rPr>
          <w:rFonts w:eastAsia="Times New Roman"/>
        </w:rPr>
        <w:pict>
          <v:rect id="_x0000_i1097" style="width:0;height:1.5pt" o:hralign="center" o:hrstd="t" o:hr="t" fillcolor="#a0a0a0" stroked="f"/>
        </w:pict>
      </w:r>
    </w:p>
    <w:p w:rsidR="00000000" w:rsidRDefault="000C147A">
      <w:pPr>
        <w:jc w:val="center"/>
        <w:divId w:val="2103867302"/>
        <w:rPr>
          <w:rFonts w:eastAsia="Times New Roman"/>
        </w:rPr>
      </w:pPr>
      <w:r>
        <w:rPr>
          <w:rFonts w:eastAsia="Times New Roman"/>
          <w:b/>
          <w:bCs/>
          <w:color w:val="000000"/>
          <w:sz w:val="20"/>
          <w:szCs w:val="20"/>
        </w:rPr>
        <w:t>EQUITABLE HOLDINGS, INC.</w:t>
      </w:r>
    </w:p>
    <w:p w:rsidR="00000000" w:rsidRDefault="000C147A">
      <w:pPr>
        <w:jc w:val="center"/>
        <w:divId w:val="2103867302"/>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5"/>
        <w:gridCol w:w="1959"/>
        <w:gridCol w:w="37"/>
        <w:gridCol w:w="101"/>
        <w:gridCol w:w="821"/>
        <w:gridCol w:w="37"/>
        <w:gridCol w:w="36"/>
        <w:gridCol w:w="36"/>
        <w:gridCol w:w="36"/>
        <w:gridCol w:w="36"/>
        <w:gridCol w:w="36"/>
        <w:gridCol w:w="36"/>
        <w:gridCol w:w="36"/>
        <w:gridCol w:w="101"/>
        <w:gridCol w:w="770"/>
        <w:gridCol w:w="36"/>
        <w:gridCol w:w="36"/>
        <w:gridCol w:w="36"/>
        <w:gridCol w:w="36"/>
        <w:gridCol w:w="100"/>
        <w:gridCol w:w="570"/>
        <w:gridCol w:w="36"/>
        <w:gridCol w:w="36"/>
        <w:gridCol w:w="36"/>
        <w:gridCol w:w="36"/>
        <w:gridCol w:w="101"/>
        <w:gridCol w:w="821"/>
        <w:gridCol w:w="37"/>
        <w:gridCol w:w="36"/>
        <w:gridCol w:w="36"/>
        <w:gridCol w:w="36"/>
        <w:gridCol w:w="36"/>
        <w:gridCol w:w="36"/>
        <w:gridCol w:w="36"/>
        <w:gridCol w:w="36"/>
        <w:gridCol w:w="36"/>
        <w:gridCol w:w="36"/>
        <w:gridCol w:w="36"/>
        <w:gridCol w:w="36"/>
        <w:gridCol w:w="36"/>
        <w:gridCol w:w="36"/>
        <w:gridCol w:w="36"/>
        <w:gridCol w:w="36"/>
        <w:gridCol w:w="101"/>
        <w:gridCol w:w="772"/>
        <w:gridCol w:w="36"/>
        <w:gridCol w:w="36"/>
        <w:gridCol w:w="36"/>
        <w:gridCol w:w="36"/>
        <w:gridCol w:w="101"/>
        <w:gridCol w:w="572"/>
        <w:gridCol w:w="36"/>
      </w:tblGrid>
      <w:tr w:rsidR="00000000">
        <w:trPr>
          <w:divId w:val="1461846702"/>
        </w:trPr>
        <w:tc>
          <w:tcPr>
            <w:tcW w:w="50" w:type="pct"/>
            <w:vAlign w:val="center"/>
            <w:hideMark/>
          </w:tcPr>
          <w:p w:rsidR="00000000" w:rsidRDefault="000C147A">
            <w:pPr>
              <w:jc w:val="center"/>
              <w:rPr>
                <w:rFonts w:eastAsia="Times New Roman"/>
              </w:rPr>
            </w:pPr>
          </w:p>
        </w:tc>
        <w:tc>
          <w:tcPr>
            <w:tcW w:w="13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46184670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6184670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46184670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6184670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1846702"/>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(3,942)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(3,933)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18467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618467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6184670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61846702"/>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3,083 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3,079 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1846702"/>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(2,300)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(2,291)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4,588 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1846702"/>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61846702"/>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(2,389)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(2,380)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4,453 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599"/>
        <w:gridCol w:w="144"/>
        <w:gridCol w:w="144"/>
        <w:gridCol w:w="830"/>
        <w:gridCol w:w="144"/>
        <w:gridCol w:w="480"/>
        <w:gridCol w:w="1440"/>
        <w:gridCol w:w="1440"/>
        <w:gridCol w:w="1440"/>
        <w:gridCol w:w="144"/>
        <w:gridCol w:w="830"/>
        <w:gridCol w:w="144"/>
        <w:gridCol w:w="144"/>
        <w:gridCol w:w="830"/>
        <w:gridCol w:w="144"/>
        <w:gridCol w:w="144"/>
        <w:gridCol w:w="830"/>
        <w:gridCol w:w="144"/>
        <w:gridCol w:w="144"/>
        <w:gridCol w:w="830"/>
        <w:gridCol w:w="144"/>
      </w:tblGrid>
      <w:tr w:rsidR="00000000">
        <w:tc>
          <w:tcPr>
            <w:tcW w:w="50" w:type="pct"/>
            <w:vAlign w:val="center"/>
            <w:hideMark/>
          </w:tcPr>
          <w:p w:rsidR="00000000" w:rsidRDefault="000C147A">
            <w:pPr>
              <w:rPr>
                <w:rFonts w:eastAsia="Times New Roman"/>
              </w:rPr>
            </w:pPr>
          </w:p>
        </w:tc>
        <w:tc>
          <w:tcPr>
            <w:tcW w:w="216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trHeight w:val="88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bl>
    <w:p w:rsidR="00000000" w:rsidRDefault="000C147A">
      <w:pPr>
        <w:divId w:val="1653409739"/>
        <w:rPr>
          <w:rFonts w:eastAsia="Times New Roman"/>
        </w:rPr>
      </w:pPr>
    </w:p>
    <w:p w:rsidR="00000000" w:rsidRDefault="000C147A">
      <w:pPr>
        <w:jc w:val="center"/>
        <w:divId w:val="57409696"/>
        <w:rPr>
          <w:rFonts w:eastAsia="Times New Roman"/>
        </w:rPr>
      </w:pPr>
      <w:r>
        <w:rPr>
          <w:rFonts w:eastAsia="Times New Roman"/>
          <w:color w:val="000000"/>
          <w:sz w:val="20"/>
          <w:szCs w:val="20"/>
        </w:rPr>
        <w:t>72</w:t>
      </w:r>
    </w:p>
    <w:p w:rsidR="00000000" w:rsidRDefault="000C147A">
      <w:pPr>
        <w:rPr>
          <w:rFonts w:eastAsia="Times New Roman"/>
        </w:rPr>
      </w:pPr>
      <w:r>
        <w:rPr>
          <w:rFonts w:eastAsia="Times New Roman"/>
        </w:rPr>
        <w:pict>
          <v:rect id="_x0000_i1098" style="width:0;height:1.5pt" o:hralign="center" o:hrstd="t" o:hr="t" fillcolor="#a0a0a0" stroked="f"/>
        </w:pict>
      </w:r>
    </w:p>
    <w:p w:rsidR="00000000" w:rsidRDefault="000C147A">
      <w:pPr>
        <w:jc w:val="center"/>
        <w:divId w:val="988633080"/>
        <w:rPr>
          <w:rFonts w:eastAsia="Times New Roman"/>
        </w:rPr>
      </w:pPr>
      <w:r>
        <w:rPr>
          <w:rFonts w:eastAsia="Times New Roman"/>
          <w:b/>
          <w:bCs/>
          <w:color w:val="000000"/>
          <w:sz w:val="20"/>
          <w:szCs w:val="20"/>
        </w:rPr>
        <w:t>EQUITABLE HOLDINGS, INC.</w:t>
      </w:r>
    </w:p>
    <w:p w:rsidR="00000000" w:rsidRDefault="000C147A">
      <w:pPr>
        <w:jc w:val="center"/>
        <w:divId w:val="98863308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563"/>
        <w:gridCol w:w="37"/>
        <w:gridCol w:w="101"/>
        <w:gridCol w:w="671"/>
        <w:gridCol w:w="37"/>
        <w:gridCol w:w="36"/>
        <w:gridCol w:w="36"/>
        <w:gridCol w:w="36"/>
        <w:gridCol w:w="36"/>
        <w:gridCol w:w="36"/>
        <w:gridCol w:w="36"/>
        <w:gridCol w:w="36"/>
        <w:gridCol w:w="101"/>
        <w:gridCol w:w="608"/>
        <w:gridCol w:w="36"/>
        <w:gridCol w:w="36"/>
        <w:gridCol w:w="36"/>
        <w:gridCol w:w="36"/>
        <w:gridCol w:w="101"/>
        <w:gridCol w:w="509"/>
        <w:gridCol w:w="36"/>
        <w:gridCol w:w="36"/>
        <w:gridCol w:w="36"/>
        <w:gridCol w:w="36"/>
      </w:tblGrid>
      <w:tr w:rsidR="00000000">
        <w:trPr>
          <w:divId w:val="1386023321"/>
        </w:trPr>
        <w:tc>
          <w:tcPr>
            <w:tcW w:w="50" w:type="pct"/>
            <w:vAlign w:val="center"/>
            <w:hideMark/>
          </w:tcPr>
          <w:p w:rsidR="00000000" w:rsidRDefault="000C147A">
            <w:pPr>
              <w:jc w:val="center"/>
              <w:rPr>
                <w:rFonts w:eastAsia="Times New Roman"/>
              </w:rPr>
            </w:pPr>
          </w:p>
        </w:tc>
        <w:tc>
          <w:tcPr>
            <w:tcW w:w="34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8602332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38602332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r>
      <w:tr w:rsidR="00000000">
        <w:trPr>
          <w:divId w:val="138602332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38602332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8602332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138602332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8602332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138602332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8602332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1386023321"/>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1386023321"/>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38602332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6,859 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bl>
    <w:p w:rsidR="00000000" w:rsidRDefault="000C147A">
      <w:pPr>
        <w:divId w:val="11914543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73"/>
        <w:gridCol w:w="37"/>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467"/>
        <w:gridCol w:w="36"/>
        <w:gridCol w:w="36"/>
        <w:gridCol w:w="36"/>
        <w:gridCol w:w="36"/>
        <w:gridCol w:w="101"/>
        <w:gridCol w:w="670"/>
        <w:gridCol w:w="37"/>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495"/>
        <w:gridCol w:w="36"/>
      </w:tblGrid>
      <w:tr w:rsidR="00000000">
        <w:trPr>
          <w:divId w:val="1469742485"/>
        </w:trPr>
        <w:tc>
          <w:tcPr>
            <w:tcW w:w="50" w:type="pct"/>
            <w:vAlign w:val="center"/>
            <w:hideMark/>
          </w:tcPr>
          <w:p w:rsidR="00000000" w:rsidRDefault="000C147A">
            <w:pPr>
              <w:rPr>
                <w:rFonts w:eastAsia="Times New Roman"/>
              </w:rPr>
            </w:pPr>
          </w:p>
        </w:tc>
        <w:tc>
          <w:tcPr>
            <w:tcW w:w="205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4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46974248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6974248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46974248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6974248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46974248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974248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974248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2,258 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974248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6974248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2,248 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(1,169)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974248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977 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46974248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C147A">
        <w:trPr>
          <w:divId w:val="146974248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503 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9944817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000"/>
        <w:gridCol w:w="37"/>
        <w:gridCol w:w="102"/>
        <w:gridCol w:w="671"/>
        <w:gridCol w:w="37"/>
        <w:gridCol w:w="36"/>
        <w:gridCol w:w="36"/>
        <w:gridCol w:w="36"/>
        <w:gridCol w:w="234"/>
        <w:gridCol w:w="234"/>
        <w:gridCol w:w="234"/>
        <w:gridCol w:w="46"/>
        <w:gridCol w:w="101"/>
        <w:gridCol w:w="608"/>
        <w:gridCol w:w="36"/>
        <w:gridCol w:w="36"/>
        <w:gridCol w:w="36"/>
        <w:gridCol w:w="36"/>
        <w:gridCol w:w="101"/>
        <w:gridCol w:w="507"/>
        <w:gridCol w:w="37"/>
        <w:gridCol w:w="36"/>
        <w:gridCol w:w="36"/>
        <w:gridCol w:w="36"/>
        <w:gridCol w:w="36"/>
        <w:gridCol w:w="36"/>
        <w:gridCol w:w="36"/>
        <w:gridCol w:w="101"/>
        <w:gridCol w:w="671"/>
        <w:gridCol w:w="37"/>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12"/>
        <w:gridCol w:w="36"/>
      </w:tblGrid>
      <w:tr w:rsidR="00000000">
        <w:trPr>
          <w:divId w:val="180242559"/>
        </w:trPr>
        <w:tc>
          <w:tcPr>
            <w:tcW w:w="50" w:type="pct"/>
            <w:vAlign w:val="center"/>
            <w:hideMark/>
          </w:tcPr>
          <w:p w:rsidR="00000000" w:rsidRDefault="000C147A">
            <w:pPr>
              <w:rPr>
                <w:rFonts w:eastAsia="Times New Roman"/>
              </w:rPr>
            </w:pPr>
          </w:p>
        </w:tc>
        <w:tc>
          <w:tcPr>
            <w:tcW w:w="193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02425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24255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2,874 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24255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24255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2,262 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024255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024255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4594509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11"/>
        <w:gridCol w:w="37"/>
        <w:gridCol w:w="101"/>
        <w:gridCol w:w="671"/>
        <w:gridCol w:w="37"/>
        <w:gridCol w:w="36"/>
        <w:gridCol w:w="36"/>
        <w:gridCol w:w="36"/>
        <w:gridCol w:w="36"/>
        <w:gridCol w:w="36"/>
        <w:gridCol w:w="36"/>
        <w:gridCol w:w="46"/>
        <w:gridCol w:w="101"/>
        <w:gridCol w:w="608"/>
        <w:gridCol w:w="36"/>
        <w:gridCol w:w="36"/>
        <w:gridCol w:w="36"/>
        <w:gridCol w:w="36"/>
        <w:gridCol w:w="101"/>
        <w:gridCol w:w="507"/>
        <w:gridCol w:w="37"/>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1687780071"/>
        </w:trPr>
        <w:tc>
          <w:tcPr>
            <w:tcW w:w="50" w:type="pct"/>
            <w:vAlign w:val="center"/>
            <w:hideMark/>
          </w:tcPr>
          <w:p w:rsidR="00000000" w:rsidRDefault="000C147A">
            <w:pPr>
              <w:rPr>
                <w:rFonts w:eastAsia="Times New Roman"/>
              </w:rPr>
            </w:pPr>
          </w:p>
        </w:tc>
        <w:tc>
          <w:tcPr>
            <w:tcW w:w="19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8778007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8778007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68778007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8778007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68778007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279)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8778007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8778007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2,203 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2,128 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8778007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8778007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87780071"/>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87780071"/>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87780071"/>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481195325"/>
        <w:rPr>
          <w:rFonts w:eastAsia="Times New Roman"/>
        </w:rPr>
      </w:pPr>
    </w:p>
    <w:p w:rsidR="00000000" w:rsidRDefault="000C147A">
      <w:pPr>
        <w:jc w:val="center"/>
        <w:divId w:val="1390422086"/>
        <w:rPr>
          <w:rFonts w:eastAsia="Times New Roman"/>
        </w:rPr>
      </w:pPr>
      <w:r>
        <w:rPr>
          <w:rFonts w:eastAsia="Times New Roman"/>
          <w:color w:val="000000"/>
          <w:sz w:val="20"/>
          <w:szCs w:val="20"/>
        </w:rPr>
        <w:t>73</w:t>
      </w:r>
    </w:p>
    <w:p w:rsidR="00000000" w:rsidRDefault="000C147A">
      <w:pPr>
        <w:rPr>
          <w:rFonts w:eastAsia="Times New Roman"/>
        </w:rPr>
      </w:pPr>
      <w:r>
        <w:rPr>
          <w:rFonts w:eastAsia="Times New Roman"/>
        </w:rPr>
        <w:pict>
          <v:rect id="_x0000_i1099" style="width:0;height:1.5pt" o:hralign="center" o:hrstd="t" o:hr="t" fillcolor="#a0a0a0" stroked="f"/>
        </w:pict>
      </w:r>
    </w:p>
    <w:p w:rsidR="00000000" w:rsidRDefault="000C147A">
      <w:pPr>
        <w:jc w:val="center"/>
        <w:divId w:val="1442334840"/>
        <w:rPr>
          <w:rFonts w:eastAsia="Times New Roman"/>
        </w:rPr>
      </w:pPr>
      <w:r>
        <w:rPr>
          <w:rFonts w:eastAsia="Times New Roman"/>
          <w:b/>
          <w:bCs/>
          <w:color w:val="000000"/>
          <w:sz w:val="20"/>
          <w:szCs w:val="20"/>
        </w:rPr>
        <w:t>EQUITABLE HOLDINGS, INC.</w:t>
      </w:r>
    </w:p>
    <w:p w:rsidR="00000000" w:rsidRDefault="000C147A">
      <w:pPr>
        <w:jc w:val="center"/>
        <w:divId w:val="144233484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562"/>
        <w:gridCol w:w="37"/>
        <w:gridCol w:w="36"/>
        <w:gridCol w:w="36"/>
        <w:gridCol w:w="36"/>
        <w:gridCol w:w="101"/>
        <w:gridCol w:w="671"/>
        <w:gridCol w:w="37"/>
        <w:gridCol w:w="36"/>
        <w:gridCol w:w="36"/>
        <w:gridCol w:w="36"/>
        <w:gridCol w:w="36"/>
        <w:gridCol w:w="36"/>
        <w:gridCol w:w="36"/>
        <w:gridCol w:w="36"/>
        <w:gridCol w:w="101"/>
        <w:gridCol w:w="608"/>
        <w:gridCol w:w="36"/>
        <w:gridCol w:w="36"/>
        <w:gridCol w:w="36"/>
        <w:gridCol w:w="36"/>
        <w:gridCol w:w="101"/>
        <w:gridCol w:w="510"/>
        <w:gridCol w:w="36"/>
      </w:tblGrid>
      <w:tr w:rsidR="00000000">
        <w:trPr>
          <w:divId w:val="2008482165"/>
        </w:trPr>
        <w:tc>
          <w:tcPr>
            <w:tcW w:w="50" w:type="pct"/>
            <w:vAlign w:val="center"/>
            <w:hideMark/>
          </w:tcPr>
          <w:p w:rsidR="00000000" w:rsidRDefault="000C147A">
            <w:pPr>
              <w:jc w:val="center"/>
              <w:rPr>
                <w:rFonts w:eastAsia="Times New Roman"/>
              </w:rPr>
            </w:pPr>
          </w:p>
        </w:tc>
        <w:tc>
          <w:tcPr>
            <w:tcW w:w="343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00848216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084821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20084821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0848216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00848216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(709)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(739)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084821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0848216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084821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0848216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0848216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0084821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0848216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95579422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50"/>
        <w:gridCol w:w="37"/>
        <w:gridCol w:w="101"/>
        <w:gridCol w:w="671"/>
        <w:gridCol w:w="37"/>
        <w:gridCol w:w="167"/>
        <w:gridCol w:w="167"/>
        <w:gridCol w:w="167"/>
        <w:gridCol w:w="167"/>
        <w:gridCol w:w="36"/>
        <w:gridCol w:w="36"/>
        <w:gridCol w:w="36"/>
        <w:gridCol w:w="101"/>
        <w:gridCol w:w="608"/>
        <w:gridCol w:w="36"/>
        <w:gridCol w:w="36"/>
        <w:gridCol w:w="36"/>
        <w:gridCol w:w="36"/>
        <w:gridCol w:w="101"/>
        <w:gridCol w:w="506"/>
        <w:gridCol w:w="36"/>
      </w:tblGrid>
      <w:tr w:rsidR="00000000">
        <w:trPr>
          <w:divId w:val="1882743910"/>
        </w:trPr>
        <w:tc>
          <w:tcPr>
            <w:tcW w:w="50" w:type="pct"/>
            <w:vAlign w:val="center"/>
            <w:hideMark/>
          </w:tcPr>
          <w:p w:rsidR="00000000" w:rsidRDefault="000C147A">
            <w:pPr>
              <w:rPr>
                <w:rFonts w:eastAsia="Times New Roman"/>
              </w:rPr>
            </w:pPr>
          </w:p>
        </w:tc>
        <w:tc>
          <w:tcPr>
            <w:tcW w:w="348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8274391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2017</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8274391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88274391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8274391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Comprehensive Income:</w:t>
            </w:r>
          </w:p>
        </w:tc>
        <w:tc>
          <w:tcPr>
            <w:tcW w:w="0" w:type="auto"/>
            <w:gridSpan w:val="7"/>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827439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Foreign currency translation adjustment</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672 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827439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82743910"/>
        </w:trPr>
        <w:tc>
          <w:tcPr>
            <w:tcW w:w="0" w:type="auto"/>
            <w:gridSpan w:val="3"/>
            <w:shd w:val="clear" w:color="auto" w:fill="FFFFFF"/>
            <w:tcMar>
              <w:top w:w="30" w:type="dxa"/>
              <w:left w:w="1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Comprehensive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8274391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917791538"/>
        <w:rPr>
          <w:rFonts w:eastAsia="Times New Roman"/>
        </w:rPr>
      </w:pPr>
    </w:p>
    <w:p w:rsidR="00000000" w:rsidRDefault="000C147A">
      <w:pPr>
        <w:jc w:val="center"/>
        <w:divId w:val="627050345"/>
        <w:rPr>
          <w:rFonts w:eastAsia="Times New Roman"/>
        </w:rPr>
      </w:pPr>
      <w:r>
        <w:rPr>
          <w:rFonts w:eastAsia="Times New Roman"/>
          <w:color w:val="000000"/>
          <w:sz w:val="20"/>
          <w:szCs w:val="20"/>
        </w:rPr>
        <w:t>74</w:t>
      </w:r>
    </w:p>
    <w:p w:rsidR="00000000" w:rsidRDefault="000C147A">
      <w:pPr>
        <w:rPr>
          <w:rFonts w:eastAsia="Times New Roman"/>
        </w:rPr>
      </w:pPr>
      <w:r>
        <w:rPr>
          <w:rFonts w:eastAsia="Times New Roman"/>
        </w:rPr>
        <w:pict>
          <v:rect id="_x0000_i1100" style="width:0;height:1.5pt" o:hralign="center" o:hrstd="t" o:hr="t" fillcolor="#a0a0a0" stroked="f"/>
        </w:pict>
      </w:r>
    </w:p>
    <w:p w:rsidR="00000000" w:rsidRDefault="000C147A">
      <w:pPr>
        <w:jc w:val="center"/>
        <w:divId w:val="538516433"/>
        <w:rPr>
          <w:rFonts w:eastAsia="Times New Roman"/>
        </w:rPr>
      </w:pPr>
      <w:r>
        <w:rPr>
          <w:rFonts w:eastAsia="Times New Roman"/>
          <w:b/>
          <w:bCs/>
          <w:color w:val="000000"/>
          <w:sz w:val="20"/>
          <w:szCs w:val="20"/>
        </w:rPr>
        <w:t>EQUITABLE HOLDINGS, INC.</w:t>
      </w:r>
    </w:p>
    <w:p w:rsidR="00000000" w:rsidRDefault="000C147A">
      <w:pPr>
        <w:jc w:val="center"/>
        <w:divId w:val="53851643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2095"/>
        <w:gridCol w:w="36"/>
        <w:gridCol w:w="101"/>
        <w:gridCol w:w="786"/>
        <w:gridCol w:w="37"/>
        <w:gridCol w:w="36"/>
        <w:gridCol w:w="36"/>
        <w:gridCol w:w="36"/>
        <w:gridCol w:w="36"/>
        <w:gridCol w:w="36"/>
        <w:gridCol w:w="36"/>
        <w:gridCol w:w="46"/>
        <w:gridCol w:w="101"/>
        <w:gridCol w:w="737"/>
        <w:gridCol w:w="36"/>
        <w:gridCol w:w="36"/>
        <w:gridCol w:w="36"/>
        <w:gridCol w:w="36"/>
        <w:gridCol w:w="100"/>
        <w:gridCol w:w="572"/>
        <w:gridCol w:w="36"/>
        <w:gridCol w:w="36"/>
        <w:gridCol w:w="36"/>
        <w:gridCol w:w="36"/>
        <w:gridCol w:w="101"/>
        <w:gridCol w:w="787"/>
        <w:gridCol w:w="36"/>
        <w:gridCol w:w="36"/>
        <w:gridCol w:w="36"/>
        <w:gridCol w:w="36"/>
        <w:gridCol w:w="36"/>
        <w:gridCol w:w="36"/>
        <w:gridCol w:w="36"/>
        <w:gridCol w:w="36"/>
        <w:gridCol w:w="36"/>
        <w:gridCol w:w="36"/>
        <w:gridCol w:w="36"/>
        <w:gridCol w:w="36"/>
        <w:gridCol w:w="36"/>
        <w:gridCol w:w="36"/>
        <w:gridCol w:w="36"/>
        <w:gridCol w:w="36"/>
        <w:gridCol w:w="101"/>
        <w:gridCol w:w="737"/>
        <w:gridCol w:w="36"/>
        <w:gridCol w:w="36"/>
        <w:gridCol w:w="36"/>
        <w:gridCol w:w="36"/>
        <w:gridCol w:w="100"/>
        <w:gridCol w:w="572"/>
        <w:gridCol w:w="36"/>
      </w:tblGrid>
      <w:tr w:rsidR="00000000">
        <w:trPr>
          <w:divId w:val="1656374617"/>
        </w:trPr>
        <w:tc>
          <w:tcPr>
            <w:tcW w:w="50" w:type="pct"/>
            <w:vAlign w:val="center"/>
            <w:hideMark/>
          </w:tcPr>
          <w:p w:rsidR="00000000" w:rsidRDefault="000C147A">
            <w:pPr>
              <w:jc w:val="center"/>
              <w:rPr>
                <w:rFonts w:eastAsia="Times New Roman"/>
              </w:rPr>
            </w:pPr>
          </w:p>
        </w:tc>
        <w:tc>
          <w:tcPr>
            <w:tcW w:w="13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5637461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2020</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5637461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65637461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56374617"/>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17,007 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5637461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(4,028)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(4,019)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5637461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5637461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17,498 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17,498 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56374617"/>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656374617"/>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19,134 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19,134 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25640953"/>
        <w:rPr>
          <w:rFonts w:eastAsia="Times New Roman"/>
        </w:rPr>
      </w:pPr>
    </w:p>
    <w:p w:rsidR="00000000" w:rsidRDefault="000C147A">
      <w:pPr>
        <w:jc w:val="center"/>
        <w:divId w:val="1575428398"/>
        <w:rPr>
          <w:rFonts w:eastAsia="Times New Roman"/>
        </w:rPr>
      </w:pPr>
      <w:r>
        <w:rPr>
          <w:rFonts w:eastAsia="Times New Roman"/>
          <w:color w:val="000000"/>
          <w:sz w:val="20"/>
          <w:szCs w:val="20"/>
        </w:rPr>
        <w:t>75</w:t>
      </w:r>
    </w:p>
    <w:p w:rsidR="00000000" w:rsidRDefault="000C147A">
      <w:pPr>
        <w:rPr>
          <w:rFonts w:eastAsia="Times New Roman"/>
        </w:rPr>
      </w:pPr>
      <w:r>
        <w:rPr>
          <w:rFonts w:eastAsia="Times New Roman"/>
        </w:rPr>
        <w:pict>
          <v:rect id="_x0000_i1101" style="width:0;height:1.5pt" o:hralign="center" o:hrstd="t" o:hr="t" fillcolor="#a0a0a0" stroked="f"/>
        </w:pict>
      </w:r>
    </w:p>
    <w:p w:rsidR="00000000" w:rsidRDefault="000C147A">
      <w:pPr>
        <w:jc w:val="center"/>
        <w:divId w:val="489827080"/>
        <w:rPr>
          <w:rFonts w:eastAsia="Times New Roman"/>
        </w:rPr>
      </w:pPr>
      <w:r>
        <w:rPr>
          <w:rFonts w:eastAsia="Times New Roman"/>
          <w:b/>
          <w:bCs/>
          <w:color w:val="000000"/>
          <w:sz w:val="20"/>
          <w:szCs w:val="20"/>
        </w:rPr>
        <w:t>EQUITABLE HOLDINGS, INC.</w:t>
      </w:r>
    </w:p>
    <w:p w:rsidR="00000000" w:rsidRDefault="000C147A">
      <w:pPr>
        <w:jc w:val="center"/>
        <w:divId w:val="48982708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5523"/>
        <w:gridCol w:w="36"/>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480"/>
        <w:gridCol w:w="36"/>
        <w:gridCol w:w="36"/>
        <w:gridCol w:w="36"/>
        <w:gridCol w:w="36"/>
      </w:tblGrid>
      <w:tr w:rsidR="00000000">
        <w:trPr>
          <w:divId w:val="645667680"/>
        </w:trPr>
        <w:tc>
          <w:tcPr>
            <w:tcW w:w="50" w:type="pct"/>
            <w:vAlign w:val="center"/>
            <w:hideMark/>
          </w:tcPr>
          <w:p w:rsidR="00000000" w:rsidRDefault="000C147A">
            <w:pPr>
              <w:jc w:val="center"/>
              <w:rPr>
                <w:rFonts w:eastAsia="Times New Roman"/>
              </w:rPr>
            </w:pPr>
          </w:p>
        </w:tc>
        <w:tc>
          <w:tcPr>
            <w:tcW w:w="34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4566768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4566768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r>
      <w:tr w:rsidR="00000000">
        <w:trPr>
          <w:divId w:val="64566768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4566768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17,007 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20,086 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19,981 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4566768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21,640 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r>
    </w:tbl>
    <w:p w:rsidR="00000000" w:rsidRDefault="000C147A">
      <w:pPr>
        <w:divId w:val="1263417705"/>
        <w:rPr>
          <w:rFonts w:eastAsia="Times New Roman"/>
        </w:rPr>
      </w:pPr>
    </w:p>
    <w:tbl>
      <w:tblPr>
        <w:tblW w:w="4934" w:type="pct"/>
        <w:tblCellMar>
          <w:top w:w="15" w:type="dxa"/>
          <w:left w:w="15" w:type="dxa"/>
          <w:bottom w:w="15" w:type="dxa"/>
          <w:right w:w="15" w:type="dxa"/>
        </w:tblCellMar>
        <w:tblLook w:val="04A0" w:firstRow="1" w:lastRow="0" w:firstColumn="1" w:lastColumn="0" w:noHBand="0" w:noVBand="1"/>
      </w:tblPr>
      <w:tblGrid>
        <w:gridCol w:w="38"/>
        <w:gridCol w:w="2653"/>
        <w:gridCol w:w="37"/>
        <w:gridCol w:w="101"/>
        <w:gridCol w:w="672"/>
        <w:gridCol w:w="37"/>
        <w:gridCol w:w="36"/>
        <w:gridCol w:w="36"/>
        <w:gridCol w:w="36"/>
        <w:gridCol w:w="36"/>
        <w:gridCol w:w="36"/>
        <w:gridCol w:w="36"/>
        <w:gridCol w:w="46"/>
        <w:gridCol w:w="101"/>
        <w:gridCol w:w="609"/>
        <w:gridCol w:w="36"/>
        <w:gridCol w:w="36"/>
        <w:gridCol w:w="36"/>
        <w:gridCol w:w="36"/>
        <w:gridCol w:w="100"/>
        <w:gridCol w:w="480"/>
        <w:gridCol w:w="36"/>
        <w:gridCol w:w="36"/>
        <w:gridCol w:w="36"/>
        <w:gridCol w:w="36"/>
        <w:gridCol w:w="101"/>
        <w:gridCol w:w="671"/>
        <w:gridCol w:w="36"/>
        <w:gridCol w:w="36"/>
        <w:gridCol w:w="36"/>
        <w:gridCol w:w="36"/>
        <w:gridCol w:w="36"/>
        <w:gridCol w:w="36"/>
        <w:gridCol w:w="36"/>
        <w:gridCol w:w="36"/>
        <w:gridCol w:w="36"/>
        <w:gridCol w:w="36"/>
        <w:gridCol w:w="36"/>
        <w:gridCol w:w="36"/>
        <w:gridCol w:w="36"/>
        <w:gridCol w:w="36"/>
        <w:gridCol w:w="36"/>
        <w:gridCol w:w="36"/>
        <w:gridCol w:w="101"/>
        <w:gridCol w:w="609"/>
        <w:gridCol w:w="36"/>
        <w:gridCol w:w="36"/>
        <w:gridCol w:w="36"/>
        <w:gridCol w:w="36"/>
        <w:gridCol w:w="100"/>
        <w:gridCol w:w="480"/>
        <w:gridCol w:w="36"/>
      </w:tblGrid>
      <w:tr w:rsidR="00000000">
        <w:trPr>
          <w:divId w:val="966278529"/>
        </w:trPr>
        <w:tc>
          <w:tcPr>
            <w:tcW w:w="50" w:type="pct"/>
            <w:vAlign w:val="center"/>
            <w:hideMark/>
          </w:tcPr>
          <w:p w:rsidR="00000000" w:rsidRDefault="000C147A">
            <w:pPr>
              <w:rPr>
                <w:rFonts w:eastAsia="Times New Roman"/>
              </w:rPr>
            </w:pPr>
          </w:p>
        </w:tc>
        <w:tc>
          <w:tcPr>
            <w:tcW w:w="192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96627852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6627852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96627852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6627852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12,225 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12,138 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(1,733)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(1,764)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beginning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(1,192)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(1,184)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w:t>
            </w:r>
            <w:r>
              <w:rPr>
                <w:rFonts w:eastAsia="Times New Roman"/>
                <w:color w:val="000000"/>
                <w:sz w:val="16"/>
                <w:szCs w:val="16"/>
              </w:rPr>
              <w:t>ated other comprehensive income (loss), end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13,535 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13,456 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13,802 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96627852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66278529"/>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15,126 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15,432 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15,368 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59"/>
        <w:gridCol w:w="144"/>
        <w:gridCol w:w="144"/>
        <w:gridCol w:w="684"/>
        <w:gridCol w:w="144"/>
        <w:gridCol w:w="144"/>
        <w:gridCol w:w="144"/>
        <w:gridCol w:w="144"/>
        <w:gridCol w:w="480"/>
        <w:gridCol w:w="1440"/>
        <w:gridCol w:w="1440"/>
        <w:gridCol w:w="1440"/>
        <w:gridCol w:w="144"/>
        <w:gridCol w:w="684"/>
        <w:gridCol w:w="144"/>
        <w:gridCol w:w="144"/>
        <w:gridCol w:w="144"/>
        <w:gridCol w:w="144"/>
        <w:gridCol w:w="144"/>
        <w:gridCol w:w="684"/>
        <w:gridCol w:w="144"/>
        <w:gridCol w:w="144"/>
        <w:gridCol w:w="144"/>
        <w:gridCol w:w="144"/>
        <w:gridCol w:w="144"/>
        <w:gridCol w:w="684"/>
        <w:gridCol w:w="144"/>
        <w:gridCol w:w="160"/>
        <w:gridCol w:w="160"/>
        <w:gridCol w:w="160"/>
        <w:gridCol w:w="480"/>
        <w:gridCol w:w="480"/>
        <w:gridCol w:w="480"/>
        <w:gridCol w:w="480"/>
        <w:gridCol w:w="480"/>
        <w:gridCol w:w="480"/>
        <w:gridCol w:w="480"/>
        <w:gridCol w:w="480"/>
        <w:gridCol w:w="480"/>
        <w:gridCol w:w="144"/>
        <w:gridCol w:w="144"/>
        <w:gridCol w:w="144"/>
        <w:gridCol w:w="144"/>
        <w:gridCol w:w="684"/>
        <w:gridCol w:w="144"/>
        <w:gridCol w:w="144"/>
        <w:gridCol w:w="144"/>
        <w:gridCol w:w="144"/>
        <w:gridCol w:w="144"/>
        <w:gridCol w:w="686"/>
        <w:gridCol w:w="144"/>
      </w:tblGrid>
      <w:tr w:rsidR="00000000">
        <w:tc>
          <w:tcPr>
            <w:tcW w:w="50" w:type="pct"/>
            <w:vAlign w:val="center"/>
            <w:hideMark/>
          </w:tcPr>
          <w:p w:rsidR="00000000" w:rsidRDefault="000C147A">
            <w:pPr>
              <w:rPr>
                <w:rFonts w:eastAsia="Times New Roman"/>
              </w:rPr>
            </w:pPr>
          </w:p>
        </w:tc>
        <w:tc>
          <w:tcPr>
            <w:tcW w:w="19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13,209 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(818)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12,761 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12,761 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beginning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2,864 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2,954 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445662768"/>
        <w:rPr>
          <w:rFonts w:eastAsia="Times New Roman"/>
        </w:rPr>
      </w:pPr>
    </w:p>
    <w:p w:rsidR="00000000" w:rsidRDefault="000C147A">
      <w:pPr>
        <w:jc w:val="center"/>
        <w:divId w:val="1087851641"/>
        <w:rPr>
          <w:rFonts w:eastAsia="Times New Roman"/>
        </w:rPr>
      </w:pPr>
      <w:r>
        <w:rPr>
          <w:rFonts w:eastAsia="Times New Roman"/>
          <w:color w:val="000000"/>
          <w:sz w:val="20"/>
          <w:szCs w:val="20"/>
        </w:rPr>
        <w:t>76</w:t>
      </w:r>
    </w:p>
    <w:p w:rsidR="00000000" w:rsidRDefault="000C147A">
      <w:pPr>
        <w:rPr>
          <w:rFonts w:eastAsia="Times New Roman"/>
        </w:rPr>
      </w:pPr>
      <w:r>
        <w:rPr>
          <w:rFonts w:eastAsia="Times New Roman"/>
        </w:rPr>
        <w:pict>
          <v:rect id="_x0000_i1102" style="width:0;height:1.5pt" o:hralign="center" o:hrstd="t" o:hr="t" fillcolor="#a0a0a0" stroked="f"/>
        </w:pict>
      </w:r>
    </w:p>
    <w:p w:rsidR="00000000" w:rsidRDefault="000C147A">
      <w:pPr>
        <w:jc w:val="center"/>
        <w:divId w:val="234821805"/>
        <w:rPr>
          <w:rFonts w:eastAsia="Times New Roman"/>
        </w:rPr>
      </w:pPr>
      <w:r>
        <w:rPr>
          <w:rFonts w:eastAsia="Times New Roman"/>
          <w:b/>
          <w:bCs/>
          <w:color w:val="000000"/>
          <w:sz w:val="20"/>
          <w:szCs w:val="20"/>
        </w:rPr>
        <w:t>EQ</w:t>
      </w:r>
      <w:r>
        <w:rPr>
          <w:rFonts w:eastAsia="Times New Roman"/>
          <w:b/>
          <w:bCs/>
          <w:color w:val="000000"/>
          <w:sz w:val="20"/>
          <w:szCs w:val="20"/>
        </w:rPr>
        <w:t>UITABLE HOLDINGS, INC.</w:t>
      </w:r>
    </w:p>
    <w:p w:rsidR="00000000" w:rsidRDefault="000C147A">
      <w:pPr>
        <w:jc w:val="center"/>
        <w:divId w:val="23482180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2775"/>
        <w:gridCol w:w="37"/>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480"/>
        <w:gridCol w:w="36"/>
        <w:gridCol w:w="36"/>
        <w:gridCol w:w="36"/>
        <w:gridCol w:w="36"/>
        <w:gridCol w:w="101"/>
        <w:gridCol w:w="671"/>
        <w:gridCol w:w="37"/>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0"/>
        <w:gridCol w:w="480"/>
        <w:gridCol w:w="36"/>
      </w:tblGrid>
      <w:tr w:rsidR="00000000">
        <w:trPr>
          <w:divId w:val="746154283"/>
        </w:trPr>
        <w:tc>
          <w:tcPr>
            <w:tcW w:w="50" w:type="pct"/>
            <w:vAlign w:val="center"/>
            <w:hideMark/>
          </w:tcPr>
          <w:p w:rsidR="00000000" w:rsidRDefault="000C147A">
            <w:pPr>
              <w:jc w:val="center"/>
              <w:rPr>
                <w:rFonts w:eastAsia="Times New Roman"/>
              </w:rPr>
            </w:pPr>
          </w:p>
        </w:tc>
        <w:tc>
          <w:tcPr>
            <w:tcW w:w="188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74615428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6"/>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4615428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74615428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4615428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Additional paid-in capital, beginning of year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1,881 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1,882 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4615428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74615428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Additional paid-in capital,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74615428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13,004 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4615428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4615428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C147A">
        <w:trPr>
          <w:divId w:val="74615428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13,209 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74615428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4615428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2,197 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74615428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74615428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14,843 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14,843 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74615428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4615428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C147A">
        <w:trPr>
          <w:divId w:val="74615428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16,388 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16,217 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16,388 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16,217 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1963106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521"/>
        <w:gridCol w:w="37"/>
        <w:gridCol w:w="36"/>
        <w:gridCol w:w="36"/>
        <w:gridCol w:w="36"/>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480"/>
        <w:gridCol w:w="36"/>
      </w:tblGrid>
      <w:tr w:rsidR="00000000">
        <w:trPr>
          <w:divId w:val="1817406163"/>
        </w:trPr>
        <w:tc>
          <w:tcPr>
            <w:tcW w:w="50" w:type="pct"/>
            <w:vAlign w:val="center"/>
            <w:hideMark/>
          </w:tcPr>
          <w:p w:rsidR="00000000" w:rsidRDefault="000C147A">
            <w:pPr>
              <w:rPr>
                <w:rFonts w:eastAsia="Times New Roman"/>
              </w:rPr>
            </w:pPr>
          </w:p>
        </w:tc>
        <w:tc>
          <w:tcPr>
            <w:tcW w:w="340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1740616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1740616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81740616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81740616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 of Equity:</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Additional paid-in capital, end of period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805)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13,004 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12,922 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beginning of year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885 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end of period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(523)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13,143 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13,052 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17406163"/>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817406163"/>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14,591 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772"/>
        <w:gridCol w:w="144"/>
        <w:gridCol w:w="144"/>
        <w:gridCol w:w="684"/>
        <w:gridCol w:w="144"/>
        <w:gridCol w:w="480"/>
        <w:gridCol w:w="1440"/>
        <w:gridCol w:w="1440"/>
        <w:gridCol w:w="1440"/>
        <w:gridCol w:w="144"/>
        <w:gridCol w:w="144"/>
        <w:gridCol w:w="144"/>
        <w:gridCol w:w="144"/>
        <w:gridCol w:w="697"/>
        <w:gridCol w:w="144"/>
        <w:gridCol w:w="144"/>
        <w:gridCol w:w="144"/>
        <w:gridCol w:w="144"/>
        <w:gridCol w:w="144"/>
        <w:gridCol w:w="686"/>
        <w:gridCol w:w="144"/>
      </w:tblGrid>
      <w:tr w:rsidR="00000000">
        <w:tc>
          <w:tcPr>
            <w:tcW w:w="50" w:type="pct"/>
            <w:vAlign w:val="center"/>
            <w:hideMark/>
          </w:tcPr>
          <w:p w:rsidR="00000000" w:rsidRDefault="000C147A">
            <w:pPr>
              <w:rPr>
                <w:rFonts w:eastAsia="Times New Roman"/>
              </w:rPr>
            </w:pPr>
          </w:p>
        </w:tc>
        <w:tc>
          <w:tcPr>
            <w:tcW w:w="347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2017</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Previously 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Consolidated Statements of Equity:</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11,391 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11,360 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Retained earnings,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12,225 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12,138 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beginning of year</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Accumulated other comprehensive income (loss),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Holdings’ equity,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13,421 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w:t>
            </w:r>
            <w:r>
              <w:rPr>
                <w:rFonts w:eastAsia="Times New Roman"/>
                <w:color w:val="000000"/>
                <w:sz w:val="16"/>
                <w:szCs w:val="16"/>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13,314 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Total equity,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16,518 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(107)</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953971162"/>
        <w:rPr>
          <w:rFonts w:eastAsia="Times New Roman"/>
        </w:rPr>
      </w:pPr>
    </w:p>
    <w:p w:rsidR="00000000" w:rsidRDefault="000C147A">
      <w:pPr>
        <w:divId w:val="607127729"/>
        <w:rPr>
          <w:rFonts w:eastAsia="Times New Roman"/>
        </w:rPr>
      </w:pPr>
    </w:p>
    <w:p w:rsidR="00000000" w:rsidRDefault="000C147A">
      <w:pPr>
        <w:divId w:val="2127769684"/>
        <w:rPr>
          <w:rFonts w:eastAsia="Times New Roman"/>
        </w:rPr>
      </w:pPr>
    </w:p>
    <w:p w:rsidR="00000000" w:rsidRDefault="000C147A">
      <w:pPr>
        <w:jc w:val="center"/>
        <w:divId w:val="712774785"/>
        <w:rPr>
          <w:rFonts w:eastAsia="Times New Roman"/>
        </w:rPr>
      </w:pPr>
      <w:r>
        <w:rPr>
          <w:rFonts w:eastAsia="Times New Roman"/>
          <w:color w:val="000000"/>
          <w:sz w:val="20"/>
          <w:szCs w:val="20"/>
        </w:rPr>
        <w:t>77</w:t>
      </w:r>
    </w:p>
    <w:p w:rsidR="00000000" w:rsidRDefault="000C147A">
      <w:pPr>
        <w:rPr>
          <w:rFonts w:eastAsia="Times New Roman"/>
        </w:rPr>
      </w:pPr>
      <w:r>
        <w:rPr>
          <w:rFonts w:eastAsia="Times New Roman"/>
        </w:rPr>
        <w:pict>
          <v:rect id="_x0000_i1103" style="width:0;height:1.5pt" o:hralign="center" o:hrstd="t" o:hr="t" fillcolor="#a0a0a0" stroked="f"/>
        </w:pict>
      </w:r>
    </w:p>
    <w:p w:rsidR="00000000" w:rsidRDefault="000C147A">
      <w:pPr>
        <w:jc w:val="center"/>
        <w:divId w:val="1234465276"/>
        <w:rPr>
          <w:rFonts w:eastAsia="Times New Roman"/>
        </w:rPr>
      </w:pPr>
      <w:r>
        <w:rPr>
          <w:rFonts w:eastAsia="Times New Roman"/>
          <w:b/>
          <w:bCs/>
          <w:color w:val="000000"/>
          <w:sz w:val="20"/>
          <w:szCs w:val="20"/>
        </w:rPr>
        <w:t>EQUITABLE HOLDINGS, INC.</w:t>
      </w:r>
    </w:p>
    <w:p w:rsidR="00000000" w:rsidRDefault="000C147A">
      <w:pPr>
        <w:jc w:val="center"/>
        <w:divId w:val="1234465276"/>
        <w:rPr>
          <w:rFonts w:eastAsia="Times New Roman"/>
        </w:rPr>
      </w:pPr>
      <w:r>
        <w:rPr>
          <w:rFonts w:eastAsia="Times New Roman"/>
          <w:b/>
          <w:bCs/>
          <w:color w:val="000000"/>
          <w:sz w:val="20"/>
          <w:szCs w:val="20"/>
        </w:rPr>
        <w:t>NOTES TO CONSOLIDATED FINANCIAL STATEMENTS</w:t>
      </w:r>
    </w:p>
    <w:tbl>
      <w:tblPr>
        <w:tblW w:w="4795" w:type="pct"/>
        <w:tblCellMar>
          <w:top w:w="15" w:type="dxa"/>
          <w:left w:w="15" w:type="dxa"/>
          <w:bottom w:w="15" w:type="dxa"/>
          <w:right w:w="15" w:type="dxa"/>
        </w:tblCellMar>
        <w:tblLook w:val="04A0" w:firstRow="1" w:lastRow="0" w:firstColumn="1" w:lastColumn="0" w:noHBand="0" w:noVBand="1"/>
      </w:tblPr>
      <w:tblGrid>
        <w:gridCol w:w="38"/>
        <w:gridCol w:w="2392"/>
        <w:gridCol w:w="37"/>
        <w:gridCol w:w="101"/>
        <w:gridCol w:w="697"/>
        <w:gridCol w:w="37"/>
        <w:gridCol w:w="36"/>
        <w:gridCol w:w="36"/>
        <w:gridCol w:w="36"/>
        <w:gridCol w:w="36"/>
        <w:gridCol w:w="36"/>
        <w:gridCol w:w="36"/>
        <w:gridCol w:w="36"/>
        <w:gridCol w:w="101"/>
        <w:gridCol w:w="605"/>
        <w:gridCol w:w="36"/>
        <w:gridCol w:w="36"/>
        <w:gridCol w:w="36"/>
        <w:gridCol w:w="36"/>
        <w:gridCol w:w="101"/>
        <w:gridCol w:w="490"/>
        <w:gridCol w:w="37"/>
        <w:gridCol w:w="36"/>
        <w:gridCol w:w="36"/>
        <w:gridCol w:w="36"/>
        <w:gridCol w:w="101"/>
        <w:gridCol w:w="675"/>
        <w:gridCol w:w="37"/>
        <w:gridCol w:w="36"/>
        <w:gridCol w:w="36"/>
        <w:gridCol w:w="36"/>
        <w:gridCol w:w="36"/>
        <w:gridCol w:w="36"/>
        <w:gridCol w:w="36"/>
        <w:gridCol w:w="36"/>
        <w:gridCol w:w="36"/>
        <w:gridCol w:w="36"/>
        <w:gridCol w:w="36"/>
        <w:gridCol w:w="36"/>
        <w:gridCol w:w="36"/>
        <w:gridCol w:w="36"/>
        <w:gridCol w:w="36"/>
        <w:gridCol w:w="36"/>
        <w:gridCol w:w="101"/>
        <w:gridCol w:w="611"/>
        <w:gridCol w:w="36"/>
        <w:gridCol w:w="36"/>
        <w:gridCol w:w="36"/>
        <w:gridCol w:w="36"/>
        <w:gridCol w:w="100"/>
        <w:gridCol w:w="480"/>
        <w:gridCol w:w="36"/>
      </w:tblGrid>
      <w:tr w:rsidR="00000000">
        <w:trPr>
          <w:divId w:val="839924765"/>
        </w:trPr>
        <w:tc>
          <w:tcPr>
            <w:tcW w:w="50" w:type="pct"/>
            <w:vAlign w:val="center"/>
            <w:hideMark/>
          </w:tcPr>
          <w:p w:rsidR="00000000" w:rsidRDefault="000C147A">
            <w:pPr>
              <w:jc w:val="center"/>
              <w:rPr>
                <w:rFonts w:eastAsia="Times New Roman"/>
              </w:rPr>
            </w:pPr>
          </w:p>
        </w:tc>
        <w:tc>
          <w:tcPr>
            <w:tcW w:w="18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9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1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83992476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399247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8399247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39924765"/>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(991)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(996)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(3,368)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(3,362)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(9,401)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(9,400)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1,506 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1,275 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1,936 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1,420 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Other,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operating activities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(548)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(570)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657 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financing activities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and cash equivalents,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8,364 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8,364 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10,315 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10,315 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839924765"/>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9924765"/>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146321373"/>
        <w:rPr>
          <w:rFonts w:eastAsia="Times New Roman"/>
        </w:rPr>
      </w:pPr>
    </w:p>
    <w:tbl>
      <w:tblPr>
        <w:tblW w:w="4802" w:type="pct"/>
        <w:tblCellMar>
          <w:top w:w="15" w:type="dxa"/>
          <w:left w:w="15" w:type="dxa"/>
          <w:bottom w:w="15" w:type="dxa"/>
          <w:right w:w="15" w:type="dxa"/>
        </w:tblCellMar>
        <w:tblLook w:val="04A0" w:firstRow="1" w:lastRow="0" w:firstColumn="1" w:lastColumn="0" w:noHBand="0" w:noVBand="1"/>
      </w:tblPr>
      <w:tblGrid>
        <w:gridCol w:w="38"/>
        <w:gridCol w:w="2415"/>
        <w:gridCol w:w="37"/>
        <w:gridCol w:w="101"/>
        <w:gridCol w:w="675"/>
        <w:gridCol w:w="37"/>
        <w:gridCol w:w="36"/>
        <w:gridCol w:w="36"/>
        <w:gridCol w:w="36"/>
        <w:gridCol w:w="36"/>
        <w:gridCol w:w="36"/>
        <w:gridCol w:w="36"/>
        <w:gridCol w:w="36"/>
        <w:gridCol w:w="36"/>
        <w:gridCol w:w="36"/>
        <w:gridCol w:w="101"/>
        <w:gridCol w:w="611"/>
        <w:gridCol w:w="36"/>
        <w:gridCol w:w="36"/>
        <w:gridCol w:w="36"/>
        <w:gridCol w:w="36"/>
        <w:gridCol w:w="100"/>
        <w:gridCol w:w="467"/>
        <w:gridCol w:w="36"/>
        <w:gridCol w:w="36"/>
        <w:gridCol w:w="36"/>
        <w:gridCol w:w="36"/>
        <w:gridCol w:w="101"/>
        <w:gridCol w:w="674"/>
        <w:gridCol w:w="37"/>
        <w:gridCol w:w="36"/>
        <w:gridCol w:w="36"/>
        <w:gridCol w:w="36"/>
        <w:gridCol w:w="36"/>
        <w:gridCol w:w="36"/>
        <w:gridCol w:w="36"/>
        <w:gridCol w:w="36"/>
        <w:gridCol w:w="36"/>
        <w:gridCol w:w="36"/>
        <w:gridCol w:w="36"/>
        <w:gridCol w:w="36"/>
        <w:gridCol w:w="36"/>
        <w:gridCol w:w="36"/>
        <w:gridCol w:w="101"/>
        <w:gridCol w:w="611"/>
        <w:gridCol w:w="36"/>
        <w:gridCol w:w="36"/>
        <w:gridCol w:w="36"/>
        <w:gridCol w:w="36"/>
        <w:gridCol w:w="101"/>
        <w:gridCol w:w="510"/>
        <w:gridCol w:w="36"/>
      </w:tblGrid>
      <w:tr w:rsidR="00000000">
        <w:trPr>
          <w:divId w:val="1077282808"/>
        </w:trPr>
        <w:tc>
          <w:tcPr>
            <w:tcW w:w="50" w:type="pct"/>
            <w:vAlign w:val="center"/>
            <w:hideMark/>
          </w:tcPr>
          <w:p w:rsidR="00000000" w:rsidRDefault="000C147A">
            <w:pPr>
              <w:rPr>
                <w:rFonts w:eastAsia="Times New Roman"/>
              </w:rPr>
            </w:pPr>
          </w:p>
        </w:tc>
        <w:tc>
          <w:tcPr>
            <w:tcW w:w="176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07728280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6"/>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07728280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07728280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07728280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728280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C147A">
        <w:trPr>
          <w:divId w:val="107728280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(1,436)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(1,467)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7728280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(3,738)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(3,778)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(3,824)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(3,834)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1,263 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1,067 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257 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Capitalization of DAC</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(754)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(702)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(697)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(458)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627 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Other,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C147A">
        <w:trPr>
          <w:divId w:val="107728280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operating activities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C147A">
        <w:trPr>
          <w:divId w:val="107728280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and cash equivalents, end of year</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4,469 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4,469 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7728280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7728280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090586452"/>
        <w:rPr>
          <w:rFonts w:eastAsia="Times New Roman"/>
        </w:rPr>
      </w:pPr>
    </w:p>
    <w:p w:rsidR="00000000" w:rsidRDefault="000C147A">
      <w:pPr>
        <w:jc w:val="center"/>
        <w:divId w:val="681471881"/>
        <w:rPr>
          <w:rFonts w:eastAsia="Times New Roman"/>
        </w:rPr>
      </w:pPr>
      <w:r>
        <w:rPr>
          <w:rFonts w:eastAsia="Times New Roman"/>
          <w:color w:val="000000"/>
          <w:sz w:val="20"/>
          <w:szCs w:val="20"/>
        </w:rPr>
        <w:t>78</w:t>
      </w:r>
    </w:p>
    <w:p w:rsidR="00000000" w:rsidRDefault="000C147A">
      <w:pPr>
        <w:rPr>
          <w:rFonts w:eastAsia="Times New Roman"/>
        </w:rPr>
      </w:pPr>
      <w:r>
        <w:rPr>
          <w:rFonts w:eastAsia="Times New Roman"/>
        </w:rPr>
        <w:pict>
          <v:rect id="_x0000_i1104" style="width:0;height:1.5pt" o:hralign="center" o:hrstd="t" o:hr="t" fillcolor="#a0a0a0" stroked="f"/>
        </w:pict>
      </w:r>
    </w:p>
    <w:p w:rsidR="00000000" w:rsidRDefault="000C147A">
      <w:pPr>
        <w:jc w:val="center"/>
        <w:divId w:val="1848009989"/>
        <w:rPr>
          <w:rFonts w:eastAsia="Times New Roman"/>
        </w:rPr>
      </w:pPr>
      <w:r>
        <w:rPr>
          <w:rFonts w:eastAsia="Times New Roman"/>
          <w:b/>
          <w:bCs/>
          <w:color w:val="000000"/>
          <w:sz w:val="20"/>
          <w:szCs w:val="20"/>
        </w:rPr>
        <w:t>EQUITABLE HOLDINGS, INC.</w:t>
      </w:r>
    </w:p>
    <w:p w:rsidR="00000000" w:rsidRDefault="000C147A">
      <w:pPr>
        <w:jc w:val="center"/>
        <w:divId w:val="1848009989"/>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2116"/>
        <w:gridCol w:w="37"/>
        <w:gridCol w:w="102"/>
        <w:gridCol w:w="671"/>
        <w:gridCol w:w="37"/>
        <w:gridCol w:w="36"/>
        <w:gridCol w:w="36"/>
        <w:gridCol w:w="36"/>
        <w:gridCol w:w="234"/>
        <w:gridCol w:w="234"/>
        <w:gridCol w:w="234"/>
        <w:gridCol w:w="46"/>
        <w:gridCol w:w="101"/>
        <w:gridCol w:w="608"/>
        <w:gridCol w:w="36"/>
        <w:gridCol w:w="36"/>
        <w:gridCol w:w="36"/>
        <w:gridCol w:w="36"/>
        <w:gridCol w:w="101"/>
        <w:gridCol w:w="507"/>
        <w:gridCol w:w="37"/>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1731805449"/>
        </w:trPr>
        <w:tc>
          <w:tcPr>
            <w:tcW w:w="50" w:type="pct"/>
            <w:vAlign w:val="center"/>
            <w:hideMark/>
          </w:tcPr>
          <w:p w:rsidR="00000000" w:rsidRDefault="000C147A">
            <w:pPr>
              <w:jc w:val="center"/>
              <w:rPr>
                <w:rFonts w:eastAsia="Times New Roman"/>
              </w:rPr>
            </w:pPr>
          </w:p>
        </w:tc>
        <w:tc>
          <w:tcPr>
            <w:tcW w:w="196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73180544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2019</w:t>
            </w:r>
          </w:p>
        </w:tc>
        <w:tc>
          <w:tcPr>
            <w:tcW w:w="0" w:type="auto"/>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3180544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173180544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31805449"/>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(279)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(311)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(2,801)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(2,847)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2,317 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2,323 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Changes in:</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Other,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operating activities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(292)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and cash equivalents, end of period</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4,471 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4,734 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4,734 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731805449"/>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31805449"/>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624"/>
        <w:gridCol w:w="37"/>
        <w:gridCol w:w="101"/>
        <w:gridCol w:w="671"/>
        <w:gridCol w:w="37"/>
        <w:gridCol w:w="36"/>
        <w:gridCol w:w="36"/>
        <w:gridCol w:w="36"/>
        <w:gridCol w:w="36"/>
        <w:gridCol w:w="36"/>
        <w:gridCol w:w="36"/>
        <w:gridCol w:w="36"/>
        <w:gridCol w:w="101"/>
        <w:gridCol w:w="608"/>
        <w:gridCol w:w="36"/>
        <w:gridCol w:w="36"/>
        <w:gridCol w:w="36"/>
        <w:gridCol w:w="36"/>
        <w:gridCol w:w="101"/>
        <w:gridCol w:w="554"/>
        <w:gridCol w:w="36"/>
      </w:tblGrid>
      <w:tr w:rsidR="00000000">
        <w:trPr>
          <w:divId w:val="27680938"/>
        </w:trPr>
        <w:tc>
          <w:tcPr>
            <w:tcW w:w="50" w:type="pct"/>
            <w:vAlign w:val="center"/>
            <w:hideMark/>
          </w:tcPr>
          <w:p w:rsidR="00000000" w:rsidRDefault="000C147A">
            <w:pPr>
              <w:jc w:val="center"/>
              <w:rPr>
                <w:rFonts w:eastAsia="Times New Roman"/>
              </w:rPr>
            </w:pPr>
          </w:p>
        </w:tc>
        <w:tc>
          <w:tcPr>
            <w:tcW w:w="346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768093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March 31, 2019</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768093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2768093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768093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(709)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(739)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(931)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(929)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1,633 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183 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operating activities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and cash equivalents, end of period</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5,129 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680938"/>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768093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20386979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36"/>
        <w:gridCol w:w="37"/>
        <w:gridCol w:w="101"/>
        <w:gridCol w:w="670"/>
        <w:gridCol w:w="37"/>
        <w:gridCol w:w="271"/>
        <w:gridCol w:w="271"/>
        <w:gridCol w:w="271"/>
        <w:gridCol w:w="271"/>
        <w:gridCol w:w="36"/>
        <w:gridCol w:w="36"/>
        <w:gridCol w:w="36"/>
        <w:gridCol w:w="101"/>
        <w:gridCol w:w="608"/>
        <w:gridCol w:w="36"/>
        <w:gridCol w:w="36"/>
        <w:gridCol w:w="36"/>
        <w:gridCol w:w="36"/>
        <w:gridCol w:w="101"/>
        <w:gridCol w:w="505"/>
        <w:gridCol w:w="36"/>
      </w:tblGrid>
      <w:tr w:rsidR="00000000">
        <w:trPr>
          <w:divId w:val="698092500"/>
        </w:trPr>
        <w:tc>
          <w:tcPr>
            <w:tcW w:w="50" w:type="pct"/>
            <w:vAlign w:val="center"/>
            <w:hideMark/>
          </w:tcPr>
          <w:p w:rsidR="00000000" w:rsidRDefault="000C147A">
            <w:pPr>
              <w:rPr>
                <w:rFonts w:eastAsia="Times New Roman"/>
              </w:rPr>
            </w:pPr>
          </w:p>
        </w:tc>
        <w:tc>
          <w:tcPr>
            <w:tcW w:w="349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0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9809250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7"/>
            <w:tcMar>
              <w:top w:w="30" w:type="dxa"/>
              <w:left w:w="48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Year Ended December 31, 2017</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98092500"/>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Previously Reported</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Revised</w:t>
            </w:r>
          </w:p>
        </w:tc>
      </w:tr>
      <w:tr w:rsidR="00000000">
        <w:trPr>
          <w:divId w:val="69809250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698092500"/>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1,257 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1,201 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(3,693)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(3,686)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(214)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(191)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386 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Capitalization of DAC</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(663)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1,097 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1,111 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Net cash provided by (used in) operating activities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(243)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16"/>
                <w:szCs w:val="16"/>
              </w:rPr>
              <w:t>Cash and cash equivalents, end of year</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16"/>
                <w:szCs w:val="16"/>
              </w:rPr>
              <w:t>4,814 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98092500"/>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98092500"/>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divId w:val="1259367117"/>
        <w:rPr>
          <w:rFonts w:eastAsia="Times New Roman"/>
        </w:rPr>
      </w:pPr>
      <w:r>
        <w:rPr>
          <w:rFonts w:eastAsia="Times New Roman"/>
          <w:color w:val="000000"/>
          <w:sz w:val="20"/>
          <w:szCs w:val="20"/>
        </w:rPr>
        <w:t>79</w:t>
      </w:r>
    </w:p>
    <w:p w:rsidR="00000000" w:rsidRDefault="000C147A">
      <w:pPr>
        <w:rPr>
          <w:rFonts w:eastAsia="Times New Roman"/>
        </w:rPr>
      </w:pPr>
      <w:r>
        <w:rPr>
          <w:rFonts w:eastAsia="Times New Roman"/>
        </w:rPr>
        <w:pict>
          <v:rect id="_x0000_i1105" style="width:0;height:1.5pt" o:hralign="center" o:hrstd="t" o:hr="t" fillcolor="#a0a0a0" stroked="f"/>
        </w:pict>
      </w:r>
    </w:p>
    <w:p w:rsidR="00000000" w:rsidRDefault="000C147A">
      <w:pPr>
        <w:jc w:val="center"/>
        <w:divId w:val="1967808967"/>
        <w:rPr>
          <w:rFonts w:eastAsia="Times New Roman"/>
        </w:rPr>
      </w:pPr>
      <w:r>
        <w:rPr>
          <w:rFonts w:eastAsia="Times New Roman"/>
          <w:b/>
          <w:bCs/>
          <w:color w:val="000000"/>
          <w:sz w:val="20"/>
          <w:szCs w:val="20"/>
        </w:rPr>
        <w:t>EQUITABLE HOLDINGS, INC.</w:t>
      </w:r>
    </w:p>
    <w:p w:rsidR="00000000" w:rsidRDefault="000C147A">
      <w:pPr>
        <w:jc w:val="center"/>
        <w:divId w:val="1967808967"/>
        <w:rPr>
          <w:rFonts w:eastAsia="Times New Roman"/>
        </w:rPr>
      </w:pPr>
      <w:r>
        <w:rPr>
          <w:rFonts w:eastAsia="Times New Roman"/>
          <w:b/>
          <w:bCs/>
          <w:color w:val="000000"/>
          <w:sz w:val="20"/>
          <w:szCs w:val="20"/>
        </w:rPr>
        <w:t>NOTES TO CONSOLIDATED FINANCIAL STATEMENTS</w:t>
      </w:r>
    </w:p>
    <w:p w:rsidR="00000000" w:rsidRDefault="000C147A">
      <w:pPr>
        <w:divId w:val="1192844320"/>
        <w:rPr>
          <w:rFonts w:eastAsia="Times New Roman"/>
        </w:rPr>
      </w:pPr>
      <w:r>
        <w:rPr>
          <w:rFonts w:eastAsia="Times New Roman"/>
          <w:b/>
          <w:bCs/>
          <w:color w:val="000000"/>
          <w:sz w:val="20"/>
          <w:szCs w:val="20"/>
        </w:rPr>
        <w:t>17)     SUBSEQUENT EVENTS</w:t>
      </w:r>
    </w:p>
    <w:p w:rsidR="00000000" w:rsidRDefault="000C147A">
      <w:pPr>
        <w:divId w:val="1282297376"/>
        <w:rPr>
          <w:rFonts w:eastAsia="Times New Roman"/>
        </w:rPr>
      </w:pPr>
      <w:r>
        <w:rPr>
          <w:rFonts w:eastAsia="Times New Roman"/>
          <w:color w:val="000000"/>
          <w:sz w:val="20"/>
          <w:szCs w:val="20"/>
        </w:rPr>
        <w:t>On October 27, 2020, Holdings entered into a Master Transaction Agreement with Venerable Insurance and Annuity Company (“VIAC”</w:t>
      </w:r>
      <w:r>
        <w:rPr>
          <w:rFonts w:eastAsia="Times New Roman"/>
          <w:color w:val="000000"/>
          <w:sz w:val="20"/>
          <w:szCs w:val="20"/>
        </w:rPr>
        <w:t>), and Venerable Holdings, Inc., a Delaware corporation. VIAC will acquire all of the shares of the capital stock of Corporate Solutions Life Reinsurance Company (“CSLRC”), and, immediately following such sale, Equitable Financial will enter into a coinsur</w:t>
      </w:r>
      <w:r>
        <w:rPr>
          <w:rFonts w:eastAsia="Times New Roman"/>
          <w:color w:val="000000"/>
          <w:sz w:val="20"/>
          <w:szCs w:val="20"/>
        </w:rPr>
        <w:t>ance and modified coinsurance agreement, pursuant to which Equitable Financial will cede to CSLRC, on a combined coinsurance and modified coinsurance basis, legacy variable annuity policies sold by Equitable Financial between 2006-2008 supported by general</w:t>
      </w:r>
      <w:r>
        <w:rPr>
          <w:rFonts w:eastAsia="Times New Roman"/>
          <w:color w:val="000000"/>
          <w:sz w:val="20"/>
          <w:szCs w:val="20"/>
        </w:rPr>
        <w:t xml:space="preserve"> account assets of approximately $12 billion (the “Block”), comprised of non-New York “Accumulator” policies containing fixed rate Guaranteed Minimum Income Benefit and/or Guaranteed Minimum Death Benefit guarantees. Equitable Financial will reinsure the s</w:t>
      </w:r>
      <w:r>
        <w:rPr>
          <w:rFonts w:eastAsia="Times New Roman"/>
          <w:color w:val="000000"/>
          <w:sz w:val="20"/>
          <w:szCs w:val="20"/>
        </w:rPr>
        <w:t>eparate accounts relating to the Block on a modified coinsurance basis. Equitable Financial will also acquire a surplus note in aggregate principal amount of $50 million issued by VIAC in the transaction.</w:t>
      </w:r>
    </w:p>
    <w:p w:rsidR="00000000" w:rsidRDefault="000C147A">
      <w:pPr>
        <w:jc w:val="both"/>
        <w:divId w:val="863175919"/>
        <w:rPr>
          <w:rFonts w:eastAsia="Times New Roman"/>
        </w:rPr>
      </w:pPr>
    </w:p>
    <w:p w:rsidR="00000000" w:rsidRDefault="000C147A">
      <w:pPr>
        <w:jc w:val="center"/>
        <w:divId w:val="1546916783"/>
        <w:rPr>
          <w:rFonts w:eastAsia="Times New Roman"/>
        </w:rPr>
      </w:pPr>
      <w:r>
        <w:rPr>
          <w:rFonts w:eastAsia="Times New Roman"/>
          <w:color w:val="000000"/>
          <w:sz w:val="20"/>
          <w:szCs w:val="20"/>
        </w:rPr>
        <w:t>80</w:t>
      </w:r>
    </w:p>
    <w:p w:rsidR="00000000" w:rsidRDefault="000C147A">
      <w:pPr>
        <w:rPr>
          <w:rFonts w:eastAsia="Times New Roman"/>
        </w:rPr>
      </w:pPr>
      <w:r>
        <w:rPr>
          <w:rFonts w:eastAsia="Times New Roman"/>
        </w:rPr>
        <w:pict>
          <v:rect id="_x0000_i1106" style="width:0;height:1.5pt" o:hralign="center" o:hrstd="t" o:hr="t" fillcolor="#a0a0a0" stroked="f"/>
        </w:pict>
      </w:r>
    </w:p>
    <w:p w:rsidR="00000000" w:rsidRDefault="000C147A">
      <w:pPr>
        <w:ind w:firstLine="360"/>
        <w:divId w:val="80806561"/>
        <w:rPr>
          <w:rFonts w:eastAsia="Times New Roman"/>
        </w:rPr>
      </w:pPr>
    </w:p>
    <w:p w:rsidR="00000000" w:rsidRDefault="000C147A">
      <w:pPr>
        <w:divId w:val="798111532"/>
        <w:rPr>
          <w:rFonts w:eastAsia="Times New Roman"/>
        </w:rPr>
      </w:pPr>
      <w:r>
        <w:rPr>
          <w:rFonts w:eastAsia="Times New Roman"/>
          <w:b/>
          <w:bCs/>
          <w:color w:val="000000"/>
          <w:sz w:val="20"/>
          <w:szCs w:val="20"/>
        </w:rPr>
        <w:t xml:space="preserve">Item 2. </w:t>
      </w:r>
      <w:r>
        <w:rPr>
          <w:rFonts w:eastAsia="Times New Roman"/>
          <w:b/>
          <w:bCs/>
          <w:color w:val="000000"/>
          <w:sz w:val="20"/>
          <w:szCs w:val="20"/>
        </w:rPr>
        <w:t xml:space="preserve">    Management’s Discussion and Analysis of Financial Condition and Results of Operations </w:t>
      </w:r>
    </w:p>
    <w:p w:rsidR="00000000" w:rsidRDefault="000C147A">
      <w:pPr>
        <w:ind w:firstLine="360"/>
        <w:divId w:val="565409969"/>
        <w:rPr>
          <w:rFonts w:eastAsia="Times New Roman"/>
        </w:rPr>
      </w:pPr>
      <w:r>
        <w:rPr>
          <w:rFonts w:eastAsia="Times New Roman"/>
          <w:i/>
          <w:iCs/>
          <w:color w:val="000000"/>
          <w:sz w:val="20"/>
          <w:szCs w:val="20"/>
        </w:rPr>
        <w:t>The following discussion and analysis of our financial condition and results of operations should be read in its entirety and in conjunction with the consolidated fi</w:t>
      </w:r>
      <w:r>
        <w:rPr>
          <w:rFonts w:eastAsia="Times New Roman"/>
          <w:i/>
          <w:iCs/>
          <w:color w:val="000000"/>
          <w:sz w:val="20"/>
          <w:szCs w:val="20"/>
        </w:rPr>
        <w:t xml:space="preserve">nancial statements and related notes contained in </w:t>
      </w:r>
      <w:hyperlink w:anchor="if19291b5c8264b3cb55d7a3b583e4acc_19"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of Financial Condition and Results of Operat</w:t>
      </w:r>
      <w:r>
        <w:rPr>
          <w:rFonts w:eastAsia="Times New Roman"/>
          <w:i/>
          <w:iCs/>
          <w:color w:val="000000"/>
          <w:sz w:val="20"/>
          <w:szCs w:val="20"/>
        </w:rPr>
        <w:t>ions” section 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2019 (“2019 Form 10-K”).</w:t>
      </w:r>
    </w:p>
    <w:p w:rsidR="00000000" w:rsidRDefault="000C147A">
      <w:pPr>
        <w:ind w:firstLine="360"/>
        <w:divId w:val="1247615011"/>
        <w:rPr>
          <w:rFonts w:eastAsia="Times New Roman"/>
        </w:rPr>
      </w:pPr>
      <w:r>
        <w:rPr>
          <w:rFonts w:eastAsia="Times New Roman"/>
          <w:i/>
          <w:iCs/>
          <w:color w:val="000000"/>
          <w:sz w:val="20"/>
          <w:szCs w:val="20"/>
        </w:rPr>
        <w:t>In addition to historical data, this discu</w:t>
      </w:r>
      <w:r>
        <w:rPr>
          <w:rFonts w:eastAsia="Times New Roman"/>
          <w:i/>
          <w:iCs/>
          <w:color w:val="000000"/>
          <w:sz w:val="20"/>
          <w:szCs w:val="20"/>
        </w:rPr>
        <w:t>ssion contains forward-looking statements about our business, operations and financial performance based on current expectations that involve risks, uncertainties and assumptions. Actual results may differ materially from those discussed in the forward-loo</w:t>
      </w:r>
      <w:r>
        <w:rPr>
          <w:rFonts w:eastAsia="Times New Roman"/>
          <w:i/>
          <w:iCs/>
          <w:color w:val="000000"/>
          <w:sz w:val="20"/>
          <w:szCs w:val="20"/>
        </w:rPr>
        <w:t xml:space="preserve">king statements as a result of various factors. See the Note Regarding Forward-Looking Statements and Information. Investors are directed to consider the risks and uncertainties discussed in </w:t>
      </w:r>
      <w:hyperlink w:anchor="if19291b5c8264b3cb55d7a3b583e4acc_331" w:history="1">
        <w:r>
          <w:rPr>
            <w:rStyle w:val="a3"/>
            <w:rFonts w:eastAsia="Times New Roman"/>
            <w:i/>
            <w:iCs/>
            <w:sz w:val="20"/>
            <w:szCs w:val="20"/>
          </w:rPr>
          <w:t xml:space="preserve">Part </w:t>
        </w:r>
        <w:r>
          <w:rPr>
            <w:rStyle w:val="a3"/>
            <w:rFonts w:eastAsia="Times New Roman"/>
            <w:i/>
            <w:iCs/>
            <w:sz w:val="20"/>
            <w:szCs w:val="20"/>
          </w:rPr>
          <w:t>II, Item 1A</w:t>
        </w:r>
      </w:hyperlink>
      <w:r>
        <w:rPr>
          <w:rFonts w:eastAsia="Times New Roman"/>
          <w:i/>
          <w:iCs/>
          <w:color w:val="000000"/>
          <w:sz w:val="20"/>
          <w:szCs w:val="20"/>
        </w:rPr>
        <w:t> of this Quarterly Report on Form 10-Q, as well as in other documents we have filed with the SEC.</w:t>
      </w:r>
    </w:p>
    <w:p w:rsidR="00000000" w:rsidRDefault="000C147A">
      <w:pPr>
        <w:divId w:val="2095012542"/>
        <w:rPr>
          <w:rFonts w:eastAsia="Times New Roman"/>
        </w:rPr>
      </w:pPr>
      <w:r>
        <w:rPr>
          <w:rFonts w:eastAsia="Times New Roman"/>
          <w:b/>
          <w:bCs/>
          <w:color w:val="000000"/>
          <w:sz w:val="20"/>
          <w:szCs w:val="20"/>
        </w:rPr>
        <w:t xml:space="preserve">Executive Summary </w:t>
      </w:r>
    </w:p>
    <w:p w:rsidR="00000000" w:rsidRDefault="000C147A">
      <w:pPr>
        <w:jc w:val="both"/>
        <w:divId w:val="1379547768"/>
        <w:rPr>
          <w:rFonts w:eastAsia="Times New Roman"/>
        </w:rPr>
      </w:pPr>
      <w:r>
        <w:rPr>
          <w:rFonts w:eastAsia="Times New Roman"/>
          <w:b/>
          <w:bCs/>
          <w:i/>
          <w:iCs/>
          <w:color w:val="000000"/>
          <w:sz w:val="20"/>
          <w:szCs w:val="20"/>
        </w:rPr>
        <w:t xml:space="preserve">Overview </w:t>
      </w:r>
    </w:p>
    <w:p w:rsidR="00000000" w:rsidRDefault="000C147A">
      <w:pPr>
        <w:ind w:firstLine="360"/>
        <w:divId w:val="460613337"/>
        <w:rPr>
          <w:rFonts w:eastAsia="Times New Roman"/>
        </w:rPr>
      </w:pPr>
      <w:r>
        <w:rPr>
          <w:rFonts w:eastAsia="Times New Roman"/>
          <w:color w:val="000000"/>
          <w:sz w:val="20"/>
          <w:szCs w:val="20"/>
        </w:rPr>
        <w:t>We are one of America’</w:t>
      </w:r>
      <w:r>
        <w:rPr>
          <w:rFonts w:eastAsia="Times New Roman"/>
          <w:color w:val="000000"/>
          <w:sz w:val="20"/>
          <w:szCs w:val="20"/>
        </w:rPr>
        <w:t>s leading financial services companies, providing: (i) advice and solutions for helping Americans set and meet their retirement goals and protect and transfer their wealth across generations; and (ii) a wide range of investment management insights, experti</w:t>
      </w:r>
      <w:r>
        <w:rPr>
          <w:rFonts w:eastAsia="Times New Roman"/>
          <w:color w:val="000000"/>
          <w:sz w:val="20"/>
          <w:szCs w:val="20"/>
        </w:rPr>
        <w:t xml:space="preserve">se and innovations to drive better investment decisions and outcomes for clients worldwide. </w:t>
      </w:r>
    </w:p>
    <w:p w:rsidR="00000000" w:rsidRDefault="000C147A">
      <w:pPr>
        <w:ind w:firstLine="360"/>
        <w:divId w:val="833956178"/>
        <w:rPr>
          <w:rFonts w:eastAsia="Times New Roman"/>
        </w:rPr>
      </w:pPr>
      <w:r>
        <w:rPr>
          <w:rFonts w:eastAsia="Times New Roman"/>
          <w:color w:val="000000"/>
          <w:sz w:val="20"/>
          <w:szCs w:val="20"/>
        </w:rPr>
        <w:t>We manage our business through four segments: Individual Retirement, Group Retirement, Investment Management and Research, and Protection Solutions. We report cert</w:t>
      </w:r>
      <w:r>
        <w:rPr>
          <w:rFonts w:eastAsia="Times New Roman"/>
          <w:color w:val="000000"/>
          <w:sz w:val="20"/>
          <w:szCs w:val="20"/>
        </w:rPr>
        <w:t>ain activities and items that are not included in these segments in Corporate and Other. See Note 14 of the Notes to the Consolidated Financial Statements for further information on our segments.</w:t>
      </w:r>
    </w:p>
    <w:p w:rsidR="00000000" w:rsidRDefault="000C147A">
      <w:pPr>
        <w:ind w:firstLine="360"/>
        <w:divId w:val="1306736102"/>
        <w:rPr>
          <w:rFonts w:eastAsia="Times New Roman"/>
        </w:rPr>
      </w:pPr>
      <w:r>
        <w:rPr>
          <w:rFonts w:eastAsia="Times New Roman"/>
          <w:color w:val="000000"/>
          <w:sz w:val="20"/>
          <w:szCs w:val="20"/>
        </w:rPr>
        <w:t>We benefit from our complementary mix of businesses. This bu</w:t>
      </w:r>
      <w:r>
        <w:rPr>
          <w:rFonts w:eastAsia="Times New Roman"/>
          <w:color w:val="000000"/>
          <w:sz w:val="20"/>
          <w:szCs w:val="20"/>
        </w:rPr>
        <w:t xml:space="preserve">siness mix provides diversity in our earnings sources, which helps offset fluctuations in market conditions and variability in business results, while offering growth opportunities. </w:t>
      </w:r>
    </w:p>
    <w:p w:rsidR="00000000" w:rsidRDefault="000C147A">
      <w:pPr>
        <w:jc w:val="both"/>
        <w:divId w:val="1183670151"/>
        <w:rPr>
          <w:rFonts w:eastAsia="Times New Roman"/>
        </w:rPr>
      </w:pPr>
      <w:r>
        <w:rPr>
          <w:rFonts w:eastAsia="Times New Roman"/>
          <w:b/>
          <w:bCs/>
          <w:i/>
          <w:iCs/>
          <w:color w:val="000000"/>
          <w:sz w:val="20"/>
          <w:szCs w:val="20"/>
        </w:rPr>
        <w:t xml:space="preserve">Reinsurance of Legacy Variable Annuity Block and Sale of Runoff Variable </w:t>
      </w:r>
      <w:r>
        <w:rPr>
          <w:rFonts w:eastAsia="Times New Roman"/>
          <w:b/>
          <w:bCs/>
          <w:i/>
          <w:iCs/>
          <w:color w:val="000000"/>
          <w:sz w:val="20"/>
          <w:szCs w:val="20"/>
        </w:rPr>
        <w:t>Annuity Reinsurance Entity</w:t>
      </w:r>
    </w:p>
    <w:p w:rsidR="00000000" w:rsidRDefault="000C147A">
      <w:pPr>
        <w:ind w:firstLine="360"/>
        <w:divId w:val="1972980550"/>
        <w:rPr>
          <w:rFonts w:eastAsia="Times New Roman"/>
        </w:rPr>
      </w:pPr>
      <w:r>
        <w:rPr>
          <w:rFonts w:eastAsia="Times New Roman"/>
          <w:color w:val="000000"/>
          <w:sz w:val="20"/>
          <w:szCs w:val="20"/>
        </w:rPr>
        <w:t>On October 27, 2020, Holdings entered into a Master Transaction Agreement (the “MTA”) with Venerable Insurance and Annuity Company, an insurance company domiciled in Iowa (“VIAC”), and Venerable Holdings, Inc., a Delaware corpora</w:t>
      </w:r>
      <w:r>
        <w:rPr>
          <w:rFonts w:eastAsia="Times New Roman"/>
          <w:color w:val="000000"/>
          <w:sz w:val="20"/>
          <w:szCs w:val="20"/>
        </w:rPr>
        <w:t>tion (“Venerable”), pursuant to which, among other things, VIAC will acquire all of the shares of the capital stock of Corporate Solutions Life Reinsurance Company, an insurance company domiciled in Delaware and wholly owned subsidiary of the Company (“CSL</w:t>
      </w:r>
      <w:r>
        <w:rPr>
          <w:rFonts w:eastAsia="Times New Roman"/>
          <w:color w:val="000000"/>
          <w:sz w:val="20"/>
          <w:szCs w:val="20"/>
        </w:rPr>
        <w:t>RC”). Prior to the closing, CSLRC will affect the recapture of all of the business that is currently ceded to CS Life Re Company, an insurance company domiciled in Arizona and wholly owned subsidiary of CSLRC (“Reinsurance Subsidiary”), and the dissolution</w:t>
      </w:r>
      <w:r>
        <w:rPr>
          <w:rFonts w:eastAsia="Times New Roman"/>
          <w:color w:val="000000"/>
          <w:sz w:val="20"/>
          <w:szCs w:val="20"/>
        </w:rPr>
        <w:t xml:space="preserve"> or sale, transfer or distribution of 100% of the equity of the Reinsurance Subsidiary. </w:t>
      </w:r>
    </w:p>
    <w:p w:rsidR="00000000" w:rsidRDefault="000C147A">
      <w:pPr>
        <w:ind w:firstLine="360"/>
        <w:divId w:val="1513840029"/>
        <w:rPr>
          <w:rFonts w:eastAsia="Times New Roman"/>
        </w:rPr>
      </w:pPr>
      <w:r>
        <w:rPr>
          <w:rFonts w:eastAsia="Times New Roman"/>
          <w:color w:val="000000"/>
          <w:sz w:val="20"/>
          <w:szCs w:val="20"/>
        </w:rPr>
        <w:t>Immediately following the sale of CSLRC, CSLRC and Equitable Financial will enter into a coinsurance and modified coinsurance agreement (the “Reinsurance Agreement”), pursuant to which Equitable Financial will cede to CSLRC, on a combined coinsurance and m</w:t>
      </w:r>
      <w:r>
        <w:rPr>
          <w:rFonts w:eastAsia="Times New Roman"/>
          <w:color w:val="000000"/>
          <w:sz w:val="20"/>
          <w:szCs w:val="20"/>
        </w:rPr>
        <w:t>odified coinsurance basis, legacy variable annuity policies sold by Equitable Financial between 2006-2008 supported by general account assets of approximately $12 billion (the “Block”), comprised of non-New York “Accumulator” policies containing fixed rate</w:t>
      </w:r>
      <w:r>
        <w:rPr>
          <w:rFonts w:eastAsia="Times New Roman"/>
          <w:color w:val="000000"/>
          <w:sz w:val="20"/>
          <w:szCs w:val="20"/>
        </w:rPr>
        <w:t xml:space="preserve"> Guaranteed Minimum Income Benefit and/or Guaranteed Minimum Death Benefit guarantees. CSLRC will deposit assets supporting the general account liabilities relating to the Block into a trust account for the benefit of Equitable Financial, which assets will</w:t>
      </w:r>
      <w:r>
        <w:rPr>
          <w:rFonts w:eastAsia="Times New Roman"/>
          <w:color w:val="000000"/>
          <w:sz w:val="20"/>
          <w:szCs w:val="20"/>
        </w:rPr>
        <w:t xml:space="preserve"> secure its obligations to Equitable Financial under the Reinsurance Agreement. Equitable Financial will reinsure the separate accounts relating to the Block on a modified coinsurance basis. At closing, VIAC will contribute additional assets to the trust s</w:t>
      </w:r>
      <w:r>
        <w:rPr>
          <w:rFonts w:eastAsia="Times New Roman"/>
          <w:color w:val="000000"/>
          <w:sz w:val="20"/>
          <w:szCs w:val="20"/>
        </w:rPr>
        <w:t xml:space="preserve">uch that trust assets will exceed the liabilities they secure. Venerable will provide a holding company guarantee of CSLRC’s obligation to Equitable Financial under the Reinsurance Agreement. In addition, the investment of assets in the trust account will </w:t>
      </w:r>
      <w:r>
        <w:rPr>
          <w:rFonts w:eastAsia="Times New Roman"/>
          <w:color w:val="000000"/>
          <w:sz w:val="20"/>
          <w:szCs w:val="20"/>
        </w:rPr>
        <w:t xml:space="preserve">be subject to investment guidelines and certain capital adequacy related triggers will strengthen the requirements of the trust. The Reinsurance Agreement also contains additional counterparty risk management and mitigation provisions. </w:t>
      </w:r>
    </w:p>
    <w:p w:rsidR="00000000" w:rsidRDefault="000C147A">
      <w:pPr>
        <w:ind w:firstLine="360"/>
        <w:divId w:val="2080902040"/>
        <w:rPr>
          <w:rFonts w:eastAsia="Times New Roman"/>
        </w:rPr>
      </w:pPr>
      <w:r>
        <w:rPr>
          <w:rFonts w:eastAsia="Times New Roman"/>
          <w:color w:val="000000"/>
          <w:sz w:val="20"/>
          <w:szCs w:val="20"/>
        </w:rPr>
        <w:t>As part of the tran</w:t>
      </w:r>
      <w:r>
        <w:rPr>
          <w:rFonts w:eastAsia="Times New Roman"/>
          <w:color w:val="000000"/>
          <w:sz w:val="20"/>
          <w:szCs w:val="20"/>
        </w:rPr>
        <w:t>saction, the Company is in discussions to acquire a 9.9% equity interest in Venerable’s parent holding company, VA Capital Company LLC, which may include a board seat, subject to reaching an agreement on the terms of the investment.</w:t>
      </w:r>
    </w:p>
    <w:p w:rsidR="00000000" w:rsidRDefault="000C147A">
      <w:pPr>
        <w:ind w:firstLine="360"/>
        <w:divId w:val="1156989208"/>
        <w:rPr>
          <w:rFonts w:eastAsia="Times New Roman"/>
        </w:rPr>
      </w:pPr>
      <w:r>
        <w:rPr>
          <w:rFonts w:eastAsia="Times New Roman"/>
          <w:color w:val="000000"/>
          <w:sz w:val="20"/>
          <w:szCs w:val="20"/>
        </w:rPr>
        <w:t>Based on estimates as o</w:t>
      </w:r>
      <w:r>
        <w:rPr>
          <w:rFonts w:eastAsia="Times New Roman"/>
          <w:color w:val="000000"/>
          <w:sz w:val="20"/>
          <w:szCs w:val="20"/>
        </w:rPr>
        <w:t>f June 30, 2020, the Company expects to realize approximately $1.2 billion in value from the transaction, which includes an anticipated capital release of approximately $800 million, a positive ceding commission in respect of the Block reinsurance transact</w:t>
      </w:r>
      <w:r>
        <w:rPr>
          <w:rFonts w:eastAsia="Times New Roman"/>
          <w:color w:val="000000"/>
          <w:sz w:val="20"/>
          <w:szCs w:val="20"/>
        </w:rPr>
        <w:t xml:space="preserve">ion and consideration payable by VIAC for the acquisition of CSLRC totaling </w:t>
      </w:r>
    </w:p>
    <w:p w:rsidR="00000000" w:rsidRDefault="000C147A">
      <w:pPr>
        <w:jc w:val="center"/>
        <w:divId w:val="1336155860"/>
        <w:rPr>
          <w:rFonts w:eastAsia="Times New Roman"/>
        </w:rPr>
      </w:pPr>
      <w:r>
        <w:rPr>
          <w:rFonts w:eastAsia="Times New Roman"/>
          <w:color w:val="000000"/>
          <w:sz w:val="20"/>
          <w:szCs w:val="20"/>
        </w:rPr>
        <w:t>81</w:t>
      </w:r>
    </w:p>
    <w:p w:rsidR="00000000" w:rsidRDefault="000C147A">
      <w:pPr>
        <w:rPr>
          <w:rFonts w:eastAsia="Times New Roman"/>
        </w:rPr>
      </w:pPr>
      <w:r>
        <w:rPr>
          <w:rFonts w:eastAsia="Times New Roman"/>
        </w:rPr>
        <w:pict>
          <v:rect id="_x0000_i1107" style="width:0;height:1.5pt" o:hralign="center" o:hrstd="t" o:hr="t" fillcolor="#a0a0a0" stroked="f"/>
        </w:pict>
      </w:r>
    </w:p>
    <w:p w:rsidR="00000000" w:rsidRDefault="000C147A">
      <w:pPr>
        <w:ind w:firstLine="360"/>
        <w:divId w:val="1862893323"/>
        <w:rPr>
          <w:rFonts w:eastAsia="Times New Roman"/>
        </w:rPr>
      </w:pPr>
    </w:p>
    <w:p w:rsidR="00000000" w:rsidRDefault="000C147A">
      <w:pPr>
        <w:divId w:val="348484782"/>
        <w:rPr>
          <w:rFonts w:eastAsia="Times New Roman"/>
        </w:rPr>
      </w:pPr>
      <w:r>
        <w:rPr>
          <w:rFonts w:eastAsia="Times New Roman"/>
          <w:color w:val="000000"/>
          <w:sz w:val="20"/>
          <w:szCs w:val="20"/>
        </w:rPr>
        <w:t>approximately $300 million, subject to adjustment, and approximately $100 million in tax benefits. Equitable Financial will also acquire a</w:t>
      </w:r>
      <w:r>
        <w:rPr>
          <w:rFonts w:eastAsia="Times New Roman"/>
          <w:color w:val="000000"/>
          <w:sz w:val="20"/>
          <w:szCs w:val="20"/>
        </w:rPr>
        <w:t xml:space="preserve"> surplus note in aggregate principal amount of $50 million issued by VIAC.</w:t>
      </w:r>
    </w:p>
    <w:p w:rsidR="00000000" w:rsidRDefault="000C147A">
      <w:pPr>
        <w:ind w:firstLine="360"/>
        <w:divId w:val="1788691628"/>
        <w:rPr>
          <w:rFonts w:eastAsia="Times New Roman"/>
        </w:rPr>
      </w:pPr>
      <w:r>
        <w:rPr>
          <w:rFonts w:eastAsia="Times New Roman"/>
          <w:color w:val="000000"/>
          <w:sz w:val="20"/>
          <w:szCs w:val="20"/>
        </w:rPr>
        <w:t>Under the terms of the MTA, at closing of the transactions, ABLP will enter into an investment advisory agreement with CSLRC pursuant to which ABLP will serve as the preferred inves</w:t>
      </w:r>
      <w:r>
        <w:rPr>
          <w:rFonts w:eastAsia="Times New Roman"/>
          <w:color w:val="000000"/>
          <w:sz w:val="20"/>
          <w:szCs w:val="20"/>
        </w:rPr>
        <w:t>tment manager for approximately 80%, relative to assets currently managed by ABLP, of the general account assets transferred to the trust account for, subject to certain provisions, a minimum of five years. Equitable Financial will continue to administer t</w:t>
      </w:r>
      <w:r>
        <w:rPr>
          <w:rFonts w:eastAsia="Times New Roman"/>
          <w:color w:val="000000"/>
          <w:sz w:val="20"/>
          <w:szCs w:val="20"/>
        </w:rPr>
        <w:t>he Block.</w:t>
      </w:r>
    </w:p>
    <w:p w:rsidR="00000000" w:rsidRDefault="000C147A">
      <w:pPr>
        <w:ind w:firstLine="360"/>
        <w:divId w:val="388499759"/>
        <w:rPr>
          <w:rFonts w:eastAsia="Times New Roman"/>
        </w:rPr>
      </w:pPr>
      <w:r>
        <w:rPr>
          <w:rFonts w:eastAsia="Times New Roman"/>
          <w:color w:val="000000"/>
          <w:sz w:val="20"/>
          <w:szCs w:val="20"/>
        </w:rPr>
        <w:t>The transaction is expected to close in the second quarter of 2021. The consummation of the closing under the MTA is subject to the satisfaction or waiver of customary closing conditions specified in the MTA, including, among other things, (i) th</w:t>
      </w:r>
      <w:r>
        <w:rPr>
          <w:rFonts w:eastAsia="Times New Roman"/>
          <w:color w:val="000000"/>
          <w:sz w:val="20"/>
          <w:szCs w:val="20"/>
        </w:rPr>
        <w:t xml:space="preserve">e receipt of required regulatory approvals, without imposing a burdensome condition, (ii) the expiration or termination of the applicable waiting period (or extension thereof) under the Hart-Scott-Rodino Antitrust Improvements Act of 1976, as amended, and </w:t>
      </w:r>
      <w:r>
        <w:rPr>
          <w:rFonts w:eastAsia="Times New Roman"/>
          <w:color w:val="000000"/>
          <w:sz w:val="20"/>
          <w:szCs w:val="20"/>
        </w:rPr>
        <w:t>(iii) absence of a material adverse effect on Venerable (in the case of the Company) or CSLRC (in the case of Venerable and VIAC), in each case subject to certain exceptions and qualifications.</w:t>
      </w:r>
    </w:p>
    <w:p w:rsidR="00000000" w:rsidRDefault="000C147A">
      <w:pPr>
        <w:jc w:val="both"/>
        <w:divId w:val="1329361150"/>
        <w:rPr>
          <w:rFonts w:eastAsia="Times New Roman"/>
        </w:rPr>
      </w:pPr>
      <w:r>
        <w:rPr>
          <w:rFonts w:eastAsia="Times New Roman"/>
          <w:b/>
          <w:bCs/>
          <w:i/>
          <w:iCs/>
          <w:color w:val="000000"/>
          <w:sz w:val="20"/>
          <w:szCs w:val="20"/>
        </w:rPr>
        <w:t>COVID-19 Impact</w:t>
      </w:r>
    </w:p>
    <w:p w:rsidR="00000000" w:rsidRDefault="000C147A">
      <w:pPr>
        <w:ind w:firstLine="360"/>
        <w:divId w:val="1643583534"/>
        <w:rPr>
          <w:rFonts w:eastAsia="Times New Roman"/>
        </w:rPr>
      </w:pPr>
      <w:r>
        <w:rPr>
          <w:rFonts w:eastAsia="Times New Roman"/>
          <w:color w:val="000000"/>
          <w:sz w:val="20"/>
          <w:szCs w:val="20"/>
        </w:rPr>
        <w:t xml:space="preserve">The COVID-19 pandemic has negatively impacted </w:t>
      </w:r>
      <w:r>
        <w:rPr>
          <w:rFonts w:eastAsia="Times New Roman"/>
          <w:color w:val="000000"/>
          <w:sz w:val="20"/>
          <w:szCs w:val="20"/>
        </w:rPr>
        <w:t>the U.S. and global economies. In the third quarter, financial markets continued to experience significant volatility and unemployment levels remained high. The pandemic continues to evolve in the U.S., and while certain states and municipalities have re-o</w:t>
      </w:r>
      <w:r>
        <w:rPr>
          <w:rFonts w:eastAsia="Times New Roman"/>
          <w:color w:val="000000"/>
          <w:sz w:val="20"/>
          <w:szCs w:val="20"/>
        </w:rPr>
        <w:t>pened, others are pausing re-opening plans or reinstating lockdowns due to surges in COVID-19 cases. States and municipalities have instituted varying plans for in-person instruction at schools, but surging national infection rates and the possibility of a</w:t>
      </w:r>
      <w:r>
        <w:rPr>
          <w:rFonts w:eastAsia="Times New Roman"/>
          <w:color w:val="000000"/>
          <w:sz w:val="20"/>
          <w:szCs w:val="20"/>
        </w:rPr>
        <w:t xml:space="preserve"> localized outbreak create uncertainty and threaten continued in-person instruction. The effects from the pandemic are likely to persist for months to come. Governments around the world continued to implement economic stimulus measures that are intended to</w:t>
      </w:r>
      <w:r>
        <w:rPr>
          <w:rFonts w:eastAsia="Times New Roman"/>
          <w:color w:val="000000"/>
          <w:sz w:val="20"/>
          <w:szCs w:val="20"/>
        </w:rPr>
        <w:t xml:space="preserve"> steady businesses and consumers until economic activity and financial markets meaningfully recover. The timing and magnitude of any such recovery, however, remains uncertain.</w:t>
      </w:r>
    </w:p>
    <w:p w:rsidR="00000000" w:rsidRDefault="000C147A">
      <w:pPr>
        <w:ind w:firstLine="360"/>
        <w:divId w:val="986008343"/>
        <w:rPr>
          <w:rFonts w:eastAsia="Times New Roman"/>
        </w:rPr>
      </w:pPr>
      <w:r>
        <w:rPr>
          <w:rFonts w:eastAsia="Times New Roman"/>
          <w:color w:val="000000"/>
          <w:sz w:val="20"/>
          <w:szCs w:val="20"/>
        </w:rPr>
        <w:t xml:space="preserve">As a financial services company, factors such as the volatility and strength of </w:t>
      </w:r>
      <w:r>
        <w:rPr>
          <w:rFonts w:eastAsia="Times New Roman"/>
          <w:color w:val="000000"/>
          <w:sz w:val="20"/>
          <w:szCs w:val="20"/>
        </w:rPr>
        <w:t>equity markets, interest rates, consumer spending, and government debt and spending all affect the business and economic environment and, ultimately, the amount and profitability of our business. During the current economic downturn, the demand for our pro</w:t>
      </w:r>
      <w:r>
        <w:rPr>
          <w:rFonts w:eastAsia="Times New Roman"/>
          <w:color w:val="000000"/>
          <w:sz w:val="20"/>
          <w:szCs w:val="20"/>
        </w:rPr>
        <w:t>ducts and services and our investment returns could be materially and adversely affected. In addition, the growing number of COVID-19 related deaths could have an adverse effect on our insurance business due to increased mortality and, in certain cases, mo</w:t>
      </w:r>
      <w:r>
        <w:rPr>
          <w:rFonts w:eastAsia="Times New Roman"/>
          <w:color w:val="000000"/>
          <w:sz w:val="20"/>
          <w:szCs w:val="20"/>
        </w:rPr>
        <w:t xml:space="preserve">rbidity rates. </w:t>
      </w:r>
    </w:p>
    <w:p w:rsidR="00000000" w:rsidRDefault="000C147A">
      <w:pPr>
        <w:ind w:firstLine="360"/>
        <w:divId w:val="1037586154"/>
        <w:rPr>
          <w:rFonts w:eastAsia="Times New Roman"/>
        </w:rPr>
      </w:pPr>
      <w:r>
        <w:rPr>
          <w:rFonts w:eastAsia="Times New Roman"/>
          <w:color w:val="000000"/>
          <w:sz w:val="20"/>
          <w:szCs w:val="20"/>
        </w:rPr>
        <w:t>To date, COVID-related impacts, including adverse mortality experience, have been manageable and below initial expectations. In response to the current environment, we are adapting our processes to meet client needs. For example, we have mo</w:t>
      </w:r>
      <w:r>
        <w:rPr>
          <w:rFonts w:eastAsia="Times New Roman"/>
          <w:color w:val="000000"/>
          <w:sz w:val="20"/>
          <w:szCs w:val="20"/>
        </w:rPr>
        <w:t>dified our underwriting policies to offer a fluid-less, touchless process to help more clients access the protection they need. In addition, we have accelerated our digital adoption programs, leading to improved outcomes for clients, advisors, and the comp</w:t>
      </w:r>
      <w:r>
        <w:rPr>
          <w:rFonts w:eastAsia="Times New Roman"/>
          <w:color w:val="000000"/>
          <w:sz w:val="20"/>
          <w:szCs w:val="20"/>
        </w:rPr>
        <w:t>any. With schools closed and an uncertain outlook on reopening, we have developed digital tools and enhanced our remote engagement with our educator clients, which is resulting in improved retention and increases in retirement plan contributions.</w:t>
      </w:r>
    </w:p>
    <w:p w:rsidR="00000000" w:rsidRDefault="000C147A">
      <w:pPr>
        <w:ind w:firstLine="360"/>
        <w:divId w:val="35204608"/>
        <w:rPr>
          <w:rFonts w:eastAsia="Times New Roman"/>
        </w:rPr>
      </w:pPr>
      <w:r>
        <w:rPr>
          <w:rFonts w:eastAsia="Times New Roman"/>
          <w:color w:val="000000"/>
          <w:sz w:val="20"/>
          <w:szCs w:val="20"/>
        </w:rPr>
        <w:t>Action ta</w:t>
      </w:r>
      <w:r>
        <w:rPr>
          <w:rFonts w:eastAsia="Times New Roman"/>
          <w:color w:val="000000"/>
          <w:sz w:val="20"/>
          <w:szCs w:val="20"/>
        </w:rPr>
        <w:t>ken by state insurance departments, including the NYDFS, to require insurers to offer flexible premium payment plans, relax payment dates, waive late fees and penalties in order to avoid canceling or non-renewing polices may negatively affect our results o</w:t>
      </w:r>
      <w:r>
        <w:rPr>
          <w:rFonts w:eastAsia="Times New Roman"/>
          <w:color w:val="000000"/>
          <w:sz w:val="20"/>
          <w:szCs w:val="20"/>
        </w:rPr>
        <w:t>f operations. Additionally, the profitability of many of our retirement, protection and investment products depends in part on the value of the AUM supporting them, which has declined and may continue to decline substantially depending on any of the forego</w:t>
      </w:r>
      <w:r>
        <w:rPr>
          <w:rFonts w:eastAsia="Times New Roman"/>
          <w:color w:val="000000"/>
          <w:sz w:val="20"/>
          <w:szCs w:val="20"/>
        </w:rPr>
        <w:t>ing conditions. The ongoing economic impact and the potential for continued volatility and declines in the capital markets could have a significant adverse effect on our business, results of operations and financial condition, particularly if economic acti</w:t>
      </w:r>
      <w:r>
        <w:rPr>
          <w:rFonts w:eastAsia="Times New Roman"/>
          <w:color w:val="000000"/>
          <w:sz w:val="20"/>
          <w:szCs w:val="20"/>
        </w:rPr>
        <w:t xml:space="preserve">vity and financial markets do not recover or recover slowly. </w:t>
      </w:r>
    </w:p>
    <w:p w:rsidR="00000000" w:rsidRDefault="000C147A">
      <w:pPr>
        <w:ind w:firstLine="360"/>
        <w:divId w:val="1240138562"/>
        <w:rPr>
          <w:rFonts w:eastAsia="Times New Roman"/>
        </w:rPr>
      </w:pPr>
      <w:r>
        <w:rPr>
          <w:rFonts w:eastAsia="Times New Roman"/>
          <w:color w:val="000000"/>
          <w:sz w:val="20"/>
          <w:szCs w:val="20"/>
        </w:rPr>
        <w:t xml:space="preserve">While the COVID-19 pandemic significantly affected the capital markets and economy, we believe the actions we have previously taken help assure that our economic balance sheet is protected from </w:t>
      </w:r>
      <w:r>
        <w:rPr>
          <w:rFonts w:eastAsia="Times New Roman"/>
          <w:color w:val="000000"/>
          <w:sz w:val="20"/>
          <w:szCs w:val="20"/>
        </w:rPr>
        <w:t>interest rate and equity declines. These actions include redesigning our product portfolio to concentrate on offering less capital intensive products and implementing a hedging strategy that manages and protects against the economic risks associated with o</w:t>
      </w:r>
      <w:r>
        <w:rPr>
          <w:rFonts w:eastAsia="Times New Roman"/>
          <w:color w:val="000000"/>
          <w:sz w:val="20"/>
          <w:szCs w:val="20"/>
        </w:rPr>
        <w:t xml:space="preserve">ur in-force GMxB products. In addition to our hedging strategy, we employ various other methods to manage the risks of our in-force variable annuity products, including asset-liability matching, volatility management tools within the Separate Accounts and </w:t>
      </w:r>
      <w:r>
        <w:rPr>
          <w:rFonts w:eastAsia="Times New Roman"/>
          <w:color w:val="000000"/>
          <w:sz w:val="20"/>
          <w:szCs w:val="20"/>
        </w:rPr>
        <w:t xml:space="preserve">an active in-force management program, including buyout offers for certain products. Our General Account was impacted both from declining interest rates, which had a positive effect on fair value, and sharply increased credit spreads, which had a negative </w:t>
      </w:r>
      <w:r>
        <w:rPr>
          <w:rFonts w:eastAsia="Times New Roman"/>
          <w:color w:val="000000"/>
          <w:sz w:val="20"/>
          <w:szCs w:val="20"/>
        </w:rPr>
        <w:t xml:space="preserve">impact on fair value. Due to the General Account’s exposure to U.S. government bonds and credit quality of the portfolio, we feel that our balance sheet is well positioned to withstand the extreme volatility in the capital markets. </w:t>
      </w:r>
    </w:p>
    <w:p w:rsidR="00000000" w:rsidRDefault="000C147A">
      <w:pPr>
        <w:jc w:val="center"/>
        <w:divId w:val="223419963"/>
        <w:rPr>
          <w:rFonts w:eastAsia="Times New Roman"/>
        </w:rPr>
      </w:pPr>
      <w:r>
        <w:rPr>
          <w:rFonts w:eastAsia="Times New Roman"/>
          <w:color w:val="000000"/>
          <w:sz w:val="20"/>
          <w:szCs w:val="20"/>
        </w:rPr>
        <w:t>82</w:t>
      </w:r>
    </w:p>
    <w:p w:rsidR="00000000" w:rsidRDefault="000C147A">
      <w:pPr>
        <w:rPr>
          <w:rFonts w:eastAsia="Times New Roman"/>
        </w:rPr>
      </w:pPr>
      <w:r>
        <w:rPr>
          <w:rFonts w:eastAsia="Times New Roman"/>
        </w:rPr>
        <w:pict>
          <v:rect id="_x0000_i1108" style="width:0;height:1.5pt" o:hralign="center" o:hrstd="t" o:hr="t" fillcolor="#a0a0a0" stroked="f"/>
        </w:pict>
      </w:r>
    </w:p>
    <w:p w:rsidR="00000000" w:rsidRDefault="000C147A">
      <w:pPr>
        <w:ind w:firstLine="360"/>
        <w:divId w:val="1010182073"/>
        <w:rPr>
          <w:rFonts w:eastAsia="Times New Roman"/>
        </w:rPr>
      </w:pPr>
    </w:p>
    <w:p w:rsidR="00000000" w:rsidRDefault="000C147A">
      <w:pPr>
        <w:ind w:firstLine="360"/>
        <w:divId w:val="948588202"/>
        <w:rPr>
          <w:rFonts w:eastAsia="Times New Roman"/>
        </w:rPr>
      </w:pPr>
      <w:r>
        <w:rPr>
          <w:rFonts w:eastAsia="Times New Roman"/>
          <w:color w:val="000000"/>
          <w:sz w:val="20"/>
          <w:szCs w:val="20"/>
        </w:rPr>
        <w:t>In light of the unprecedented decline in long-term interest rates in the first quarter of 2020, we updated our long-term GAAP interest rate assumption to grade from current rates over 10-years to the 5-year historical average (currently 2</w:t>
      </w:r>
      <w:r>
        <w:rPr>
          <w:rFonts w:eastAsia="Times New Roman"/>
          <w:color w:val="000000"/>
          <w:sz w:val="20"/>
          <w:szCs w:val="20"/>
        </w:rPr>
        <w:t xml:space="preserve">.25%). For additional information, see “—Significant Factors Impacting Our Results—Assumption Updates and Model Changes.” </w:t>
      </w:r>
    </w:p>
    <w:p w:rsidR="00000000" w:rsidRDefault="000C147A">
      <w:pPr>
        <w:ind w:firstLine="360"/>
        <w:divId w:val="1700087332"/>
        <w:rPr>
          <w:rFonts w:eastAsia="Times New Roman"/>
        </w:rPr>
      </w:pPr>
      <w:r>
        <w:rPr>
          <w:rFonts w:eastAsia="Times New Roman"/>
          <w:color w:val="000000"/>
          <w:sz w:val="20"/>
          <w:szCs w:val="20"/>
        </w:rPr>
        <w:t>Operationally, we acted quickly and implemented our risk management and contingency plans as the COVID-19 pandemic evolved. For examp</w:t>
      </w:r>
      <w:r>
        <w:rPr>
          <w:rFonts w:eastAsia="Times New Roman"/>
          <w:color w:val="000000"/>
          <w:sz w:val="20"/>
          <w:szCs w:val="20"/>
        </w:rPr>
        <w:t>le, among other things, we implemented travel restrictions, imposed self-quarantine requirements for employees and advisors who were exposed to someone who tested positive or had traveled to certain countries with active COVID-19 outbreaks and, finally, we</w:t>
      </w:r>
      <w:r>
        <w:rPr>
          <w:rFonts w:eastAsia="Times New Roman"/>
          <w:color w:val="000000"/>
          <w:sz w:val="20"/>
          <w:szCs w:val="20"/>
        </w:rPr>
        <w:t xml:space="preserve"> temporarily closed our corporate locations and advisor branch offices. As a result, most of our employees and advisors are currently working remotely. The remote working arrangement has detracted from the ability of our advisors to sell our products in th</w:t>
      </w:r>
      <w:r>
        <w:rPr>
          <w:rFonts w:eastAsia="Times New Roman"/>
          <w:color w:val="000000"/>
          <w:sz w:val="20"/>
          <w:szCs w:val="20"/>
        </w:rPr>
        <w:t>e normal course and, as a result, the demand for our products and services has been adversely impacted and could decline further as the pandemic persists. We are also mindful that an extended period of remote work arrangements could strain our business con</w:t>
      </w:r>
      <w:r>
        <w:rPr>
          <w:rFonts w:eastAsia="Times New Roman"/>
          <w:color w:val="000000"/>
          <w:sz w:val="20"/>
          <w:szCs w:val="20"/>
        </w:rPr>
        <w:t>tinuity plans, introduce additional operational risk, including cybersecurity and privacy risks, and impair our ability to effectively manage our business.</w:t>
      </w:r>
    </w:p>
    <w:p w:rsidR="00000000" w:rsidRDefault="000C147A">
      <w:pPr>
        <w:divId w:val="1737849159"/>
        <w:rPr>
          <w:rFonts w:eastAsia="Times New Roman"/>
        </w:rPr>
      </w:pPr>
      <w:r>
        <w:rPr>
          <w:rFonts w:eastAsia="Times New Roman"/>
          <w:color w:val="000000"/>
          <w:sz w:val="20"/>
          <w:szCs w:val="20"/>
        </w:rPr>
        <w:t>While the COVID-19 pandemic has negatively impacted our business and financial results, the extent a</w:t>
      </w:r>
      <w:r>
        <w:rPr>
          <w:rFonts w:eastAsia="Times New Roman"/>
          <w:color w:val="000000"/>
          <w:sz w:val="20"/>
          <w:szCs w:val="20"/>
        </w:rPr>
        <w:t>nd nature of its full financial impact cannot reasonably be estimated at this time due to the uncertainty as to the severity and duration of the pandemic. For additional information regarding the potential impacts of the COVID-19 pandemic, see “Risk Factor</w:t>
      </w:r>
      <w:r>
        <w:rPr>
          <w:rFonts w:eastAsia="Times New Roman"/>
          <w:color w:val="000000"/>
          <w:sz w:val="20"/>
          <w:szCs w:val="20"/>
        </w:rPr>
        <w:t>s—The novel coronavirus (COVID-19) pandemic has adversely impacted our business and could materially adversely affect our business, results of operation or financial condition in the future.” in our Forms 10-Q for the quarters ended March 31, 2020 and June</w:t>
      </w:r>
      <w:r>
        <w:rPr>
          <w:rFonts w:eastAsia="Times New Roman"/>
          <w:color w:val="000000"/>
          <w:sz w:val="20"/>
          <w:szCs w:val="20"/>
        </w:rPr>
        <w:t xml:space="preserve"> 30, 2020.</w:t>
      </w:r>
    </w:p>
    <w:p w:rsidR="00000000" w:rsidRDefault="000C147A">
      <w:pPr>
        <w:jc w:val="both"/>
        <w:divId w:val="1421178825"/>
        <w:rPr>
          <w:rFonts w:eastAsia="Times New Roman"/>
        </w:rPr>
      </w:pPr>
      <w:r>
        <w:rPr>
          <w:rFonts w:eastAsia="Times New Roman"/>
          <w:b/>
          <w:bCs/>
          <w:i/>
          <w:iCs/>
          <w:color w:val="000000"/>
          <w:sz w:val="20"/>
          <w:szCs w:val="20"/>
        </w:rPr>
        <w:t>Revenues</w:t>
      </w:r>
    </w:p>
    <w:p w:rsidR="00000000" w:rsidRDefault="000C147A">
      <w:pPr>
        <w:ind w:firstLine="360"/>
        <w:divId w:val="380518326"/>
        <w:rPr>
          <w:rFonts w:eastAsia="Times New Roman"/>
        </w:rPr>
      </w:pPr>
      <w:r>
        <w:rPr>
          <w:rFonts w:eastAsia="Times New Roman"/>
          <w:color w:val="000000"/>
          <w:sz w:val="20"/>
          <w:szCs w:val="20"/>
        </w:rPr>
        <w:t>Our revenues come from three principal sources:</w:t>
      </w:r>
    </w:p>
    <w:p w:rsidR="00000000" w:rsidRDefault="000C147A">
      <w:pPr>
        <w:ind w:hanging="360"/>
        <w:jc w:val="both"/>
        <w:divId w:val="1400862702"/>
        <w:rPr>
          <w:rFonts w:eastAsia="Times New Roman"/>
        </w:rPr>
      </w:pPr>
      <w:r>
        <w:rPr>
          <w:rFonts w:eastAsia="Times New Roman"/>
          <w:color w:val="000000"/>
          <w:sz w:val="20"/>
          <w:szCs w:val="20"/>
        </w:rPr>
        <w:t>•</w:t>
      </w:r>
      <w:r>
        <w:rPr>
          <w:rFonts w:eastAsia="Times New Roman"/>
          <w:color w:val="000000"/>
          <w:sz w:val="20"/>
          <w:szCs w:val="20"/>
        </w:rPr>
        <w:t>fee income derived from our retirement and protection products and our investment management and research services;</w:t>
      </w:r>
    </w:p>
    <w:p w:rsidR="00000000" w:rsidRDefault="000C147A">
      <w:pPr>
        <w:ind w:hanging="360"/>
        <w:jc w:val="both"/>
        <w:divId w:val="249430442"/>
        <w:rPr>
          <w:rFonts w:eastAsia="Times New Roman"/>
        </w:rPr>
      </w:pPr>
      <w:r>
        <w:rPr>
          <w:rFonts w:eastAsia="Times New Roman"/>
          <w:color w:val="000000"/>
          <w:sz w:val="20"/>
          <w:szCs w:val="20"/>
        </w:rPr>
        <w:t>•premiums from our traditional life insurance and annuity products; and</w:t>
      </w:r>
    </w:p>
    <w:p w:rsidR="00000000" w:rsidRDefault="000C147A">
      <w:pPr>
        <w:ind w:hanging="360"/>
        <w:divId w:val="1534001643"/>
        <w:rPr>
          <w:rFonts w:eastAsia="Times New Roman"/>
        </w:rPr>
      </w:pPr>
      <w:r>
        <w:rPr>
          <w:rFonts w:eastAsia="Times New Roman"/>
          <w:color w:val="000000"/>
          <w:sz w:val="20"/>
          <w:szCs w:val="20"/>
        </w:rPr>
        <w:t>•investment income from our General Account investment portfolio.</w:t>
      </w:r>
    </w:p>
    <w:p w:rsidR="00000000" w:rsidRDefault="000C147A">
      <w:pPr>
        <w:ind w:firstLine="360"/>
        <w:divId w:val="686253742"/>
        <w:rPr>
          <w:rFonts w:eastAsia="Times New Roman"/>
        </w:rPr>
      </w:pPr>
      <w:r>
        <w:rPr>
          <w:rFonts w:eastAsia="Times New Roman"/>
          <w:color w:val="000000"/>
          <w:sz w:val="20"/>
          <w:szCs w:val="20"/>
        </w:rPr>
        <w:t>Ou</w:t>
      </w:r>
      <w:r>
        <w:rPr>
          <w:rFonts w:eastAsia="Times New Roman"/>
          <w:color w:val="000000"/>
          <w:sz w:val="20"/>
          <w:szCs w:val="20"/>
        </w:rPr>
        <w:t>r fee income varies directly in relation to the amount of the underlying AV or benefit base of our retirement and protection products and the amount of AUM of our Investment Management and Research business. AV and AUM, each as defined in “Key Operating Me</w:t>
      </w:r>
      <w:r>
        <w:rPr>
          <w:rFonts w:eastAsia="Times New Roman"/>
          <w:color w:val="000000"/>
          <w:sz w:val="20"/>
          <w:szCs w:val="20"/>
        </w:rPr>
        <w:t xml:space="preserve">asures,” are influenced by changes in economic conditions, primarily equity market returns, as well as net flows. Our premium income is driven by the growth in new policies written and the persistency of our in-force policies, both of which are influenced </w:t>
      </w:r>
      <w:r>
        <w:rPr>
          <w:rFonts w:eastAsia="Times New Roman"/>
          <w:color w:val="000000"/>
          <w:sz w:val="20"/>
          <w:szCs w:val="20"/>
        </w:rPr>
        <w:t>by a combination of factors, including our efforts to attract and retain customers and market conditions that influence demand for our products. Our investment income is driven by the yield on our General Account investment portfolio and is impacted by the</w:t>
      </w:r>
      <w:r>
        <w:rPr>
          <w:rFonts w:eastAsia="Times New Roman"/>
          <w:color w:val="000000"/>
          <w:sz w:val="20"/>
          <w:szCs w:val="20"/>
        </w:rPr>
        <w:t xml:space="preserve"> prevailing level of interest rates as we reinvest cash associated with maturing investments and net flows to the portfolio.</w:t>
      </w:r>
    </w:p>
    <w:p w:rsidR="00000000" w:rsidRDefault="000C147A">
      <w:pPr>
        <w:jc w:val="both"/>
        <w:divId w:val="1237781917"/>
        <w:rPr>
          <w:rFonts w:eastAsia="Times New Roman"/>
        </w:rPr>
      </w:pPr>
      <w:r>
        <w:rPr>
          <w:rFonts w:eastAsia="Times New Roman"/>
          <w:b/>
          <w:bCs/>
          <w:i/>
          <w:iCs/>
          <w:color w:val="000000"/>
          <w:sz w:val="20"/>
          <w:szCs w:val="20"/>
        </w:rPr>
        <w:t>Benefits and Other Deductions</w:t>
      </w:r>
    </w:p>
    <w:p w:rsidR="00000000" w:rsidRDefault="000C147A">
      <w:pPr>
        <w:ind w:firstLine="360"/>
        <w:divId w:val="1249583831"/>
        <w:rPr>
          <w:rFonts w:eastAsia="Times New Roman"/>
        </w:rPr>
      </w:pPr>
      <w:r>
        <w:rPr>
          <w:rFonts w:eastAsia="Times New Roman"/>
          <w:color w:val="000000"/>
          <w:sz w:val="20"/>
          <w:szCs w:val="20"/>
        </w:rPr>
        <w:t>Our primary expenses are:</w:t>
      </w:r>
    </w:p>
    <w:p w:rsidR="00000000" w:rsidRDefault="000C147A">
      <w:pPr>
        <w:ind w:hanging="360"/>
        <w:jc w:val="both"/>
        <w:divId w:val="895774824"/>
        <w:rPr>
          <w:rFonts w:eastAsia="Times New Roman"/>
        </w:rPr>
      </w:pPr>
      <w:r>
        <w:rPr>
          <w:rFonts w:eastAsia="Times New Roman"/>
          <w:color w:val="000000"/>
          <w:sz w:val="20"/>
          <w:szCs w:val="20"/>
        </w:rPr>
        <w:t>•policyholders’ benefits and interest credited to policyholders’ account ba</w:t>
      </w:r>
      <w:r>
        <w:rPr>
          <w:rFonts w:eastAsia="Times New Roman"/>
          <w:color w:val="000000"/>
          <w:sz w:val="20"/>
          <w:szCs w:val="20"/>
        </w:rPr>
        <w:t>lances;</w:t>
      </w:r>
    </w:p>
    <w:p w:rsidR="00000000" w:rsidRDefault="000C147A">
      <w:pPr>
        <w:ind w:hanging="360"/>
        <w:jc w:val="both"/>
        <w:divId w:val="2112775777"/>
        <w:rPr>
          <w:rFonts w:eastAsia="Times New Roman"/>
        </w:rPr>
      </w:pPr>
      <w:r>
        <w:rPr>
          <w:rFonts w:eastAsia="Times New Roman"/>
          <w:color w:val="000000"/>
          <w:sz w:val="20"/>
          <w:szCs w:val="20"/>
        </w:rPr>
        <w:t>•sales commissions and compensation paid to intermediaries and advisors that distribute our products and services; and</w:t>
      </w:r>
    </w:p>
    <w:p w:rsidR="00000000" w:rsidRDefault="000C147A">
      <w:pPr>
        <w:ind w:hanging="360"/>
        <w:divId w:val="1188102531"/>
        <w:rPr>
          <w:rFonts w:eastAsia="Times New Roman"/>
        </w:rPr>
      </w:pPr>
      <w:r>
        <w:rPr>
          <w:rFonts w:eastAsia="Times New Roman"/>
          <w:color w:val="000000"/>
          <w:sz w:val="20"/>
          <w:szCs w:val="20"/>
        </w:rPr>
        <w:t>•compensation and benefits provided to our employees and other operating expenses.</w:t>
      </w:r>
    </w:p>
    <w:p w:rsidR="00000000" w:rsidRDefault="000C147A">
      <w:pPr>
        <w:ind w:firstLine="360"/>
        <w:divId w:val="284582573"/>
        <w:rPr>
          <w:rFonts w:eastAsia="Times New Roman"/>
        </w:rPr>
      </w:pPr>
      <w:r>
        <w:rPr>
          <w:rFonts w:eastAsia="Times New Roman"/>
          <w:color w:val="000000"/>
          <w:sz w:val="20"/>
          <w:szCs w:val="20"/>
        </w:rPr>
        <w:t>Policyholders’ benefits are driven primarily b</w:t>
      </w:r>
      <w:r>
        <w:rPr>
          <w:rFonts w:eastAsia="Times New Roman"/>
          <w:color w:val="000000"/>
          <w:sz w:val="20"/>
          <w:szCs w:val="20"/>
        </w:rPr>
        <w:t>y mortality, customer withdrawals, and benefits which change in response to changes in capital market conditions. In addition, some of our policyholders’ benefits are directly tied to the AV and benefit base of our variable annuity products. Interest credi</w:t>
      </w:r>
      <w:r>
        <w:rPr>
          <w:rFonts w:eastAsia="Times New Roman"/>
          <w:color w:val="000000"/>
          <w:sz w:val="20"/>
          <w:szCs w:val="20"/>
        </w:rPr>
        <w:t>ted to policyholders varies in relation to the amount of the underlying AV or benefit base. Sales commissions and compensation paid to intermediaries and advisors vary in relation to premium and fee income generated from these sources, whereas compensation</w:t>
      </w:r>
      <w:r>
        <w:rPr>
          <w:rFonts w:eastAsia="Times New Roman"/>
          <w:color w:val="000000"/>
          <w:sz w:val="20"/>
          <w:szCs w:val="20"/>
        </w:rPr>
        <w:t xml:space="preserve"> and benefits to our employees are more constant and impacted by market wages and decline with increases in efficiency. Our ability to manage these expenses across various economic cycles and products is critical to the profitability of our company.</w:t>
      </w:r>
    </w:p>
    <w:p w:rsidR="00000000" w:rsidRDefault="000C147A">
      <w:pPr>
        <w:jc w:val="both"/>
        <w:divId w:val="789477636"/>
        <w:rPr>
          <w:rFonts w:eastAsia="Times New Roman"/>
        </w:rPr>
      </w:pPr>
      <w:r>
        <w:rPr>
          <w:rFonts w:eastAsia="Times New Roman"/>
          <w:b/>
          <w:bCs/>
          <w:i/>
          <w:iCs/>
          <w:color w:val="000000"/>
          <w:sz w:val="20"/>
          <w:szCs w:val="20"/>
        </w:rPr>
        <w:t>Net In</w:t>
      </w:r>
      <w:r>
        <w:rPr>
          <w:rFonts w:eastAsia="Times New Roman"/>
          <w:b/>
          <w:bCs/>
          <w:i/>
          <w:iCs/>
          <w:color w:val="000000"/>
          <w:sz w:val="20"/>
          <w:szCs w:val="20"/>
        </w:rPr>
        <w:t>come Volatility</w:t>
      </w:r>
    </w:p>
    <w:p w:rsidR="00000000" w:rsidRDefault="000C147A">
      <w:pPr>
        <w:jc w:val="center"/>
        <w:divId w:val="715085154"/>
        <w:rPr>
          <w:rFonts w:eastAsia="Times New Roman"/>
        </w:rPr>
      </w:pPr>
      <w:r>
        <w:rPr>
          <w:rFonts w:eastAsia="Times New Roman"/>
          <w:color w:val="000000"/>
          <w:sz w:val="20"/>
          <w:szCs w:val="20"/>
        </w:rPr>
        <w:t>83</w:t>
      </w:r>
    </w:p>
    <w:p w:rsidR="00000000" w:rsidRDefault="000C147A">
      <w:pPr>
        <w:rPr>
          <w:rFonts w:eastAsia="Times New Roman"/>
        </w:rPr>
      </w:pPr>
      <w:r>
        <w:rPr>
          <w:rFonts w:eastAsia="Times New Roman"/>
        </w:rPr>
        <w:pict>
          <v:rect id="_x0000_i1109" style="width:0;height:1.5pt" o:hralign="center" o:hrstd="t" o:hr="t" fillcolor="#a0a0a0" stroked="f"/>
        </w:pict>
      </w:r>
    </w:p>
    <w:p w:rsidR="00000000" w:rsidRDefault="000C147A">
      <w:pPr>
        <w:ind w:firstLine="360"/>
        <w:divId w:val="1050886587"/>
        <w:rPr>
          <w:rFonts w:eastAsia="Times New Roman"/>
        </w:rPr>
      </w:pPr>
    </w:p>
    <w:p w:rsidR="00000000" w:rsidRDefault="000C147A">
      <w:pPr>
        <w:ind w:firstLine="360"/>
        <w:divId w:val="1932154880"/>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w:t>
      </w:r>
      <w:r>
        <w:rPr>
          <w:rFonts w:eastAsia="Times New Roman"/>
          <w:color w:val="000000"/>
          <w:sz w:val="20"/>
          <w:szCs w:val="20"/>
        </w:rPr>
        <w:t xml:space="preserve">ccordingly, we have implemented hedging and reinsurance programs designed to mitigate the economic exposure to us from these features due to equity market and interest rate movements. Changes in the values of the derivatives associated with these programs </w:t>
      </w:r>
      <w:r>
        <w:rPr>
          <w:rFonts w:eastAsia="Times New Roman"/>
          <w:color w:val="000000"/>
          <w:sz w:val="20"/>
          <w:szCs w:val="20"/>
        </w:rPr>
        <w:t>due to equity market and interest rate movements are recognized in the periods in which they occur while corresponding changes in offsetting liabilities not measured at fair value are recognized over time. This results in net income volatility as further d</w:t>
      </w:r>
      <w:r>
        <w:rPr>
          <w:rFonts w:eastAsia="Times New Roman"/>
          <w:color w:val="000000"/>
          <w:sz w:val="20"/>
          <w:szCs w:val="20"/>
        </w:rPr>
        <w:t>escribed below. See “—Significant Factors Impacting Our Results—Impact of Hedging and GMIB Reinsurance on Results.”</w:t>
      </w:r>
    </w:p>
    <w:p w:rsidR="00000000" w:rsidRDefault="000C147A">
      <w:pPr>
        <w:ind w:firstLine="360"/>
        <w:divId w:val="141628946"/>
        <w:rPr>
          <w:rFonts w:eastAsia="Times New Roman"/>
        </w:rPr>
      </w:pPr>
      <w:r>
        <w:rPr>
          <w:rFonts w:eastAsia="Times New Roman"/>
          <w:color w:val="000000"/>
          <w:sz w:val="20"/>
          <w:szCs w:val="20"/>
        </w:rPr>
        <w:t>In addition to our dynamic hedging strategy, we have static hedge positions designed to mitigate the adverse impact of changing market condi</w:t>
      </w:r>
      <w:r>
        <w:rPr>
          <w:rFonts w:eastAsia="Times New Roman"/>
          <w:color w:val="000000"/>
          <w:sz w:val="20"/>
          <w:szCs w:val="20"/>
        </w:rPr>
        <w:t>tions on our statutory capital. We believe this program will continue to preserve the economic value of our variable annuity contracts and better protect our target variable annuity asset level. However, these static hedge positions increase the size of ou</w:t>
      </w:r>
      <w:r>
        <w:rPr>
          <w:rFonts w:eastAsia="Times New Roman"/>
          <w:color w:val="000000"/>
          <w:sz w:val="20"/>
          <w:szCs w:val="20"/>
        </w:rPr>
        <w:t>r derivative positions and may result in higher net income volatility on a period-over-period basis.</w:t>
      </w:r>
    </w:p>
    <w:p w:rsidR="00000000" w:rsidRDefault="000C147A">
      <w:pPr>
        <w:ind w:firstLine="360"/>
        <w:divId w:val="977222848"/>
        <w:rPr>
          <w:rFonts w:eastAsia="Times New Roman"/>
        </w:rPr>
      </w:pPr>
      <w:r>
        <w:rPr>
          <w:rFonts w:eastAsia="Times New Roman"/>
          <w:color w:val="000000"/>
          <w:sz w:val="20"/>
          <w:szCs w:val="20"/>
        </w:rPr>
        <w:t>Due to the impacts on our net income of equity market and interest rate movements and other items that are not part of the underlying profitability drivers</w:t>
      </w:r>
      <w:r>
        <w:rPr>
          <w:rFonts w:eastAsia="Times New Roman"/>
          <w:color w:val="000000"/>
          <w:sz w:val="20"/>
          <w:szCs w:val="20"/>
        </w:rPr>
        <w:t xml:space="preserve"> of our business, we evaluate and manage our business performance using Non-GAAP Operating Earnings, a non-GAAP financial measure that is intended to remove these impacts from our results. See “—Key Operating Measures—Non-GAAP Operating Earnings.”</w:t>
      </w:r>
    </w:p>
    <w:p w:rsidR="00000000" w:rsidRDefault="000C147A">
      <w:pPr>
        <w:divId w:val="845439339"/>
        <w:rPr>
          <w:rFonts w:eastAsia="Times New Roman"/>
        </w:rPr>
      </w:pPr>
      <w:r>
        <w:rPr>
          <w:rFonts w:eastAsia="Times New Roman"/>
          <w:b/>
          <w:bCs/>
          <w:color w:val="000000"/>
          <w:sz w:val="20"/>
          <w:szCs w:val="20"/>
        </w:rPr>
        <w:t>Signific</w:t>
      </w:r>
      <w:r>
        <w:rPr>
          <w:rFonts w:eastAsia="Times New Roman"/>
          <w:b/>
          <w:bCs/>
          <w:color w:val="000000"/>
          <w:sz w:val="20"/>
          <w:szCs w:val="20"/>
        </w:rPr>
        <w:t xml:space="preserve">ant Factors Impacting Our Results </w:t>
      </w:r>
    </w:p>
    <w:p w:rsidR="00000000" w:rsidRDefault="000C147A">
      <w:pPr>
        <w:ind w:firstLine="360"/>
        <w:divId w:val="1962027086"/>
        <w:rPr>
          <w:rFonts w:eastAsia="Times New Roman"/>
        </w:rPr>
      </w:pPr>
      <w:r>
        <w:rPr>
          <w:rFonts w:eastAsia="Times New Roman"/>
          <w:color w:val="000000"/>
          <w:sz w:val="20"/>
          <w:szCs w:val="20"/>
        </w:rPr>
        <w:t xml:space="preserve">The following significant factors have impacted, and may in the future impact, our financial condition, results of operations or cash flows. </w:t>
      </w:r>
    </w:p>
    <w:p w:rsidR="00000000" w:rsidRDefault="000C147A">
      <w:pPr>
        <w:jc w:val="both"/>
        <w:divId w:val="1064915867"/>
        <w:rPr>
          <w:rFonts w:eastAsia="Times New Roman"/>
        </w:rPr>
      </w:pPr>
      <w:r>
        <w:rPr>
          <w:rFonts w:eastAsia="Times New Roman"/>
          <w:b/>
          <w:bCs/>
          <w:i/>
          <w:iCs/>
          <w:color w:val="000000"/>
          <w:sz w:val="20"/>
          <w:szCs w:val="20"/>
        </w:rPr>
        <w:t xml:space="preserve">Impact of Hedging and GMIB Reinsurance on Results </w:t>
      </w:r>
    </w:p>
    <w:p w:rsidR="00000000" w:rsidRDefault="000C147A">
      <w:pPr>
        <w:ind w:firstLine="360"/>
        <w:divId w:val="2032024940"/>
        <w:rPr>
          <w:rFonts w:eastAsia="Times New Roman"/>
        </w:rPr>
      </w:pPr>
      <w:r>
        <w:rPr>
          <w:rFonts w:eastAsia="Times New Roman"/>
          <w:color w:val="000000"/>
          <w:sz w:val="20"/>
          <w:szCs w:val="20"/>
        </w:rPr>
        <w:t>We have offered and continue to offer variable annuity products</w:t>
      </w:r>
      <w:r>
        <w:rPr>
          <w:rFonts w:eastAsia="Times New Roman"/>
          <w:color w:val="000000"/>
          <w:sz w:val="20"/>
          <w:szCs w:val="20"/>
        </w:rPr>
        <w:t xml:space="preserve"> with GMxB features. The future claims exposure on these features is sensitive to movements in the equity markets and interest rates. Accordingly, we have implemented hedging and reinsurance programs designed to mitigate the economic exposure to us from th</w:t>
      </w:r>
      <w:r>
        <w:rPr>
          <w:rFonts w:eastAsia="Times New Roman"/>
          <w:color w:val="000000"/>
          <w:sz w:val="20"/>
          <w:szCs w:val="20"/>
        </w:rPr>
        <w:t xml:space="preserve">ese features due to equity market and interest rate movements. These programs include: </w:t>
      </w:r>
    </w:p>
    <w:p w:rsidR="00000000" w:rsidRDefault="000C147A">
      <w:pPr>
        <w:ind w:hanging="360"/>
        <w:jc w:val="both"/>
        <w:divId w:val="10691563"/>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reevaluate our economic exposure at least daily and rebalance o</w:t>
      </w:r>
      <w:r>
        <w:rPr>
          <w:rFonts w:eastAsia="Times New Roman"/>
          <w:color w:val="000000"/>
          <w:sz w:val="20"/>
          <w:szCs w:val="20"/>
        </w:rPr>
        <w:t>ur hedge positions accordingly) to mitigate certain risks associated with the GMxB features that are embedded in our liabilities for our variable annuity products. This program utilizes various derivative instruments that are managed in an effort to reduce</w:t>
      </w:r>
      <w:r>
        <w:rPr>
          <w:rFonts w:eastAsia="Times New Roman"/>
          <w:color w:val="000000"/>
          <w:sz w:val="20"/>
          <w:szCs w:val="20"/>
        </w:rPr>
        <w:t xml:space="preserve"> the economic impact of unfavorable changes in GMxB features’ exposures attributable to movements in the equity markets and interest rates. Although this program is designed to provide a measure of economic protection against the impact of adverse market c</w:t>
      </w:r>
      <w:r>
        <w:rPr>
          <w:rFonts w:eastAsia="Times New Roman"/>
          <w:color w:val="000000"/>
          <w:sz w:val="20"/>
          <w:szCs w:val="20"/>
        </w:rPr>
        <w:t>onditions, it does not qualify for hedge accounting treatment. Accordingly, changes in value of the derivatives will be recognized in the period in which they occur with offsetting changes in reserves partially recognized in the current period, resulting i</w:t>
      </w:r>
      <w:r>
        <w:rPr>
          <w:rFonts w:eastAsia="Times New Roman"/>
          <w:color w:val="000000"/>
          <w:sz w:val="20"/>
          <w:szCs w:val="20"/>
        </w:rPr>
        <w:t>n net income volatility. In addition to our dynamic hedging program, we have a hedging program using static hedge positions (derivative positions intended to be held-to-maturity with less frequent re-balancing) to protect our statutory capital against stre</w:t>
      </w:r>
      <w:r>
        <w:rPr>
          <w:rFonts w:eastAsia="Times New Roman"/>
          <w:color w:val="000000"/>
          <w:sz w:val="20"/>
          <w:szCs w:val="20"/>
        </w:rPr>
        <w:t>ss scenarios. This program in addition to our dynamic hedge program has increased the size of our derivative positions, resulting in an increase in net income volatility. The impacts are most pronounced for variable annuity products in our Individual Retir</w:t>
      </w:r>
      <w:r>
        <w:rPr>
          <w:rFonts w:eastAsia="Times New Roman"/>
          <w:color w:val="000000"/>
          <w:sz w:val="20"/>
          <w:szCs w:val="20"/>
        </w:rPr>
        <w:t xml:space="preserve">ement segment. </w:t>
      </w:r>
    </w:p>
    <w:p w:rsidR="00000000" w:rsidRDefault="000C147A">
      <w:pPr>
        <w:ind w:hanging="360"/>
        <w:jc w:val="both"/>
        <w:divId w:val="104538832"/>
        <w:rPr>
          <w:rFonts w:eastAsia="Times New Roman"/>
        </w:rPr>
      </w:pPr>
      <w:r>
        <w:rPr>
          <w:rFonts w:eastAsia="Times New Roman"/>
          <w:color w:val="000000"/>
          <w:sz w:val="20"/>
          <w:szCs w:val="20"/>
        </w:rPr>
        <w:t>•</w:t>
      </w:r>
      <w:r>
        <w:rPr>
          <w:rFonts w:eastAsia="Times New Roman"/>
          <w:i/>
          <w:iCs/>
          <w:color w:val="000000"/>
          <w:sz w:val="20"/>
          <w:szCs w:val="20"/>
        </w:rPr>
        <w:t xml:space="preserve">GMIB reinsurance contracts. </w:t>
      </w:r>
      <w:r>
        <w:rPr>
          <w:rFonts w:eastAsia="Times New Roman"/>
          <w:color w:val="000000"/>
          <w:sz w:val="20"/>
          <w:szCs w:val="20"/>
        </w:rPr>
        <w:t>Historically, GMIB reinsurance contracts were used to cede to non-affiliated reinsurers a portion of our exposure to variable annuity products that offer a GMIB feature. We account for the GMIB reinsurance contr</w:t>
      </w:r>
      <w:r>
        <w:rPr>
          <w:rFonts w:eastAsia="Times New Roman"/>
          <w:color w:val="000000"/>
          <w:sz w:val="20"/>
          <w:szCs w:val="20"/>
        </w:rPr>
        <w:t>acts as derivatives and report them at fair value. Gross GMIB reserves are calculated on the basis of assumptions related to projected benefits and related contract charges over the lives of the contracts. Accordingly, our gross reserves will not immediate</w:t>
      </w:r>
      <w:r>
        <w:rPr>
          <w:rFonts w:eastAsia="Times New Roman"/>
          <w:color w:val="000000"/>
          <w:sz w:val="20"/>
          <w:szCs w:val="20"/>
        </w:rPr>
        <w:t>ly reflect the offsetting impact on future claims exposure resulting from the same capital market or interest rate fluctuations that cause gains or losses on the fair value of the GMIB reinsurance contracts. Because changes in the fair value of the GMIB re</w:t>
      </w:r>
      <w:r>
        <w:rPr>
          <w:rFonts w:eastAsia="Times New Roman"/>
          <w:color w:val="000000"/>
          <w:sz w:val="20"/>
          <w:szCs w:val="20"/>
        </w:rPr>
        <w:t xml:space="preserve">insurance contracts are recorded in the period in which they occur and a majority of the changes in gross reserves for GMIB are recognized over time, net income will be more volatile. </w:t>
      </w:r>
    </w:p>
    <w:p w:rsidR="00000000" w:rsidRDefault="000C147A">
      <w:pPr>
        <w:jc w:val="both"/>
        <w:divId w:val="187569327"/>
        <w:rPr>
          <w:rFonts w:eastAsia="Times New Roman"/>
        </w:rPr>
      </w:pPr>
      <w:r>
        <w:rPr>
          <w:rFonts w:eastAsia="Times New Roman"/>
          <w:b/>
          <w:bCs/>
          <w:i/>
          <w:iCs/>
          <w:color w:val="000000"/>
          <w:sz w:val="20"/>
          <w:szCs w:val="20"/>
        </w:rPr>
        <w:t xml:space="preserve">Effect of Assumption Updates on Operating Results </w:t>
      </w:r>
    </w:p>
    <w:p w:rsidR="00000000" w:rsidRDefault="000C147A">
      <w:pPr>
        <w:ind w:firstLine="360"/>
        <w:divId w:val="236404669"/>
        <w:rPr>
          <w:rFonts w:eastAsia="Times New Roman"/>
        </w:rPr>
      </w:pPr>
      <w:r>
        <w:rPr>
          <w:rFonts w:eastAsia="Times New Roman"/>
          <w:color w:val="000000"/>
          <w:sz w:val="20"/>
          <w:szCs w:val="20"/>
        </w:rPr>
        <w:t>Our actuaries oversee the valuation of the product liabilities and assets and review the underlying inputs and assumptions. We comprehensively review the actuarial assumptions underlying these valuations and update assumptions during the third quarter of e</w:t>
      </w:r>
      <w:r>
        <w:rPr>
          <w:rFonts w:eastAsia="Times New Roman"/>
          <w:color w:val="000000"/>
          <w:sz w:val="20"/>
          <w:szCs w:val="20"/>
        </w:rPr>
        <w:t xml:space="preserve">ach year. Assumptions are based on a combination of Company experience, industry experience, management actions and expert judgment and reflect our best estimate as of the date of the applicable financial statements. Changes in assumptions can result in a </w:t>
      </w:r>
      <w:r>
        <w:rPr>
          <w:rFonts w:eastAsia="Times New Roman"/>
          <w:color w:val="000000"/>
          <w:sz w:val="20"/>
          <w:szCs w:val="20"/>
        </w:rPr>
        <w:t>significant change to the carrying value of product liabilities and assets and, consequently, the impact could be material to earnings in the period of the change.</w:t>
      </w:r>
    </w:p>
    <w:p w:rsidR="00000000" w:rsidRDefault="000C147A">
      <w:pPr>
        <w:jc w:val="center"/>
        <w:divId w:val="1457094565"/>
        <w:rPr>
          <w:rFonts w:eastAsia="Times New Roman"/>
        </w:rPr>
      </w:pPr>
      <w:r>
        <w:rPr>
          <w:rFonts w:eastAsia="Times New Roman"/>
          <w:color w:val="000000"/>
          <w:sz w:val="20"/>
          <w:szCs w:val="20"/>
        </w:rPr>
        <w:t>84</w:t>
      </w:r>
    </w:p>
    <w:p w:rsidR="00000000" w:rsidRDefault="000C147A">
      <w:pPr>
        <w:rPr>
          <w:rFonts w:eastAsia="Times New Roman"/>
        </w:rPr>
      </w:pPr>
      <w:r>
        <w:rPr>
          <w:rFonts w:eastAsia="Times New Roman"/>
        </w:rPr>
        <w:pict>
          <v:rect id="_x0000_i1110" style="width:0;height:1.5pt" o:hralign="center" o:hrstd="t" o:hr="t" fillcolor="#a0a0a0" stroked="f"/>
        </w:pict>
      </w:r>
    </w:p>
    <w:p w:rsidR="00000000" w:rsidRDefault="000C147A">
      <w:pPr>
        <w:ind w:firstLine="360"/>
        <w:divId w:val="791939006"/>
        <w:rPr>
          <w:rFonts w:eastAsia="Times New Roman"/>
        </w:rPr>
      </w:pPr>
    </w:p>
    <w:p w:rsidR="00000000" w:rsidRDefault="000C147A">
      <w:pPr>
        <w:ind w:firstLine="360"/>
        <w:divId w:val="1366446866"/>
        <w:rPr>
          <w:rFonts w:eastAsia="Times New Roman"/>
        </w:rPr>
      </w:pPr>
      <w:r>
        <w:rPr>
          <w:rFonts w:eastAsia="Times New Roman"/>
          <w:color w:val="000000"/>
          <w:sz w:val="20"/>
          <w:szCs w:val="20"/>
        </w:rPr>
        <w:t>Most of the variable annuity products, variable un</w:t>
      </w:r>
      <w:r>
        <w:rPr>
          <w:rFonts w:eastAsia="Times New Roman"/>
          <w:color w:val="000000"/>
          <w:sz w:val="20"/>
          <w:szCs w:val="20"/>
        </w:rPr>
        <w:t xml:space="preserve">iversal life insurance and universal life insurance products we offer maintain policyholder deposits that are reported as liabilities and classified within either Separate Accounts liabilities or policyholder account balances. Our products and riders also </w:t>
      </w:r>
      <w:r>
        <w:rPr>
          <w:rFonts w:eastAsia="Times New Roman"/>
          <w:color w:val="000000"/>
          <w:sz w:val="20"/>
          <w:szCs w:val="20"/>
        </w:rPr>
        <w:t>impact liabilities for future policyholder benefits and unearned revenues and assets for DAC and DSI. The valuation of these assets and liabilities (other than deposits) are based on differing accounting methods depending on the product, each of which requ</w:t>
      </w:r>
      <w:r>
        <w:rPr>
          <w:rFonts w:eastAsia="Times New Roman"/>
          <w:color w:val="000000"/>
          <w:sz w:val="20"/>
          <w:szCs w:val="20"/>
        </w:rPr>
        <w:t>ires numerous assumptions and considerable judgment. The accounting guidance applied in the valuation of these assets and liabilities includes, but is not limited to, the following: (i) traditional life insurance products for which assumptions are locked i</w:t>
      </w:r>
      <w:r>
        <w:rPr>
          <w:rFonts w:eastAsia="Times New Roman"/>
          <w:color w:val="000000"/>
          <w:sz w:val="20"/>
          <w:szCs w:val="20"/>
        </w:rPr>
        <w:t>n at inception; (ii) universal life insurance and variable life insurance secondary guarantees for which benefit liabilities are determined by estimating the expected value of death benefits payable when the account balance is projected to be zero and reco</w:t>
      </w:r>
      <w:r>
        <w:rPr>
          <w:rFonts w:eastAsia="Times New Roman"/>
          <w:color w:val="000000"/>
          <w:sz w:val="20"/>
          <w:szCs w:val="20"/>
        </w:rPr>
        <w:t>gnizing those benefits ratably over the accumulation period based on total expected assessments; (iii) certain product guarantees for which benefit liabilities are accrued over the life of the contract in proportion to actual and future expected policy ass</w:t>
      </w:r>
      <w:r>
        <w:rPr>
          <w:rFonts w:eastAsia="Times New Roman"/>
          <w:color w:val="000000"/>
          <w:sz w:val="20"/>
          <w:szCs w:val="20"/>
        </w:rPr>
        <w:t xml:space="preserve">essments; and (iv) certain product guarantees reported as embedded derivatives at fair value. </w:t>
      </w:r>
    </w:p>
    <w:p w:rsidR="00000000" w:rsidRDefault="000C147A">
      <w:pPr>
        <w:ind w:firstLine="360"/>
        <w:divId w:val="78333054"/>
        <w:rPr>
          <w:rFonts w:eastAsia="Times New Roman"/>
        </w:rPr>
      </w:pPr>
      <w:r>
        <w:rPr>
          <w:rFonts w:eastAsia="Times New Roman"/>
          <w:color w:val="000000"/>
          <w:sz w:val="20"/>
          <w:szCs w:val="20"/>
        </w:rPr>
        <w:t>For further details of our accounting policies and related judgments pertaining to assumption updates, see Note 2  to the Notes to the Company’s consolidated fin</w:t>
      </w:r>
      <w:r>
        <w:rPr>
          <w:rFonts w:eastAsia="Times New Roman"/>
          <w:color w:val="000000"/>
          <w:sz w:val="20"/>
          <w:szCs w:val="20"/>
        </w:rPr>
        <w:t>ancial statements and “—Summary of Critical Accounting Estimates—Liability for Future Policy Benefits” included in the 2019 Form 10-K.</w:t>
      </w:r>
    </w:p>
    <w:p w:rsidR="00000000" w:rsidRDefault="000C147A">
      <w:pPr>
        <w:jc w:val="both"/>
        <w:divId w:val="550044760"/>
        <w:rPr>
          <w:rFonts w:eastAsia="Times New Roman"/>
        </w:rPr>
      </w:pPr>
      <w:r>
        <w:rPr>
          <w:rFonts w:eastAsia="Times New Roman"/>
          <w:b/>
          <w:bCs/>
          <w:i/>
          <w:iCs/>
          <w:color w:val="000000"/>
          <w:sz w:val="20"/>
          <w:szCs w:val="20"/>
        </w:rPr>
        <w:t>Assumption Updates and Model Changes</w:t>
      </w:r>
    </w:p>
    <w:p w:rsidR="00000000" w:rsidRDefault="000C147A">
      <w:pPr>
        <w:ind w:firstLine="360"/>
        <w:divId w:val="750155930"/>
        <w:rPr>
          <w:rFonts w:eastAsia="Times New Roman"/>
        </w:rPr>
      </w:pPr>
      <w:r>
        <w:rPr>
          <w:rFonts w:eastAsia="Times New Roman"/>
          <w:color w:val="000000"/>
          <w:sz w:val="20"/>
          <w:szCs w:val="20"/>
        </w:rPr>
        <w:t xml:space="preserve">We conduct our annual review of our assumptions and models during the third quarter </w:t>
      </w:r>
      <w:r>
        <w:rPr>
          <w:rFonts w:eastAsia="Times New Roman"/>
          <w:color w:val="000000"/>
          <w:sz w:val="20"/>
          <w:szCs w:val="20"/>
        </w:rPr>
        <w:t>of each year. However, we update our assumptions as needed in the event we become aware of economic conditions or events that could require a change in our assumptions that we believe may have a significant impact to the carrying value of product liabiliti</w:t>
      </w:r>
      <w:r>
        <w:rPr>
          <w:rFonts w:eastAsia="Times New Roman"/>
          <w:color w:val="000000"/>
          <w:sz w:val="20"/>
          <w:szCs w:val="20"/>
        </w:rPr>
        <w:t xml:space="preserve">es and assets and consequently materially impact our earnings in the period of the change. </w:t>
      </w:r>
    </w:p>
    <w:p w:rsidR="00000000" w:rsidRDefault="000C147A">
      <w:pPr>
        <w:divId w:val="1669599300"/>
        <w:rPr>
          <w:rFonts w:eastAsia="Times New Roman"/>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0C147A">
      <w:pPr>
        <w:ind w:firstLine="360"/>
        <w:divId w:val="500858354"/>
        <w:rPr>
          <w:rFonts w:eastAsia="Times New Roman"/>
        </w:rPr>
      </w:pPr>
      <w:r>
        <w:rPr>
          <w:rFonts w:eastAsia="Times New Roman"/>
          <w:color w:val="000000"/>
          <w:sz w:val="20"/>
          <w:szCs w:val="20"/>
        </w:rPr>
        <w:t>The table below presents the impact of</w:t>
      </w:r>
      <w:r>
        <w:rPr>
          <w:rFonts w:eastAsia="Times New Roman"/>
          <w:color w:val="000000"/>
          <w:sz w:val="20"/>
          <w:szCs w:val="20"/>
        </w:rPr>
        <w:t xml:space="preserve"> our actuarial assumption update during the three and nine months ended September 30, 2020 and 2019 to our Income (loss) from continuing operations, before income taxes and Net income (loss).</w:t>
      </w:r>
    </w:p>
    <w:tbl>
      <w:tblPr>
        <w:tblW w:w="5000" w:type="pct"/>
        <w:tblCellMar>
          <w:top w:w="15" w:type="dxa"/>
          <w:left w:w="15" w:type="dxa"/>
          <w:bottom w:w="15" w:type="dxa"/>
          <w:right w:w="15" w:type="dxa"/>
        </w:tblCellMar>
        <w:tblLook w:val="04A0" w:firstRow="1" w:lastRow="0" w:firstColumn="1" w:lastColumn="0" w:noHBand="0" w:noVBand="1"/>
      </w:tblPr>
      <w:tblGrid>
        <w:gridCol w:w="37"/>
        <w:gridCol w:w="3659"/>
        <w:gridCol w:w="36"/>
        <w:gridCol w:w="120"/>
        <w:gridCol w:w="938"/>
        <w:gridCol w:w="36"/>
        <w:gridCol w:w="36"/>
        <w:gridCol w:w="36"/>
        <w:gridCol w:w="36"/>
        <w:gridCol w:w="120"/>
        <w:gridCol w:w="895"/>
        <w:gridCol w:w="36"/>
        <w:gridCol w:w="36"/>
        <w:gridCol w:w="36"/>
        <w:gridCol w:w="36"/>
        <w:gridCol w:w="120"/>
        <w:gridCol w:w="896"/>
        <w:gridCol w:w="36"/>
        <w:gridCol w:w="36"/>
        <w:gridCol w:w="36"/>
        <w:gridCol w:w="36"/>
        <w:gridCol w:w="120"/>
        <w:gridCol w:w="897"/>
        <w:gridCol w:w="36"/>
      </w:tblGrid>
      <w:tr w:rsidR="00000000">
        <w:trPr>
          <w:divId w:val="606040960"/>
        </w:trPr>
        <w:tc>
          <w:tcPr>
            <w:tcW w:w="50" w:type="pct"/>
            <w:vAlign w:val="center"/>
            <w:hideMark/>
          </w:tcPr>
          <w:p w:rsidR="00000000" w:rsidRDefault="000C147A">
            <w:pPr>
              <w:ind w:firstLine="360"/>
              <w:rPr>
                <w:rFonts w:eastAsia="Times New Roman"/>
              </w:rPr>
            </w:pPr>
          </w:p>
        </w:tc>
        <w:tc>
          <w:tcPr>
            <w:tcW w:w="223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9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0604096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(1)</w:t>
            </w:r>
          </w:p>
        </w:tc>
      </w:tr>
      <w:tr w:rsidR="00000000">
        <w:trPr>
          <w:divId w:val="60604096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60604096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0604096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Impact of assumption update on Net income (loss):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06040960"/>
        </w:trPr>
        <w:tc>
          <w:tcPr>
            <w:tcW w:w="0" w:type="auto"/>
            <w:gridSpan w:val="3"/>
            <w:shd w:val="clear" w:color="auto" w:fill="CCEEFF"/>
            <w:tcMar>
              <w:top w:w="30" w:type="dxa"/>
              <w:left w:w="20" w:type="dxa"/>
              <w:bottom w:w="30" w:type="dxa"/>
              <w:right w:w="20" w:type="dxa"/>
            </w:tcMar>
            <w:vAlign w:val="bottom"/>
            <w:hideMark/>
          </w:tcPr>
          <w:p w:rsidR="00000000" w:rsidRDefault="000C147A">
            <w:pPr>
              <w:divId w:val="1707560498"/>
              <w:rPr>
                <w:rFonts w:eastAsia="Times New Roman"/>
              </w:rPr>
            </w:pPr>
            <w:r>
              <w:rPr>
                <w:rFonts w:eastAsia="Times New Roman"/>
                <w:color w:val="000000"/>
                <w:sz w:val="20"/>
                <w:szCs w:val="20"/>
              </w:rPr>
              <w:t>Variable annuity product features related assumption update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06040960"/>
        </w:trPr>
        <w:tc>
          <w:tcPr>
            <w:tcW w:w="0" w:type="auto"/>
            <w:gridSpan w:val="3"/>
            <w:shd w:val="clear" w:color="auto" w:fill="FFFFFF"/>
            <w:tcMar>
              <w:top w:w="30" w:type="dxa"/>
              <w:left w:w="20" w:type="dxa"/>
              <w:bottom w:w="30" w:type="dxa"/>
              <w:right w:w="20" w:type="dxa"/>
            </w:tcMar>
            <w:vAlign w:val="bottom"/>
            <w:hideMark/>
          </w:tcPr>
          <w:p w:rsidR="00000000" w:rsidRDefault="000C147A">
            <w:pPr>
              <w:divId w:val="65106692"/>
              <w:rPr>
                <w:rFonts w:eastAsia="Times New Roman"/>
              </w:rPr>
            </w:pPr>
            <w:r>
              <w:rPr>
                <w:rFonts w:eastAsia="Times New Roman"/>
                <w:color w:val="000000"/>
                <w:sz w:val="20"/>
                <w:szCs w:val="20"/>
              </w:rPr>
              <w:t>Assumption updates for other business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(1,060)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06040960"/>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Impact of assumption updates on Income (loss) from continuing operations, before income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06040960"/>
        </w:trPr>
        <w:tc>
          <w:tcPr>
            <w:tcW w:w="0" w:type="auto"/>
            <w:gridSpan w:val="3"/>
            <w:shd w:val="clear" w:color="auto" w:fill="FFFFFF"/>
            <w:tcMar>
              <w:top w:w="30" w:type="dxa"/>
              <w:left w:w="20" w:type="dxa"/>
              <w:bottom w:w="30" w:type="dxa"/>
              <w:right w:w="20" w:type="dxa"/>
            </w:tcMar>
            <w:vAlign w:val="bottom"/>
            <w:hideMark/>
          </w:tcPr>
          <w:p w:rsidR="00000000" w:rsidRDefault="000C147A">
            <w:pPr>
              <w:divId w:val="122433849"/>
              <w:rPr>
                <w:rFonts w:eastAsia="Times New Roman"/>
              </w:rPr>
            </w:pPr>
            <w:r>
              <w:rPr>
                <w:rFonts w:eastAsia="Times New Roman"/>
                <w:color w:val="000000"/>
                <w:sz w:val="20"/>
                <w:szCs w:val="20"/>
              </w:rPr>
              <w:t>Income tax (expense) benefit on assumption update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06040960"/>
        </w:trPr>
        <w:tc>
          <w:tcPr>
            <w:tcW w:w="0" w:type="auto"/>
            <w:gridSpan w:val="3"/>
            <w:shd w:val="clear" w:color="auto" w:fill="CCEEFF"/>
            <w:tcMar>
              <w:top w:w="30" w:type="dxa"/>
              <w:left w:w="20" w:type="dxa"/>
              <w:bottom w:w="30" w:type="dxa"/>
              <w:right w:w="20" w:type="dxa"/>
            </w:tcMar>
            <w:vAlign w:val="bottom"/>
            <w:hideMark/>
          </w:tcPr>
          <w:p w:rsidR="00000000" w:rsidRDefault="000C147A">
            <w:pPr>
              <w:divId w:val="1557202881"/>
              <w:rPr>
                <w:rFonts w:eastAsia="Times New Roman"/>
              </w:rPr>
            </w:pPr>
            <w:r>
              <w:rPr>
                <w:rFonts w:eastAsia="Times New Roman"/>
                <w:color w:val="000000"/>
                <w:sz w:val="20"/>
                <w:szCs w:val="20"/>
              </w:rPr>
              <w:t>Net income (loss) impact of assumption update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534663376"/>
        <w:rPr>
          <w:rFonts w:eastAsia="Times New Roman"/>
        </w:rPr>
      </w:pPr>
      <w:r>
        <w:rPr>
          <w:rFonts w:eastAsia="Times New Roman"/>
          <w:color w:val="000000"/>
          <w:sz w:val="18"/>
          <w:szCs w:val="18"/>
        </w:rPr>
        <w:t>(1) During the first quarter of 2020, we updated interest rate a</w:t>
      </w:r>
      <w:r>
        <w:rPr>
          <w:rFonts w:eastAsia="Times New Roman"/>
          <w:color w:val="000000"/>
          <w:sz w:val="18"/>
          <w:szCs w:val="18"/>
        </w:rPr>
        <w:t xml:space="preserve">ssumption and the impact was </w:t>
      </w:r>
      <w:r>
        <w:rPr>
          <w:rFonts w:eastAsia="Times New Roman"/>
          <w:color w:val="000000"/>
          <w:sz w:val="20"/>
          <w:szCs w:val="20"/>
        </w:rPr>
        <w:t>a decrease to Net income (loss) of $2.0 billion</w:t>
      </w:r>
      <w:r>
        <w:rPr>
          <w:rFonts w:eastAsia="Times New Roman"/>
          <w:color w:val="000000"/>
          <w:sz w:val="18"/>
          <w:szCs w:val="18"/>
        </w:rPr>
        <w:t>. See Note 2 for further details on the assumption update.</w:t>
      </w:r>
    </w:p>
    <w:p w:rsidR="00000000" w:rsidRDefault="000C147A">
      <w:pPr>
        <w:divId w:val="1234853165"/>
        <w:rPr>
          <w:rFonts w:eastAsia="Times New Roman"/>
        </w:rPr>
      </w:pPr>
      <w:r>
        <w:rPr>
          <w:rFonts w:eastAsia="Times New Roman"/>
          <w:b/>
          <w:bCs/>
          <w:color w:val="000000"/>
          <w:sz w:val="20"/>
          <w:szCs w:val="20"/>
        </w:rPr>
        <w:t>2020 Assumption Updates</w:t>
      </w:r>
    </w:p>
    <w:p w:rsidR="00000000" w:rsidRDefault="000C147A">
      <w:pPr>
        <w:ind w:firstLine="360"/>
        <w:divId w:val="529219073"/>
        <w:rPr>
          <w:rFonts w:eastAsia="Times New Roman"/>
        </w:rPr>
      </w:pPr>
      <w:r>
        <w:rPr>
          <w:rFonts w:eastAsia="Times New Roman"/>
          <w:i/>
          <w:iCs/>
          <w:color w:val="000000"/>
          <w:sz w:val="20"/>
          <w:szCs w:val="20"/>
        </w:rPr>
        <w:t xml:space="preserve">Annual Update </w:t>
      </w:r>
    </w:p>
    <w:p w:rsidR="00000000" w:rsidRDefault="000C147A">
      <w:pPr>
        <w:ind w:firstLine="360"/>
        <w:divId w:val="1471556985"/>
        <w:rPr>
          <w:rFonts w:eastAsia="Times New Roman"/>
        </w:rPr>
      </w:pPr>
      <w:r>
        <w:rPr>
          <w:rFonts w:eastAsia="Times New Roman"/>
          <w:color w:val="000000"/>
          <w:sz w:val="20"/>
          <w:szCs w:val="20"/>
        </w:rPr>
        <w:t>The impact of the economic assumption update in the third quarter of 2020 was a decrease of $74 million to Income (loss) from continuing operations, before income taxes and a decrease to Net income (loss) of $58 million.</w:t>
      </w:r>
    </w:p>
    <w:p w:rsidR="00000000" w:rsidRDefault="000C147A">
      <w:pPr>
        <w:divId w:val="315885202"/>
        <w:rPr>
          <w:rFonts w:eastAsia="Times New Roman"/>
        </w:rPr>
      </w:pPr>
      <w:r>
        <w:rPr>
          <w:rFonts w:eastAsia="Times New Roman"/>
          <w:color w:val="000000"/>
          <w:sz w:val="20"/>
          <w:szCs w:val="20"/>
        </w:rPr>
        <w:t>The net impact of this assumption u</w:t>
      </w:r>
      <w:r>
        <w:rPr>
          <w:rFonts w:eastAsia="Times New Roman"/>
          <w:color w:val="000000"/>
          <w:sz w:val="20"/>
          <w:szCs w:val="20"/>
        </w:rPr>
        <w:t>pdate on Income (loss) from continuing operations, before income taxes of $74 million consisted of a decrease in Policy charges and fee income of $23 million, an increase in Policyholders’ benefits of $193 million, an increase in Interest credited to polic</w:t>
      </w:r>
      <w:r>
        <w:rPr>
          <w:rFonts w:eastAsia="Times New Roman"/>
          <w:color w:val="000000"/>
          <w:sz w:val="20"/>
          <w:szCs w:val="20"/>
        </w:rPr>
        <w:t xml:space="preserve">yholders’ account balances of $5 million, a decrease in net derivative losses of $112 million and a decrease in the Amortization of DAC of $35 million. </w:t>
      </w:r>
      <w:r>
        <w:rPr>
          <w:rFonts w:ascii="Calibri" w:eastAsia="Times New Roman" w:hAnsi="Calibri" w:cs="Calibri"/>
          <w:color w:val="000000"/>
          <w:sz w:val="22"/>
          <w:szCs w:val="22"/>
        </w:rPr>
        <w:t>T</w:t>
      </w:r>
      <w:r>
        <w:rPr>
          <w:rFonts w:eastAsia="Times New Roman"/>
          <w:color w:val="000000"/>
          <w:sz w:val="20"/>
          <w:szCs w:val="20"/>
        </w:rPr>
        <w:t>hird quarter 2020 assumption updates include a pre-tax gain of $445 million attributable to the removal</w:t>
      </w:r>
      <w:r>
        <w:rPr>
          <w:rFonts w:eastAsia="Times New Roman"/>
          <w:color w:val="000000"/>
          <w:sz w:val="20"/>
          <w:szCs w:val="20"/>
        </w:rPr>
        <w:t xml:space="preserve"> of the credit risk adjustment from our fair value scenario calibration to better align with U.S. valuation practices, offset by updates to our mortality and policyholder behavior assumptions to reflect emerging experience.</w:t>
      </w:r>
    </w:p>
    <w:p w:rsidR="00000000" w:rsidRDefault="000C147A">
      <w:pPr>
        <w:divId w:val="330136005"/>
        <w:rPr>
          <w:rFonts w:eastAsia="Times New Roman"/>
        </w:rPr>
      </w:pPr>
    </w:p>
    <w:p w:rsidR="00000000" w:rsidRDefault="000C147A">
      <w:pPr>
        <w:jc w:val="center"/>
        <w:divId w:val="851648192"/>
        <w:rPr>
          <w:rFonts w:eastAsia="Times New Roman"/>
        </w:rPr>
      </w:pPr>
      <w:r>
        <w:rPr>
          <w:rFonts w:eastAsia="Times New Roman"/>
          <w:color w:val="000000"/>
          <w:sz w:val="20"/>
          <w:szCs w:val="20"/>
        </w:rPr>
        <w:t>85</w:t>
      </w:r>
    </w:p>
    <w:p w:rsidR="00000000" w:rsidRDefault="000C147A">
      <w:pPr>
        <w:rPr>
          <w:rFonts w:eastAsia="Times New Roman"/>
        </w:rPr>
      </w:pPr>
      <w:r>
        <w:rPr>
          <w:rFonts w:eastAsia="Times New Roman"/>
        </w:rPr>
        <w:pict>
          <v:rect id="_x0000_i1111" style="width:0;height:1.5pt" o:hralign="center" o:hrstd="t" o:hr="t" fillcolor="#a0a0a0" stroked="f"/>
        </w:pict>
      </w:r>
    </w:p>
    <w:p w:rsidR="00000000" w:rsidRDefault="000C147A">
      <w:pPr>
        <w:ind w:firstLine="360"/>
        <w:divId w:val="471948703"/>
        <w:rPr>
          <w:rFonts w:eastAsia="Times New Roman"/>
        </w:rPr>
      </w:pPr>
    </w:p>
    <w:p w:rsidR="00000000" w:rsidRDefault="000C147A">
      <w:pPr>
        <w:ind w:firstLine="360"/>
        <w:divId w:val="924072917"/>
        <w:rPr>
          <w:rFonts w:eastAsia="Times New Roman"/>
        </w:rPr>
      </w:pPr>
      <w:r>
        <w:rPr>
          <w:rFonts w:eastAsia="Times New Roman"/>
          <w:i/>
          <w:iCs/>
          <w:color w:val="000000"/>
          <w:sz w:val="20"/>
          <w:szCs w:val="20"/>
        </w:rPr>
        <w:t>First Quarter Update</w:t>
      </w:r>
    </w:p>
    <w:p w:rsidR="00000000" w:rsidRDefault="000C147A">
      <w:pPr>
        <w:ind w:firstLine="360"/>
        <w:divId w:val="1660964993"/>
        <w:rPr>
          <w:rFonts w:eastAsia="Times New Roman"/>
        </w:rPr>
      </w:pPr>
      <w:r>
        <w:rPr>
          <w:rFonts w:eastAsia="Times New Roman"/>
          <w:color w:val="000000"/>
          <w:sz w:val="20"/>
          <w:szCs w:val="20"/>
        </w:rPr>
        <w:t>In the first quarter of 2020, due to the extraordinary economic conditions driven by the COVID-19 pandemic, we updated our interest rate assumption to grade from the current interest rate environment to an ultimate five-yea</w:t>
      </w:r>
      <w:r>
        <w:rPr>
          <w:rFonts w:eastAsia="Times New Roman"/>
          <w:color w:val="000000"/>
          <w:sz w:val="20"/>
          <w:szCs w:val="20"/>
        </w:rPr>
        <w:t xml:space="preserve">r historical average over a 10-year period. As such, the 10-year U.S. Treasury yield grades from the current level to an ultimate 5-year average of 2.25%. We determined that no assumption updates were necessary in the second quarter of 2020. </w:t>
      </w:r>
    </w:p>
    <w:p w:rsidR="00000000" w:rsidRDefault="000C147A">
      <w:pPr>
        <w:ind w:firstLine="360"/>
        <w:divId w:val="110514420"/>
        <w:rPr>
          <w:rFonts w:eastAsia="Times New Roman"/>
        </w:rPr>
      </w:pPr>
      <w:r>
        <w:rPr>
          <w:rFonts w:eastAsia="Times New Roman"/>
          <w:color w:val="000000"/>
          <w:sz w:val="20"/>
          <w:szCs w:val="20"/>
        </w:rPr>
        <w:t>The low inter</w:t>
      </w:r>
      <w:r>
        <w:rPr>
          <w:rFonts w:eastAsia="Times New Roman"/>
          <w:color w:val="000000"/>
          <w:sz w:val="20"/>
          <w:szCs w:val="20"/>
        </w:rPr>
        <w:t>est rate environment and update to the interest rate assumption caused a loss recognition event for our life interest-sensitive products, as well as to certain run-off business included in Corporate and Other. This loss recognition event caused an accelera</w:t>
      </w:r>
      <w:r>
        <w:rPr>
          <w:rFonts w:eastAsia="Times New Roman"/>
          <w:color w:val="000000"/>
          <w:sz w:val="20"/>
          <w:szCs w:val="20"/>
        </w:rPr>
        <w:t>tion of DAC amortization on our life interest-sensitive products and an increase in the premium deficiency reserve on the run-off business in the first quarter of 2020.</w:t>
      </w:r>
    </w:p>
    <w:p w:rsidR="00000000" w:rsidRDefault="000C147A">
      <w:pPr>
        <w:ind w:firstLine="360"/>
        <w:divId w:val="927150702"/>
        <w:rPr>
          <w:rFonts w:eastAsia="Times New Roman"/>
        </w:rPr>
      </w:pPr>
      <w:r>
        <w:rPr>
          <w:rFonts w:eastAsia="Times New Roman"/>
          <w:color w:val="000000"/>
          <w:sz w:val="20"/>
          <w:szCs w:val="20"/>
        </w:rPr>
        <w:t>The impact of the economic assumption update in the first quarter of 2020 was a decreas</w:t>
      </w:r>
      <w:r>
        <w:rPr>
          <w:rFonts w:eastAsia="Times New Roman"/>
          <w:color w:val="000000"/>
          <w:sz w:val="20"/>
          <w:szCs w:val="20"/>
        </w:rPr>
        <w:t>e of $2.5 billion to Income (loss) from continuing operations, before income taxes and a decrease to Net income (loss) of $2.0 billion.</w:t>
      </w:r>
    </w:p>
    <w:p w:rsidR="00000000" w:rsidRDefault="000C147A">
      <w:pPr>
        <w:ind w:firstLine="360"/>
        <w:divId w:val="900796767"/>
        <w:rPr>
          <w:rFonts w:eastAsia="Times New Roman"/>
        </w:rPr>
      </w:pPr>
      <w:r>
        <w:rPr>
          <w:rFonts w:eastAsia="Times New Roman"/>
          <w:color w:val="000000"/>
          <w:sz w:val="20"/>
          <w:szCs w:val="20"/>
        </w:rPr>
        <w:t>The net impact of this assumption update on Income (loss) from continuing operations, before income taxes of $2.5 billio</w:t>
      </w:r>
      <w:r>
        <w:rPr>
          <w:rFonts w:eastAsia="Times New Roman"/>
          <w:color w:val="000000"/>
          <w:sz w:val="20"/>
          <w:szCs w:val="20"/>
        </w:rPr>
        <w:t xml:space="preserve">n consisted of an increase in Policy charges and fee income of $46 million, an increase in Policyholders’ benefits of $1.4 billion, a decrease in Interest credited to policyholders’ account balances of $6 million and an increase in the Amortization of DAC </w:t>
      </w:r>
      <w:r>
        <w:rPr>
          <w:rFonts w:eastAsia="Times New Roman"/>
          <w:color w:val="000000"/>
          <w:sz w:val="20"/>
          <w:szCs w:val="20"/>
        </w:rPr>
        <w:t>of $1.1 billion.</w:t>
      </w:r>
    </w:p>
    <w:p w:rsidR="00000000" w:rsidRDefault="000C147A">
      <w:pPr>
        <w:divId w:val="2099672266"/>
        <w:rPr>
          <w:rFonts w:eastAsia="Times New Roman"/>
        </w:rPr>
      </w:pPr>
      <w:r>
        <w:rPr>
          <w:rFonts w:eastAsia="Times New Roman"/>
          <w:b/>
          <w:bCs/>
          <w:color w:val="000000"/>
          <w:sz w:val="20"/>
          <w:szCs w:val="20"/>
        </w:rPr>
        <w:t>2019 Assumption Updates</w:t>
      </w:r>
    </w:p>
    <w:p w:rsidR="00000000" w:rsidRDefault="000C147A">
      <w:pPr>
        <w:ind w:firstLine="360"/>
        <w:divId w:val="618491804"/>
        <w:rPr>
          <w:rFonts w:eastAsia="Times New Roman"/>
        </w:rPr>
      </w:pPr>
      <w:r>
        <w:rPr>
          <w:rFonts w:eastAsia="Times New Roman"/>
          <w:color w:val="000000"/>
          <w:sz w:val="20"/>
          <w:szCs w:val="20"/>
        </w:rPr>
        <w:t>The impact of assumption updates in the third quarter of 2019 was a decrease of $1.4 billion to Income (loss) from continuing operations, before income taxes and a decrease to Net income (loss) of $1.1 billion. This</w:t>
      </w:r>
      <w:r>
        <w:rPr>
          <w:rFonts w:eastAsia="Times New Roman"/>
          <w:color w:val="000000"/>
          <w:sz w:val="20"/>
          <w:szCs w:val="20"/>
        </w:rPr>
        <w:t xml:space="preserve"> includes a $1.5 billion unfavorable impact on the reserves for our Variable annuity product features as a result of unfavorable updates to our: (i) interest rate assumptions; and (ii) policyholder behavior, primarily lapse and withdrawal assumptions, furt</w:t>
      </w:r>
      <w:r>
        <w:rPr>
          <w:rFonts w:eastAsia="Times New Roman"/>
          <w:color w:val="000000"/>
          <w:sz w:val="20"/>
          <w:szCs w:val="20"/>
        </w:rPr>
        <w:t>her magnified by low interest rates.</w:t>
      </w:r>
    </w:p>
    <w:p w:rsidR="00000000" w:rsidRDefault="000C147A">
      <w:pPr>
        <w:ind w:firstLine="360"/>
        <w:divId w:val="1712026303"/>
        <w:rPr>
          <w:rFonts w:eastAsia="Times New Roman"/>
        </w:rPr>
      </w:pPr>
      <w:r>
        <w:rPr>
          <w:rFonts w:eastAsia="Times New Roman"/>
          <w:color w:val="000000"/>
          <w:sz w:val="20"/>
          <w:szCs w:val="20"/>
        </w:rPr>
        <w:t>The net impact of these assumption updates on Income (loss) from continuing operations, before income taxes of $1.4 billion consisted of an increase in Policy charges and fee income of $3 million, an increase in Policyh</w:t>
      </w:r>
      <w:r>
        <w:rPr>
          <w:rFonts w:eastAsia="Times New Roman"/>
          <w:color w:val="000000"/>
          <w:sz w:val="20"/>
          <w:szCs w:val="20"/>
        </w:rPr>
        <w:t>olders’ benefits of $875 million, a decrease in Interest credited to policyholders’ account balances of $13 million, an increase in Net derivative losses of $578 million and a decrease in the Amortization of DAC of $46 million.</w:t>
      </w:r>
    </w:p>
    <w:p w:rsidR="00000000" w:rsidRDefault="000C147A">
      <w:pPr>
        <w:divId w:val="1055154441"/>
        <w:rPr>
          <w:rFonts w:eastAsia="Times New Roman"/>
        </w:rPr>
      </w:pPr>
      <w:r>
        <w:rPr>
          <w:rFonts w:eastAsia="Times New Roman"/>
          <w:b/>
          <w:bCs/>
          <w:color w:val="000000"/>
          <w:sz w:val="20"/>
          <w:szCs w:val="20"/>
        </w:rPr>
        <w:t>2020 Model Changes</w:t>
      </w:r>
    </w:p>
    <w:p w:rsidR="00000000" w:rsidRDefault="000C147A">
      <w:pPr>
        <w:ind w:firstLine="360"/>
        <w:divId w:val="728571523"/>
        <w:rPr>
          <w:rFonts w:eastAsia="Times New Roman"/>
        </w:rPr>
      </w:pPr>
      <w:r>
        <w:rPr>
          <w:rFonts w:eastAsia="Times New Roman"/>
          <w:color w:val="000000"/>
          <w:sz w:val="20"/>
          <w:szCs w:val="20"/>
        </w:rPr>
        <w:t>In the fi</w:t>
      </w:r>
      <w:r>
        <w:rPr>
          <w:rFonts w:eastAsia="Times New Roman"/>
          <w:color w:val="000000"/>
          <w:sz w:val="20"/>
          <w:szCs w:val="20"/>
        </w:rPr>
        <w:t>rst quarter of 2020, we adopted a new economic scenario generator to calculate the fair value of the GMIB reinsurance contract asset and GMxB derivative features liability, eliminating reliance on AXA Group for scenario production. The new economic scenari</w:t>
      </w:r>
      <w:r>
        <w:rPr>
          <w:rFonts w:eastAsia="Times New Roman"/>
          <w:color w:val="000000"/>
          <w:sz w:val="20"/>
          <w:szCs w:val="20"/>
        </w:rPr>
        <w:t>o generator allows for a tighter calibration of U.S. indices, better reflecting our actual portfolio. The net impact of the new economic scenario generator resulted in an increase in Income (loss) from continuing operations, before income taxes of $201 mil</w:t>
      </w:r>
      <w:r>
        <w:rPr>
          <w:rFonts w:eastAsia="Times New Roman"/>
          <w:color w:val="000000"/>
          <w:sz w:val="20"/>
          <w:szCs w:val="20"/>
        </w:rPr>
        <w:t>lion, and an increase to Net Income (loss) of $159 million for the nine months ended September 30, 2020.</w:t>
      </w:r>
    </w:p>
    <w:p w:rsidR="00000000" w:rsidRDefault="000C147A">
      <w:pPr>
        <w:divId w:val="321206662"/>
        <w:rPr>
          <w:rFonts w:eastAsia="Times New Roman"/>
        </w:rPr>
      </w:pPr>
      <w:r>
        <w:rPr>
          <w:rFonts w:eastAsia="Times New Roman"/>
          <w:b/>
          <w:bCs/>
          <w:color w:val="000000"/>
          <w:sz w:val="20"/>
          <w:szCs w:val="20"/>
        </w:rPr>
        <w:t>2019 Model Changes</w:t>
      </w:r>
    </w:p>
    <w:p w:rsidR="00000000" w:rsidRDefault="000C147A">
      <w:pPr>
        <w:ind w:firstLine="360"/>
        <w:divId w:val="1387680177"/>
        <w:rPr>
          <w:rFonts w:eastAsia="Times New Roman"/>
        </w:rPr>
      </w:pPr>
      <w:r>
        <w:rPr>
          <w:rFonts w:eastAsia="Times New Roman"/>
          <w:color w:val="000000"/>
          <w:sz w:val="20"/>
          <w:szCs w:val="20"/>
        </w:rPr>
        <w:t>There was no material impact from model changes during the first nine months of 2019 to our Income (loss) from continuing operations</w:t>
      </w:r>
      <w:r>
        <w:rPr>
          <w:rFonts w:eastAsia="Times New Roman"/>
          <w:color w:val="000000"/>
          <w:sz w:val="20"/>
          <w:szCs w:val="20"/>
        </w:rPr>
        <w:t>, before income taxes or Net income (loss).</w:t>
      </w:r>
    </w:p>
    <w:p w:rsidR="00000000" w:rsidRDefault="000C147A">
      <w:pPr>
        <w:divId w:val="576090896"/>
        <w:rPr>
          <w:rFonts w:eastAsia="Times New Roman"/>
        </w:rPr>
      </w:pPr>
      <w:r>
        <w:rPr>
          <w:rFonts w:eastAsia="Times New Roman"/>
          <w:i/>
          <w:iCs/>
          <w:color w:val="000000"/>
          <w:sz w:val="20"/>
          <w:szCs w:val="20"/>
          <w:u w:val="single"/>
        </w:rPr>
        <w:t>Impact of Assumption Updates and Model Changes on Pre-tax Non-GAAP Operating Earnings Adjustments</w:t>
      </w:r>
    </w:p>
    <w:p w:rsidR="00000000" w:rsidRDefault="000C147A">
      <w:pPr>
        <w:ind w:firstLine="360"/>
        <w:divId w:val="1586256992"/>
        <w:rPr>
          <w:rFonts w:eastAsia="Times New Roman"/>
        </w:rPr>
      </w:pPr>
      <w:r>
        <w:rPr>
          <w:rFonts w:eastAsia="Times New Roman"/>
          <w:color w:val="000000"/>
          <w:sz w:val="20"/>
          <w:szCs w:val="20"/>
        </w:rPr>
        <w:t>The table below presents the impact of our actuarial assumption updates during the first nine months of 2020 and 2019 on segment revenues, benefits and other deductions, and Corporate and Other. There was no material impact from model changes during the th</w:t>
      </w:r>
      <w:r>
        <w:rPr>
          <w:rFonts w:eastAsia="Times New Roman"/>
          <w:color w:val="000000"/>
          <w:sz w:val="20"/>
          <w:szCs w:val="20"/>
        </w:rPr>
        <w:t>ird quarter of 2020 or 2019 on segment revenues, benefits and other deductions, and Corporate and Other.</w:t>
      </w:r>
    </w:p>
    <w:p w:rsidR="00000000" w:rsidRDefault="000C147A">
      <w:pPr>
        <w:jc w:val="center"/>
        <w:divId w:val="2049329773"/>
        <w:rPr>
          <w:rFonts w:eastAsia="Times New Roman"/>
        </w:rPr>
      </w:pPr>
      <w:r>
        <w:rPr>
          <w:rFonts w:eastAsia="Times New Roman"/>
          <w:color w:val="000000"/>
          <w:sz w:val="20"/>
          <w:szCs w:val="20"/>
        </w:rPr>
        <w:t>86</w:t>
      </w:r>
    </w:p>
    <w:p w:rsidR="00000000" w:rsidRDefault="000C147A">
      <w:pPr>
        <w:rPr>
          <w:rFonts w:eastAsia="Times New Roman"/>
        </w:rPr>
      </w:pPr>
      <w:r>
        <w:rPr>
          <w:rFonts w:eastAsia="Times New Roman"/>
        </w:rPr>
        <w:pict>
          <v:rect id="_x0000_i1112" style="width:0;height:1.5pt" o:hralign="center" o:hrstd="t" o:hr="t" fillcolor="#a0a0a0" stroked="f"/>
        </w:pict>
      </w:r>
    </w:p>
    <w:p w:rsidR="00000000" w:rsidRDefault="000C147A">
      <w:pPr>
        <w:ind w:firstLine="360"/>
        <w:divId w:val="17052132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21"/>
        <w:gridCol w:w="37"/>
        <w:gridCol w:w="36"/>
        <w:gridCol w:w="36"/>
        <w:gridCol w:w="36"/>
        <w:gridCol w:w="120"/>
        <w:gridCol w:w="1386"/>
        <w:gridCol w:w="36"/>
        <w:gridCol w:w="36"/>
        <w:gridCol w:w="36"/>
        <w:gridCol w:w="36"/>
        <w:gridCol w:w="120"/>
        <w:gridCol w:w="1396"/>
        <w:gridCol w:w="36"/>
      </w:tblGrid>
      <w:tr w:rsidR="00000000">
        <w:trPr>
          <w:divId w:val="1520046929"/>
        </w:trPr>
        <w:tc>
          <w:tcPr>
            <w:tcW w:w="50" w:type="pct"/>
            <w:vAlign w:val="center"/>
            <w:hideMark/>
          </w:tcPr>
          <w:p w:rsidR="00000000" w:rsidRDefault="000C147A">
            <w:pPr>
              <w:ind w:firstLine="360"/>
              <w:rPr>
                <w:rFonts w:eastAsia="Times New Roman"/>
              </w:rPr>
            </w:pPr>
          </w:p>
        </w:tc>
        <w:tc>
          <w:tcPr>
            <w:tcW w:w="300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4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52004692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(1)</w:t>
            </w:r>
          </w:p>
        </w:tc>
      </w:tr>
      <w:tr w:rsidR="00000000">
        <w:trPr>
          <w:divId w:val="152004692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52004692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w:t>
            </w:r>
          </w:p>
        </w:tc>
      </w:tr>
      <w:tr w:rsidR="00000000">
        <w:trPr>
          <w:divId w:val="152004692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Impact of assumption updates by segment: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520046929"/>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Individual Retirement</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20046929"/>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Group Retirement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20046929"/>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Protection Solutions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2004692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Impact of assumption updates on Corporate and Other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52004692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impact on pre-tax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270"/>
        <w:divId w:val="148717117"/>
        <w:rPr>
          <w:rFonts w:eastAsia="Times New Roman"/>
        </w:rPr>
      </w:pPr>
      <w:r>
        <w:rPr>
          <w:rFonts w:eastAsia="Times New Roman"/>
          <w:color w:val="000000"/>
          <w:sz w:val="18"/>
          <w:szCs w:val="18"/>
        </w:rPr>
        <w:t xml:space="preserve">(1) The amounts for the three months and the nine months ended September 30 of each year represented the same amounts. The first quarter 2020 assumption update did not impact Non-GAAP Operating Earnings and we only had our third quarter annual updates for </w:t>
      </w:r>
      <w:r>
        <w:rPr>
          <w:rFonts w:eastAsia="Times New Roman"/>
          <w:color w:val="000000"/>
          <w:sz w:val="18"/>
          <w:szCs w:val="18"/>
        </w:rPr>
        <w:t xml:space="preserve">2019. </w:t>
      </w:r>
    </w:p>
    <w:p w:rsidR="00000000" w:rsidRDefault="000C147A">
      <w:pPr>
        <w:divId w:val="1468890759"/>
        <w:rPr>
          <w:rFonts w:eastAsia="Times New Roman"/>
        </w:rPr>
      </w:pPr>
      <w:r>
        <w:rPr>
          <w:rFonts w:eastAsia="Times New Roman"/>
          <w:b/>
          <w:bCs/>
          <w:color w:val="000000"/>
          <w:sz w:val="20"/>
          <w:szCs w:val="20"/>
        </w:rPr>
        <w:t>2020 Assumption Updates</w:t>
      </w:r>
    </w:p>
    <w:p w:rsidR="00000000" w:rsidRDefault="000C147A">
      <w:pPr>
        <w:ind w:firstLine="360"/>
        <w:divId w:val="663557409"/>
        <w:rPr>
          <w:rFonts w:eastAsia="Times New Roman"/>
        </w:rPr>
      </w:pPr>
      <w:r>
        <w:rPr>
          <w:rFonts w:eastAsia="Times New Roman"/>
          <w:color w:val="000000"/>
          <w:sz w:val="20"/>
          <w:szCs w:val="20"/>
        </w:rPr>
        <w:t>The impact of our 2020 annual review on Non-GAAP Operating Earnings was unfavorable by $39 million before taking into consideration the tax impacts or $31 million after tax.For the Individual Retirement segment, the impacts p</w:t>
      </w:r>
      <w:r>
        <w:rPr>
          <w:rFonts w:eastAsia="Times New Roman"/>
          <w:color w:val="000000"/>
          <w:sz w:val="20"/>
          <w:szCs w:val="20"/>
        </w:rPr>
        <w:t>rimarily reflect higher surrenders at the end of the surrender charge period on Retirement Cornerstone policies. The impact of our 2020 annual review was not material for our Group Retirement and Protection Solutions segments.</w:t>
      </w:r>
    </w:p>
    <w:p w:rsidR="00000000" w:rsidRDefault="000C147A">
      <w:pPr>
        <w:ind w:firstLine="360"/>
        <w:divId w:val="743987568"/>
        <w:rPr>
          <w:rFonts w:eastAsia="Times New Roman"/>
        </w:rPr>
      </w:pPr>
      <w:r>
        <w:rPr>
          <w:rFonts w:eastAsia="Times New Roman"/>
          <w:color w:val="000000"/>
          <w:sz w:val="20"/>
          <w:szCs w:val="20"/>
        </w:rPr>
        <w:t xml:space="preserve">The net impact of assumption </w:t>
      </w:r>
      <w:r>
        <w:rPr>
          <w:rFonts w:eastAsia="Times New Roman"/>
          <w:color w:val="000000"/>
          <w:sz w:val="20"/>
          <w:szCs w:val="20"/>
        </w:rPr>
        <w:t>changes on Non-GAAP Operating Earnings in the third quarter of 2020 decreased Policy charges and fee income by $23 million, increased Policyholder’ benefits by $46 million, increased Interest credited to policyholders’ account balances by $5 million and de</w:t>
      </w:r>
      <w:r>
        <w:rPr>
          <w:rFonts w:eastAsia="Times New Roman"/>
          <w:color w:val="000000"/>
          <w:sz w:val="20"/>
          <w:szCs w:val="20"/>
        </w:rPr>
        <w:t xml:space="preserve">creased Amortization of DAC by $35 million. Non-GAAP Operating Earnings excludes items related to Variable annuity product features and impact of COVID 19, such as changes in the fair value of the embedded derivatives associated with the GMIBNLG liability </w:t>
      </w:r>
      <w:r>
        <w:rPr>
          <w:rFonts w:eastAsia="Times New Roman"/>
          <w:color w:val="000000"/>
          <w:sz w:val="20"/>
          <w:szCs w:val="20"/>
        </w:rPr>
        <w:t xml:space="preserve">and the effect of benefit ratio unlock adjustments. </w:t>
      </w:r>
    </w:p>
    <w:p w:rsidR="00000000" w:rsidRDefault="000C147A">
      <w:pPr>
        <w:divId w:val="785349706"/>
        <w:rPr>
          <w:rFonts w:eastAsia="Times New Roman"/>
        </w:rPr>
      </w:pPr>
      <w:r>
        <w:rPr>
          <w:rFonts w:eastAsia="Times New Roman"/>
          <w:b/>
          <w:bCs/>
          <w:color w:val="000000"/>
          <w:sz w:val="20"/>
          <w:szCs w:val="20"/>
        </w:rPr>
        <w:t>2019 Assumption Updates</w:t>
      </w:r>
    </w:p>
    <w:p w:rsidR="00000000" w:rsidRDefault="000C147A">
      <w:pPr>
        <w:ind w:firstLine="360"/>
        <w:divId w:val="1043284862"/>
        <w:rPr>
          <w:rFonts w:eastAsia="Times New Roman"/>
        </w:rPr>
      </w:pPr>
      <w:r>
        <w:rPr>
          <w:rFonts w:eastAsia="Times New Roman"/>
          <w:color w:val="000000"/>
          <w:sz w:val="20"/>
          <w:szCs w:val="20"/>
        </w:rPr>
        <w:t>The impact of our 2019 annual review on Non-GAAP Operating Earnings was favorable by $60 million, or $76 million before taking into consideration the tax impacts.</w:t>
      </w:r>
    </w:p>
    <w:p w:rsidR="00000000" w:rsidRDefault="000C147A">
      <w:pPr>
        <w:ind w:hanging="360"/>
        <w:jc w:val="both"/>
        <w:divId w:val="1710569597"/>
        <w:rPr>
          <w:rFonts w:eastAsia="Times New Roman"/>
        </w:rPr>
      </w:pPr>
      <w:r>
        <w:rPr>
          <w:rFonts w:eastAsia="Times New Roman"/>
          <w:color w:val="000000"/>
          <w:sz w:val="20"/>
          <w:szCs w:val="20"/>
        </w:rPr>
        <w:t>•For the Individual Retirement segment, the impacts primarily reflect favorable updates to Am</w:t>
      </w:r>
      <w:r>
        <w:rPr>
          <w:rFonts w:eastAsia="Times New Roman"/>
          <w:color w:val="000000"/>
          <w:sz w:val="20"/>
          <w:szCs w:val="20"/>
        </w:rPr>
        <w:t>ortization of DAC from lower lapse assumptions.</w:t>
      </w:r>
    </w:p>
    <w:p w:rsidR="00000000" w:rsidRDefault="000C147A">
      <w:pPr>
        <w:ind w:hanging="360"/>
        <w:jc w:val="both"/>
        <w:divId w:val="949118966"/>
        <w:rPr>
          <w:rFonts w:eastAsia="Times New Roman"/>
        </w:rPr>
      </w:pPr>
      <w:r>
        <w:rPr>
          <w:rFonts w:eastAsia="Times New Roman"/>
          <w:color w:val="000000"/>
          <w:sz w:val="20"/>
          <w:szCs w:val="20"/>
        </w:rPr>
        <w:t>•For the Group Retirement segment, the impacts primarily reflect a favorable update to maintenance expenses.</w:t>
      </w:r>
    </w:p>
    <w:p w:rsidR="00000000" w:rsidRDefault="000C147A">
      <w:pPr>
        <w:ind w:hanging="360"/>
        <w:divId w:val="2129928473"/>
        <w:rPr>
          <w:rFonts w:eastAsia="Times New Roman"/>
        </w:rPr>
      </w:pPr>
      <w:r>
        <w:rPr>
          <w:rFonts w:eastAsia="Times New Roman"/>
          <w:color w:val="000000"/>
          <w:sz w:val="20"/>
          <w:szCs w:val="20"/>
        </w:rPr>
        <w:t>•For the Protection Solutions segment, the results primarily reflect unfavorable updates to mortali</w:t>
      </w:r>
      <w:r>
        <w:rPr>
          <w:rFonts w:eastAsia="Times New Roman"/>
          <w:color w:val="000000"/>
          <w:sz w:val="20"/>
          <w:szCs w:val="20"/>
        </w:rPr>
        <w:t>ty and economic assumptions, partially offset by a favorable update to maintenance expenses.</w:t>
      </w:r>
    </w:p>
    <w:p w:rsidR="00000000" w:rsidRDefault="000C147A">
      <w:pPr>
        <w:ind w:firstLine="360"/>
        <w:divId w:val="1181242863"/>
        <w:rPr>
          <w:rFonts w:eastAsia="Times New Roman"/>
        </w:rPr>
      </w:pPr>
      <w:r>
        <w:rPr>
          <w:rFonts w:eastAsia="Times New Roman"/>
          <w:color w:val="000000"/>
          <w:sz w:val="20"/>
          <w:szCs w:val="20"/>
        </w:rPr>
        <w:t>Non-GAAP Operating Earnings excludes items related to Variable annuity product features, such as changes in the fair value of the embedded derivatives associated w</w:t>
      </w:r>
      <w:r>
        <w:rPr>
          <w:rFonts w:eastAsia="Times New Roman"/>
          <w:color w:val="000000"/>
          <w:sz w:val="20"/>
          <w:szCs w:val="20"/>
        </w:rPr>
        <w:t>ith the GMIBNLG liability and the effect of benefit ratio unlock adjustments. The net impact of assumption changes on Non-GAAP Operating Earnings in the third quarter of 2019 increased Policy charges and fee income by $3 million, decreased Policyholder’ be</w:t>
      </w:r>
      <w:r>
        <w:rPr>
          <w:rFonts w:eastAsia="Times New Roman"/>
          <w:color w:val="000000"/>
          <w:sz w:val="20"/>
          <w:szCs w:val="20"/>
        </w:rPr>
        <w:t>nefits by $15 million, decreased Interest credited to policyholders’ account balances by $13 million and decreased Amortization of DAC by $46 million.</w:t>
      </w:r>
    </w:p>
    <w:p w:rsidR="00000000" w:rsidRDefault="000C147A">
      <w:pPr>
        <w:divId w:val="1351300739"/>
        <w:rPr>
          <w:rFonts w:eastAsia="Times New Roman"/>
        </w:rPr>
      </w:pPr>
      <w:r>
        <w:rPr>
          <w:rFonts w:eastAsia="Times New Roman"/>
          <w:i/>
          <w:iCs/>
          <w:color w:val="000000"/>
          <w:sz w:val="20"/>
          <w:szCs w:val="20"/>
          <w:u w:val="single"/>
        </w:rPr>
        <w:t>Impact of the First Quarter 2020 Assumption Update, and COVID-19 Impacts on Pre-tax Non-GAAP Operating Ea</w:t>
      </w:r>
      <w:r>
        <w:rPr>
          <w:rFonts w:eastAsia="Times New Roman"/>
          <w:i/>
          <w:iCs/>
          <w:color w:val="000000"/>
          <w:sz w:val="20"/>
          <w:szCs w:val="20"/>
          <w:u w:val="single"/>
        </w:rPr>
        <w:t>rnings Adjustments</w:t>
      </w:r>
    </w:p>
    <w:p w:rsidR="00000000" w:rsidRDefault="000C147A">
      <w:pPr>
        <w:ind w:firstLine="360"/>
        <w:divId w:val="1154101466"/>
        <w:rPr>
          <w:rFonts w:eastAsia="Times New Roman"/>
        </w:rPr>
      </w:pPr>
      <w:r>
        <w:rPr>
          <w:rFonts w:eastAsia="Times New Roman"/>
          <w:color w:val="000000"/>
          <w:sz w:val="20"/>
          <w:szCs w:val="20"/>
        </w:rPr>
        <w:t>The unprecedented and rapid spread of COVID-19 and the related restrictions and social distancing measures implemented throughout the world have caused severe, lasting turmoil in the financial markets during the first six months of 2020.</w:t>
      </w:r>
      <w:r>
        <w:rPr>
          <w:rFonts w:eastAsia="Times New Roman"/>
          <w:color w:val="000000"/>
          <w:sz w:val="20"/>
          <w:szCs w:val="20"/>
        </w:rPr>
        <w:t xml:space="preserve"> </w:t>
      </w:r>
    </w:p>
    <w:p w:rsidR="00000000" w:rsidRDefault="000C147A">
      <w:pPr>
        <w:ind w:firstLine="360"/>
        <w:divId w:val="1104495631"/>
        <w:rPr>
          <w:rFonts w:eastAsia="Times New Roman"/>
        </w:rPr>
      </w:pPr>
      <w:r>
        <w:rPr>
          <w:rFonts w:eastAsia="Times New Roman"/>
          <w:color w:val="000000"/>
          <w:sz w:val="20"/>
          <w:szCs w:val="20"/>
        </w:rPr>
        <w:t>The Company’s accounting policy governing its Non-GAAP Operating Earnings measure permits adjustments to Non-GAAP Operating Earnings if certain criteria are met, which include if the proposed adjustment relates to a non-recurring event or transaction. Ma</w:t>
      </w:r>
      <w:r>
        <w:rPr>
          <w:rFonts w:eastAsia="Times New Roman"/>
          <w:color w:val="000000"/>
          <w:sz w:val="20"/>
          <w:szCs w:val="20"/>
        </w:rPr>
        <w:t>nagement concluded that all impacts on the Company from the COVID-19 pandemic and its effects on the economy meet the indicators of a non-recurring event. Therefore, management has determined that the items set forth in the table below should be included a</w:t>
      </w:r>
      <w:r>
        <w:rPr>
          <w:rFonts w:eastAsia="Times New Roman"/>
          <w:color w:val="000000"/>
          <w:sz w:val="20"/>
          <w:szCs w:val="20"/>
        </w:rPr>
        <w:t xml:space="preserve">s adjustments to the Non-GAAP Operating Earnings measure so that investors can more clearly see the delineation between the operating results of the Company’s core operations and the impact of the items specific to the current COVID-19 pandemic crisis. </w:t>
      </w:r>
    </w:p>
    <w:p w:rsidR="00000000" w:rsidRDefault="000C147A">
      <w:pPr>
        <w:jc w:val="center"/>
        <w:divId w:val="463816398"/>
        <w:rPr>
          <w:rFonts w:eastAsia="Times New Roman"/>
        </w:rPr>
      </w:pPr>
      <w:r>
        <w:rPr>
          <w:rFonts w:eastAsia="Times New Roman"/>
          <w:color w:val="000000"/>
          <w:sz w:val="20"/>
          <w:szCs w:val="20"/>
        </w:rPr>
        <w:t>87</w:t>
      </w:r>
    </w:p>
    <w:p w:rsidR="00000000" w:rsidRDefault="000C147A">
      <w:pPr>
        <w:rPr>
          <w:rFonts w:eastAsia="Times New Roman"/>
        </w:rPr>
      </w:pPr>
      <w:r>
        <w:rPr>
          <w:rFonts w:eastAsia="Times New Roman"/>
        </w:rPr>
        <w:pict>
          <v:rect id="_x0000_i1113" style="width:0;height:1.5pt" o:hralign="center" o:hrstd="t" o:hr="t" fillcolor="#a0a0a0" stroked="f"/>
        </w:pict>
      </w:r>
    </w:p>
    <w:p w:rsidR="00000000" w:rsidRDefault="000C147A">
      <w:pPr>
        <w:ind w:firstLine="360"/>
        <w:divId w:val="1830825044"/>
        <w:rPr>
          <w:rFonts w:eastAsia="Times New Roman"/>
        </w:rPr>
      </w:pPr>
    </w:p>
    <w:p w:rsidR="00000000" w:rsidRDefault="000C147A">
      <w:pPr>
        <w:ind w:firstLine="360"/>
        <w:divId w:val="988169166"/>
        <w:rPr>
          <w:rFonts w:eastAsia="Times New Roman"/>
        </w:rPr>
      </w:pPr>
      <w:r>
        <w:rPr>
          <w:rFonts w:eastAsia="Times New Roman"/>
          <w:color w:val="000000"/>
          <w:sz w:val="20"/>
          <w:szCs w:val="20"/>
        </w:rPr>
        <w:t>The table below presents the impact of COVID-19 related impacts on Income (loss) from continuing operations, before income taxes which all occurred during the first six months of 2020 by segment and Corporate and Oth</w:t>
      </w:r>
      <w:r>
        <w:rPr>
          <w:rFonts w:eastAsia="Times New Roman"/>
          <w:color w:val="000000"/>
          <w:sz w:val="20"/>
          <w:szCs w:val="20"/>
        </w:rPr>
        <w:t>er, and the COVID-19-related adjustments included in the reconciliation of Net Income (loss) attributable to Holdings to Non-GAAP Operating Earnings:</w:t>
      </w:r>
    </w:p>
    <w:tbl>
      <w:tblPr>
        <w:tblW w:w="4744" w:type="pct"/>
        <w:tblCellMar>
          <w:top w:w="15" w:type="dxa"/>
          <w:left w:w="15" w:type="dxa"/>
          <w:bottom w:w="15" w:type="dxa"/>
          <w:right w:w="15" w:type="dxa"/>
        </w:tblCellMar>
        <w:tblLook w:val="04A0" w:firstRow="1" w:lastRow="0" w:firstColumn="1" w:lastColumn="0" w:noHBand="0" w:noVBand="1"/>
      </w:tblPr>
      <w:tblGrid>
        <w:gridCol w:w="40"/>
        <w:gridCol w:w="4952"/>
        <w:gridCol w:w="39"/>
        <w:gridCol w:w="121"/>
        <w:gridCol w:w="774"/>
        <w:gridCol w:w="37"/>
        <w:gridCol w:w="36"/>
        <w:gridCol w:w="36"/>
        <w:gridCol w:w="36"/>
        <w:gridCol w:w="121"/>
        <w:gridCol w:w="775"/>
        <w:gridCol w:w="36"/>
        <w:gridCol w:w="36"/>
        <w:gridCol w:w="36"/>
        <w:gridCol w:w="36"/>
        <w:gridCol w:w="120"/>
        <w:gridCol w:w="614"/>
        <w:gridCol w:w="36"/>
      </w:tblGrid>
      <w:tr w:rsidR="00000000">
        <w:trPr>
          <w:divId w:val="612172998"/>
        </w:trPr>
        <w:tc>
          <w:tcPr>
            <w:tcW w:w="50" w:type="pct"/>
            <w:vAlign w:val="center"/>
            <w:hideMark/>
          </w:tcPr>
          <w:p w:rsidR="00000000" w:rsidRDefault="000C147A">
            <w:pPr>
              <w:ind w:firstLine="360"/>
              <w:rPr>
                <w:rFonts w:eastAsia="Times New Roman"/>
              </w:rPr>
            </w:pPr>
          </w:p>
        </w:tc>
        <w:tc>
          <w:tcPr>
            <w:tcW w:w="31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12172998"/>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217299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 2020</w:t>
            </w:r>
          </w:p>
        </w:tc>
      </w:tr>
      <w:tr w:rsidR="00000000">
        <w:trPr>
          <w:divId w:val="61217299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COVID-19 Impacts</w:t>
            </w:r>
          </w:p>
        </w:tc>
      </w:tr>
      <w:tr w:rsidR="00000000">
        <w:trPr>
          <w:divId w:val="61217299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w:t>
            </w:r>
          </w:p>
        </w:tc>
      </w:tr>
      <w:tr w:rsidR="00000000">
        <w:trPr>
          <w:divId w:val="61217299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12172998"/>
        </w:trPr>
        <w:tc>
          <w:tcPr>
            <w:tcW w:w="0" w:type="auto"/>
            <w:gridSpan w:val="3"/>
            <w:tcMar>
              <w:top w:w="30" w:type="dxa"/>
              <w:left w:w="20" w:type="dxa"/>
              <w:bottom w:w="30" w:type="dxa"/>
              <w:right w:w="20" w:type="dxa"/>
            </w:tcMar>
            <w:vAlign w:val="bottom"/>
            <w:hideMark/>
          </w:tcPr>
          <w:p w:rsidR="00000000" w:rsidRDefault="000C147A">
            <w:pPr>
              <w:divId w:val="1527407480"/>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2172998"/>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Individual Retirement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divId w:val="326247438"/>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divId w:val="1012949568"/>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divId w:val="1273899563"/>
              <w:rPr>
                <w:rFonts w:eastAsia="Times New Roman"/>
              </w:rPr>
            </w:pPr>
          </w:p>
        </w:tc>
      </w:tr>
      <w:tr w:rsidR="00000000">
        <w:trPr>
          <w:divId w:val="61217299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12172998"/>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Variable annuities product features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(1,135)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12172998"/>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90"/>
        <w:divId w:val="712728796"/>
        <w:rPr>
          <w:rFonts w:eastAsia="Times New Roman"/>
        </w:rPr>
      </w:pPr>
      <w:r>
        <w:rPr>
          <w:rFonts w:eastAsia="Times New Roman"/>
          <w:color w:val="000000"/>
          <w:sz w:val="18"/>
          <w:szCs w:val="18"/>
        </w:rPr>
        <w:t>_______________</w:t>
      </w:r>
    </w:p>
    <w:p w:rsidR="00000000" w:rsidRDefault="000C147A">
      <w:pPr>
        <w:ind w:hanging="180"/>
        <w:divId w:val="33435354"/>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 and accelerated amortization of DAC due to loss recognition in the first half of 2020 re</w:t>
      </w:r>
      <w:r>
        <w:rPr>
          <w:rFonts w:eastAsia="Times New Roman"/>
          <w:color w:val="000000"/>
          <w:sz w:val="18"/>
          <w:szCs w:val="18"/>
        </w:rPr>
        <w:t>sulting from the first quarter 2020 interest rate assumption update.</w:t>
      </w:r>
    </w:p>
    <w:p w:rsidR="00000000" w:rsidRDefault="000C147A">
      <w:pPr>
        <w:ind w:firstLine="360"/>
        <w:divId w:val="131678685"/>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w:t>
      </w:r>
      <w:r>
        <w:rPr>
          <w:rFonts w:eastAsia="Times New Roman"/>
          <w:color w:val="000000"/>
          <w:sz w:val="20"/>
          <w:szCs w:val="20"/>
        </w:rPr>
        <w:t>s) attributable to Holdings to Non-GAAP Operating Earnings. All other adjustments are included in “Other”. This impact has been more than offset by hedging gains.</w:t>
      </w:r>
    </w:p>
    <w:p w:rsidR="00000000" w:rsidRDefault="000C147A">
      <w:pPr>
        <w:divId w:val="1504928255"/>
        <w:rPr>
          <w:rFonts w:eastAsia="Times New Roman"/>
        </w:rPr>
      </w:pPr>
      <w:r>
        <w:rPr>
          <w:rFonts w:eastAsia="Times New Roman"/>
          <w:b/>
          <w:bCs/>
          <w:color w:val="000000"/>
          <w:sz w:val="20"/>
          <w:szCs w:val="20"/>
        </w:rPr>
        <w:t xml:space="preserve">Macroeconomic and Industry Trends </w:t>
      </w:r>
    </w:p>
    <w:p w:rsidR="00000000" w:rsidRDefault="000C147A">
      <w:pPr>
        <w:ind w:firstLine="360"/>
        <w:divId w:val="658189335"/>
        <w:rPr>
          <w:rFonts w:eastAsia="Times New Roman"/>
        </w:rPr>
      </w:pPr>
      <w:r>
        <w:rPr>
          <w:rFonts w:eastAsia="Times New Roman"/>
          <w:color w:val="000000"/>
          <w:sz w:val="20"/>
          <w:szCs w:val="20"/>
        </w:rPr>
        <w:t>Our business and consolidated results of operations are si</w:t>
      </w:r>
      <w:r>
        <w:rPr>
          <w:rFonts w:eastAsia="Times New Roman"/>
          <w:color w:val="000000"/>
          <w:sz w:val="20"/>
          <w:szCs w:val="20"/>
        </w:rPr>
        <w:t xml:space="preserve">gnificantly affected by economic conditions and consumer confidence, conditions in the global capital markets and the interest rate environment. </w:t>
      </w:r>
    </w:p>
    <w:p w:rsidR="00000000" w:rsidRDefault="000C147A">
      <w:pPr>
        <w:jc w:val="both"/>
        <w:divId w:val="14426469"/>
        <w:rPr>
          <w:rFonts w:eastAsia="Times New Roman"/>
        </w:rPr>
      </w:pPr>
      <w:r>
        <w:rPr>
          <w:rFonts w:eastAsia="Times New Roman"/>
          <w:b/>
          <w:bCs/>
          <w:i/>
          <w:iCs/>
          <w:color w:val="000000"/>
          <w:sz w:val="20"/>
          <w:szCs w:val="20"/>
        </w:rPr>
        <w:t xml:space="preserve">Financial and Economic Environment </w:t>
      </w:r>
    </w:p>
    <w:p w:rsidR="00000000" w:rsidRDefault="000C147A">
      <w:pPr>
        <w:ind w:firstLine="360"/>
        <w:divId w:val="626278982"/>
        <w:rPr>
          <w:rFonts w:eastAsia="Times New Roman"/>
        </w:rPr>
      </w:pPr>
      <w:r>
        <w:rPr>
          <w:rFonts w:eastAsia="Times New Roman"/>
          <w:color w:val="000000"/>
          <w:sz w:val="20"/>
          <w:szCs w:val="20"/>
        </w:rPr>
        <w:t>In the face of the ongoing pandemic, financial markets continued to experi</w:t>
      </w:r>
      <w:r>
        <w:rPr>
          <w:rFonts w:eastAsia="Times New Roman"/>
          <w:color w:val="000000"/>
          <w:sz w:val="20"/>
          <w:szCs w:val="20"/>
        </w:rPr>
        <w:t>ence significant volatility and unemployment levels remained high during the third quarter. Although the financial market recovered most of the first quarter losses in the months since, the prospect of continued volatility remains, especially given the unc</w:t>
      </w:r>
      <w:r>
        <w:rPr>
          <w:rFonts w:eastAsia="Times New Roman"/>
          <w:color w:val="000000"/>
          <w:sz w:val="20"/>
          <w:szCs w:val="20"/>
        </w:rPr>
        <w:t>ertainty surrounding continued civil unrest across the U.S. centered around racial inequality, the presidential and congressional election and the continued economic effects of the virus. Stressed conditions, volatility and disruptions in the capital marke</w:t>
      </w:r>
      <w:r>
        <w:rPr>
          <w:rFonts w:eastAsia="Times New Roman"/>
          <w:color w:val="000000"/>
          <w:sz w:val="20"/>
          <w:szCs w:val="20"/>
        </w:rPr>
        <w:t>ts, particular markets, or financial asset classes can have an adverse effect on us, in part because we have a large investment portfolio and our insurance liabilities and derivatives are sensitive to changing market factors. An increase in market volatili</w:t>
      </w:r>
      <w:r>
        <w:rPr>
          <w:rFonts w:eastAsia="Times New Roman"/>
          <w:color w:val="000000"/>
          <w:sz w:val="20"/>
          <w:szCs w:val="20"/>
        </w:rPr>
        <w:t>ty could continue to affect our business, including through effects on the yields we earn on invested assets, changes in required reserves and capital and fluctuations in the value of our AUM, AV or AUA from which we derive our fee income. These effects co</w:t>
      </w:r>
      <w:r>
        <w:rPr>
          <w:rFonts w:eastAsia="Times New Roman"/>
          <w:color w:val="000000"/>
          <w:sz w:val="20"/>
          <w:szCs w:val="20"/>
        </w:rPr>
        <w:t xml:space="preserve">uld be exacerbated by uncertainty about future fiscal policy, changes in tax policy, the scope of potential deregulation and levels of global trade. </w:t>
      </w:r>
    </w:p>
    <w:p w:rsidR="00000000" w:rsidRDefault="000C147A">
      <w:pPr>
        <w:ind w:firstLine="360"/>
        <w:divId w:val="237713746"/>
        <w:rPr>
          <w:rFonts w:eastAsia="Times New Roman"/>
        </w:rPr>
      </w:pPr>
      <w:r>
        <w:rPr>
          <w:rFonts w:eastAsia="Times New Roman"/>
          <w:color w:val="000000"/>
          <w:sz w:val="20"/>
          <w:szCs w:val="20"/>
        </w:rPr>
        <w:t>The potential for increased volatility, coupled with prevailing interest rates continuing to fall and/or r</w:t>
      </w:r>
      <w:r>
        <w:rPr>
          <w:rFonts w:eastAsia="Times New Roman"/>
          <w:color w:val="000000"/>
          <w:sz w:val="20"/>
          <w:szCs w:val="20"/>
        </w:rPr>
        <w:t>emaining below historical averages, could pressure sales and reduce demand for our products as consumers consider purchasing alternative products to meet their objectives. In addition, this environment could make it difficult to consistently develop produc</w:t>
      </w:r>
      <w:r>
        <w:rPr>
          <w:rFonts w:eastAsia="Times New Roman"/>
          <w:color w:val="000000"/>
          <w:sz w:val="20"/>
          <w:szCs w:val="20"/>
        </w:rPr>
        <w:t>ts that are attractive to customers. Financial performance can be adversely affected by market volatility and equity market declines as fees driven by AV and AUM fluctuate, hedging costs increase and revenues decline due to reduced sales and increased outf</w:t>
      </w:r>
      <w:r>
        <w:rPr>
          <w:rFonts w:eastAsia="Times New Roman"/>
          <w:color w:val="000000"/>
          <w:sz w:val="20"/>
          <w:szCs w:val="20"/>
        </w:rPr>
        <w:t xml:space="preserve">lows. </w:t>
      </w:r>
    </w:p>
    <w:p w:rsidR="00000000" w:rsidRDefault="000C147A">
      <w:pPr>
        <w:jc w:val="center"/>
        <w:divId w:val="211768538"/>
        <w:rPr>
          <w:rFonts w:eastAsia="Times New Roman"/>
        </w:rPr>
      </w:pPr>
      <w:r>
        <w:rPr>
          <w:rFonts w:eastAsia="Times New Roman"/>
          <w:color w:val="000000"/>
          <w:sz w:val="20"/>
          <w:szCs w:val="20"/>
        </w:rPr>
        <w:t>88</w:t>
      </w:r>
    </w:p>
    <w:p w:rsidR="00000000" w:rsidRDefault="000C147A">
      <w:pPr>
        <w:rPr>
          <w:rFonts w:eastAsia="Times New Roman"/>
        </w:rPr>
      </w:pPr>
      <w:r>
        <w:rPr>
          <w:rFonts w:eastAsia="Times New Roman"/>
        </w:rPr>
        <w:pict>
          <v:rect id="_x0000_i1114" style="width:0;height:1.5pt" o:hralign="center" o:hrstd="t" o:hr="t" fillcolor="#a0a0a0" stroked="f"/>
        </w:pict>
      </w:r>
    </w:p>
    <w:p w:rsidR="00000000" w:rsidRDefault="000C147A">
      <w:pPr>
        <w:ind w:firstLine="360"/>
        <w:divId w:val="1237285002"/>
        <w:rPr>
          <w:rFonts w:eastAsia="Times New Roman"/>
        </w:rPr>
      </w:pPr>
    </w:p>
    <w:p w:rsidR="00000000" w:rsidRDefault="000C147A">
      <w:pPr>
        <w:ind w:firstLine="360"/>
        <w:divId w:val="1985046080"/>
        <w:rPr>
          <w:rFonts w:eastAsia="Times New Roman"/>
        </w:rPr>
      </w:pPr>
      <w:r>
        <w:rPr>
          <w:rFonts w:eastAsia="Times New Roman"/>
          <w:color w:val="000000"/>
          <w:sz w:val="20"/>
          <w:szCs w:val="20"/>
        </w:rPr>
        <w:t>We monitor the behavior of our customers and other factors, including mortality rates, morbidity rates, annuitization rates and lapse and surrender rates, which change in response to changes in capital market</w:t>
      </w:r>
      <w:r>
        <w:rPr>
          <w:rFonts w:eastAsia="Times New Roman"/>
          <w:color w:val="000000"/>
          <w:sz w:val="20"/>
          <w:szCs w:val="20"/>
        </w:rPr>
        <w:t xml:space="preserve"> conditions, to ensure that our products and solutions remain attractive and profitable. For additional information on our sensitivity to interest rates and capital market prices, see “Quantitative and Qualitative Disclosures About Market Risk.” </w:t>
      </w:r>
    </w:p>
    <w:p w:rsidR="00000000" w:rsidRDefault="000C147A">
      <w:pPr>
        <w:jc w:val="both"/>
        <w:divId w:val="1568034187"/>
        <w:rPr>
          <w:rFonts w:eastAsia="Times New Roman"/>
        </w:rPr>
      </w:pPr>
      <w:r>
        <w:rPr>
          <w:rFonts w:eastAsia="Times New Roman"/>
          <w:b/>
          <w:bCs/>
          <w:i/>
          <w:iCs/>
          <w:color w:val="000000"/>
          <w:sz w:val="20"/>
          <w:szCs w:val="20"/>
        </w:rPr>
        <w:t xml:space="preserve">Interest </w:t>
      </w:r>
      <w:r>
        <w:rPr>
          <w:rFonts w:eastAsia="Times New Roman"/>
          <w:b/>
          <w:bCs/>
          <w:i/>
          <w:iCs/>
          <w:color w:val="000000"/>
          <w:sz w:val="20"/>
          <w:szCs w:val="20"/>
        </w:rPr>
        <w:t xml:space="preserve">Rate Environment </w:t>
      </w:r>
    </w:p>
    <w:p w:rsidR="00000000" w:rsidRDefault="000C147A">
      <w:pPr>
        <w:ind w:firstLine="360"/>
        <w:divId w:val="1702628543"/>
        <w:rPr>
          <w:rFonts w:eastAsia="Times New Roman"/>
        </w:rPr>
      </w:pPr>
      <w:r>
        <w:rPr>
          <w:rFonts w:eastAsia="Times New Roman"/>
          <w:color w:val="000000"/>
          <w:sz w:val="20"/>
          <w:szCs w:val="20"/>
        </w:rPr>
        <w:t xml:space="preserve">We believe the interest rate environment will continue to impact our business and financial performance in the future for several reasons, including the following: </w:t>
      </w:r>
    </w:p>
    <w:p w:rsidR="00000000" w:rsidRDefault="000C147A">
      <w:pPr>
        <w:ind w:hanging="360"/>
        <w:jc w:val="both"/>
        <w:divId w:val="427509794"/>
        <w:rPr>
          <w:rFonts w:eastAsia="Times New Roman"/>
        </w:rPr>
      </w:pPr>
      <w:r>
        <w:rPr>
          <w:rFonts w:eastAsia="Times New Roman"/>
          <w:color w:val="000000"/>
          <w:sz w:val="20"/>
          <w:szCs w:val="20"/>
        </w:rPr>
        <w:t>•Certain of our variable annuity and life insurance products pay guarante</w:t>
      </w:r>
      <w:r>
        <w:rPr>
          <w:rFonts w:eastAsia="Times New Roman"/>
          <w:color w:val="000000"/>
          <w:sz w:val="20"/>
          <w:szCs w:val="20"/>
        </w:rPr>
        <w:t>ed minimum interest crediting rates. We are required to pay these guaranteed minimum rates even if earnings on our investment portfolio decline, with the resulting investment margin compression negatively impacting earnings. In addition, we expect more pol</w:t>
      </w:r>
      <w:r>
        <w:rPr>
          <w:rFonts w:eastAsia="Times New Roman"/>
          <w:color w:val="000000"/>
          <w:sz w:val="20"/>
          <w:szCs w:val="20"/>
        </w:rPr>
        <w:t>icyholders to hold policies with comparatively high guaranteed rates longer (lower lapse rates) in a low interest rate environment. Conversely, a rise in average yield on our investment portfolio should positively impact earnings. Similarly, we expect poli</w:t>
      </w:r>
      <w:r>
        <w:rPr>
          <w:rFonts w:eastAsia="Times New Roman"/>
          <w:color w:val="000000"/>
          <w:sz w:val="20"/>
          <w:szCs w:val="20"/>
        </w:rPr>
        <w:t xml:space="preserve">cyholders would be less likely to hold policies with existing guaranteed rates (higher lapse rates) as interest rates rise. </w:t>
      </w:r>
    </w:p>
    <w:p w:rsidR="00000000" w:rsidRDefault="000C147A">
      <w:pPr>
        <w:ind w:hanging="360"/>
        <w:divId w:val="1662149393"/>
        <w:rPr>
          <w:rFonts w:eastAsia="Times New Roman"/>
        </w:rPr>
      </w:pPr>
      <w:r>
        <w:rPr>
          <w:rFonts w:eastAsia="Times New Roman"/>
          <w:color w:val="000000"/>
          <w:sz w:val="20"/>
          <w:szCs w:val="20"/>
        </w:rPr>
        <w:t>•A prolonged low interest rate environment also may subject us to increased hedging costs or an increase in the amount of statutory</w:t>
      </w:r>
      <w:r>
        <w:rPr>
          <w:rFonts w:eastAsia="Times New Roman"/>
          <w:color w:val="000000"/>
          <w:sz w:val="20"/>
          <w:szCs w:val="20"/>
        </w:rPr>
        <w:t xml:space="preserve"> reserves that our insurance subsidiaries are required to hold for GMxB features, lowering their statutory surplus, which would adversely affect their ability to pay dividends to us. In addition, it may also increase the perceived value of GMxB features to</w:t>
      </w:r>
      <w:r>
        <w:rPr>
          <w:rFonts w:eastAsia="Times New Roman"/>
          <w:color w:val="000000"/>
          <w:sz w:val="20"/>
          <w:szCs w:val="20"/>
        </w:rPr>
        <w:t xml:space="preserve"> our policyholders, which in turn may lead to a higher rate of annuitization and higher persistency of those products over time. Finally, low interest rates may continue to cause an acceleration of DAC amortization or reserve increase due to loss recogniti</w:t>
      </w:r>
      <w:r>
        <w:rPr>
          <w:rFonts w:eastAsia="Times New Roman"/>
          <w:color w:val="000000"/>
          <w:sz w:val="20"/>
          <w:szCs w:val="20"/>
        </w:rPr>
        <w:t xml:space="preserve">on for interest sensitive products, primarily for our Protection Solutions segment. </w:t>
      </w:r>
    </w:p>
    <w:p w:rsidR="00000000" w:rsidRDefault="000C147A">
      <w:pPr>
        <w:ind w:firstLine="360"/>
        <w:divId w:val="418872701"/>
        <w:rPr>
          <w:rFonts w:eastAsia="Times New Roman"/>
        </w:rPr>
      </w:pPr>
      <w:r>
        <w:rPr>
          <w:rFonts w:eastAsia="Times New Roman"/>
          <w:color w:val="000000"/>
          <w:sz w:val="20"/>
          <w:szCs w:val="20"/>
        </w:rPr>
        <w:t>For a discussion on derivatives we used to hedge interest rates, see Note 4 of the Notes to the Consolidated Financial Statements in this Form 10-Q.</w:t>
      </w:r>
    </w:p>
    <w:p w:rsidR="00000000" w:rsidRDefault="000C147A">
      <w:pPr>
        <w:jc w:val="both"/>
        <w:divId w:val="1249389727"/>
        <w:rPr>
          <w:rFonts w:eastAsia="Times New Roman"/>
        </w:rPr>
      </w:pPr>
      <w:r>
        <w:rPr>
          <w:rFonts w:eastAsia="Times New Roman"/>
          <w:b/>
          <w:bCs/>
          <w:i/>
          <w:iCs/>
          <w:color w:val="000000"/>
          <w:sz w:val="20"/>
          <w:szCs w:val="20"/>
        </w:rPr>
        <w:t>Regulatory Development</w:t>
      </w:r>
      <w:r>
        <w:rPr>
          <w:rFonts w:eastAsia="Times New Roman"/>
          <w:b/>
          <w:bCs/>
          <w:i/>
          <w:iCs/>
          <w:color w:val="000000"/>
          <w:sz w:val="20"/>
          <w:szCs w:val="20"/>
        </w:rPr>
        <w:t xml:space="preserve">s </w:t>
      </w:r>
    </w:p>
    <w:p w:rsidR="00000000" w:rsidRDefault="000C147A">
      <w:pPr>
        <w:ind w:firstLine="360"/>
        <w:divId w:val="1579553546"/>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subsidiaries are subject to regulation under the insurance holding co</w:t>
      </w:r>
      <w:r>
        <w:rPr>
          <w:rFonts w:eastAsia="Times New Roman"/>
          <w:color w:val="000000"/>
          <w:sz w:val="20"/>
          <w:szCs w:val="20"/>
        </w:rPr>
        <w:t>mpany laws of various U.S. jurisdictions. Furthermore, on an ongoing basis, regulators refine capital requirements and introduce new reserving standards. See “Business—Regulation” and “Risk Factors—Legal and Regulatory Risks” in the 2019 Form 10-K. Regulat</w:t>
      </w:r>
      <w:r>
        <w:rPr>
          <w:rFonts w:eastAsia="Times New Roman"/>
          <w:color w:val="000000"/>
          <w:sz w:val="20"/>
          <w:szCs w:val="20"/>
        </w:rPr>
        <w:t>ions recently adopted or currently under review can potentially impact our statutory reserve, capital requirements and profitability of the industry and result in increased regulation and oversight for the industry.</w:t>
      </w:r>
    </w:p>
    <w:p w:rsidR="00000000" w:rsidRDefault="000C147A">
      <w:pPr>
        <w:ind w:firstLine="360"/>
        <w:divId w:val="1671636279"/>
        <w:rPr>
          <w:rFonts w:eastAsia="Times New Roman"/>
        </w:rPr>
      </w:pPr>
      <w:r>
        <w:rPr>
          <w:rFonts w:eastAsia="Times New Roman"/>
          <w:i/>
          <w:iCs/>
          <w:color w:val="000000"/>
          <w:sz w:val="20"/>
          <w:szCs w:val="20"/>
        </w:rPr>
        <w:t>COVID-19 Impact</w:t>
      </w:r>
      <w:r>
        <w:rPr>
          <w:rFonts w:eastAsia="Times New Roman"/>
          <w:color w:val="000000"/>
          <w:sz w:val="20"/>
          <w:szCs w:val="20"/>
        </w:rPr>
        <w:t>. In March 2020, in conne</w:t>
      </w:r>
      <w:r>
        <w:rPr>
          <w:rFonts w:eastAsia="Times New Roman"/>
          <w:color w:val="000000"/>
          <w:sz w:val="20"/>
          <w:szCs w:val="20"/>
        </w:rPr>
        <w:t>ction with the COVID-19 pandemic, many U.S. state insurance regulators began issuing bulletins, directives and guidance encouraging, requesting or directing licensed life insurance companies to implement life insurance policy measures such as: providing gr</w:t>
      </w:r>
      <w:r>
        <w:rPr>
          <w:rFonts w:eastAsia="Times New Roman"/>
          <w:color w:val="000000"/>
          <w:sz w:val="20"/>
          <w:szCs w:val="20"/>
        </w:rPr>
        <w:t>ace periods to policyholders for the payment of insurance premiums and forbearing on the cancellation or non-renewal of life insurance policies due to non-payment of premium. In addition, some states’ governors have issued emergency orders and state insura</w:t>
      </w:r>
      <w:r>
        <w:rPr>
          <w:rFonts w:eastAsia="Times New Roman"/>
          <w:color w:val="000000"/>
          <w:sz w:val="20"/>
          <w:szCs w:val="20"/>
        </w:rPr>
        <w:t>nce commissioners have promulgated emergency regulations requiring such actions. For example, the NYDFS, which is the domiciliary regulator of our principal insurance subsidiary, Equitable Financial, promulgated emergency regulations requiring insurance co</w:t>
      </w:r>
      <w:r>
        <w:rPr>
          <w:rFonts w:eastAsia="Times New Roman"/>
          <w:color w:val="000000"/>
          <w:sz w:val="20"/>
          <w:szCs w:val="20"/>
        </w:rPr>
        <w:t>mpany actions with respect to many lines of insurance. Among other requirements, these emergency measures temporarily required New York licensed life insurers to extend the grace period for the payment of premiums and fees to 90 days for any life policyhol</w:t>
      </w:r>
      <w:r>
        <w:rPr>
          <w:rFonts w:eastAsia="Times New Roman"/>
          <w:color w:val="000000"/>
          <w:sz w:val="20"/>
          <w:szCs w:val="20"/>
        </w:rPr>
        <w:t>der or group certificate holder facing financial hardship as a result of the COVID-19 pandemic. In addition, licensed life insurers were required to provide 90 days to exercise rights or benefits for a policyholder who was unable timely to exercise such ri</w:t>
      </w:r>
      <w:r>
        <w:rPr>
          <w:rFonts w:eastAsia="Times New Roman"/>
          <w:color w:val="000000"/>
          <w:sz w:val="20"/>
          <w:szCs w:val="20"/>
        </w:rPr>
        <w:t>ghts as a result of the COVID-19 pandemic. New York licensed insurers were prohibited from imposing any late fees or reporting such policyholder to a credit reporting agency or debt collection agency in the event of a policyholder’s failure to timely pay p</w:t>
      </w:r>
      <w:r>
        <w:rPr>
          <w:rFonts w:eastAsia="Times New Roman"/>
          <w:color w:val="000000"/>
          <w:sz w:val="20"/>
          <w:szCs w:val="20"/>
        </w:rPr>
        <w:t xml:space="preserve">remium and were required to permit policyholders who did not make a premium payment due to financial hardship as a result of the COVID-19 pandemic to pay the premium over a 12-month period. These measures expired on July 6, 2020, however we cannot predict </w:t>
      </w:r>
      <w:r>
        <w:rPr>
          <w:rFonts w:eastAsia="Times New Roman"/>
          <w:color w:val="000000"/>
          <w:sz w:val="20"/>
          <w:szCs w:val="20"/>
        </w:rPr>
        <w:t>what future orders or regulations, if any, will be implemented as a result of the ongoing COVID-19 pandemic.</w:t>
      </w:r>
    </w:p>
    <w:p w:rsidR="00000000" w:rsidRDefault="000C147A">
      <w:pPr>
        <w:ind w:firstLine="360"/>
        <w:divId w:val="847212246"/>
        <w:rPr>
          <w:rFonts w:eastAsia="Times New Roman"/>
        </w:rPr>
      </w:pPr>
      <w:r>
        <w:rPr>
          <w:rFonts w:eastAsia="Times New Roman"/>
          <w:i/>
          <w:iCs/>
          <w:color w:val="000000"/>
          <w:sz w:val="20"/>
          <w:szCs w:val="20"/>
        </w:rPr>
        <w:t>Variable Annuity Capital Standards</w:t>
      </w:r>
      <w:r>
        <w:rPr>
          <w:rFonts w:eastAsia="Times New Roman"/>
          <w:color w:val="000000"/>
          <w:sz w:val="20"/>
          <w:szCs w:val="20"/>
        </w:rPr>
        <w:t>. In 2015, the NAIC Financial Condition (E) Committee established a working group to study and address, as approp</w:t>
      </w:r>
      <w:r>
        <w:rPr>
          <w:rFonts w:eastAsia="Times New Roman"/>
          <w:color w:val="000000"/>
          <w:sz w:val="20"/>
          <w:szCs w:val="20"/>
        </w:rPr>
        <w:t>riate, regulatory issues resulting from variable annuity captive reinsurance transactions, including reforms that would improve the current statutory reserve and RBC framework for insurance companies that sell variable annuity products. In August 2018, the</w:t>
      </w:r>
      <w:r>
        <w:rPr>
          <w:rFonts w:eastAsia="Times New Roman"/>
          <w:color w:val="000000"/>
          <w:sz w:val="20"/>
          <w:szCs w:val="20"/>
        </w:rPr>
        <w:t xml:space="preserve"> NAIC adopted the new framework developed and proposed by this working group. Following its referral to various NAIC committees to develop the full implementation details, the new framework became </w:t>
      </w:r>
    </w:p>
    <w:p w:rsidR="00000000" w:rsidRDefault="000C147A">
      <w:pPr>
        <w:jc w:val="center"/>
        <w:divId w:val="645356045"/>
        <w:rPr>
          <w:rFonts w:eastAsia="Times New Roman"/>
        </w:rPr>
      </w:pPr>
      <w:r>
        <w:rPr>
          <w:rFonts w:eastAsia="Times New Roman"/>
          <w:color w:val="000000"/>
          <w:sz w:val="20"/>
          <w:szCs w:val="20"/>
        </w:rPr>
        <w:t>89</w:t>
      </w:r>
    </w:p>
    <w:p w:rsidR="00000000" w:rsidRDefault="000C147A">
      <w:pPr>
        <w:rPr>
          <w:rFonts w:eastAsia="Times New Roman"/>
        </w:rPr>
      </w:pPr>
      <w:r>
        <w:rPr>
          <w:rFonts w:eastAsia="Times New Roman"/>
        </w:rPr>
        <w:pict>
          <v:rect id="_x0000_i1115" style="width:0;height:1.5pt" o:hralign="center" o:hrstd="t" o:hr="t" fillcolor="#a0a0a0" stroked="f"/>
        </w:pict>
      </w:r>
    </w:p>
    <w:p w:rsidR="00000000" w:rsidRDefault="000C147A">
      <w:pPr>
        <w:ind w:firstLine="360"/>
        <w:divId w:val="1030640982"/>
        <w:rPr>
          <w:rFonts w:eastAsia="Times New Roman"/>
        </w:rPr>
      </w:pPr>
    </w:p>
    <w:p w:rsidR="00000000" w:rsidRDefault="000C147A">
      <w:pPr>
        <w:divId w:val="205259548"/>
        <w:rPr>
          <w:rFonts w:eastAsia="Times New Roman"/>
        </w:rPr>
      </w:pPr>
      <w:r>
        <w:rPr>
          <w:rFonts w:eastAsia="Times New Roman"/>
          <w:color w:val="000000"/>
          <w:sz w:val="20"/>
          <w:szCs w:val="20"/>
        </w:rPr>
        <w:t>operational in January 2020. Among other changes, the new framework includes new prescriptions for reflecting hedge effectiveness, investment returns, interest rates, mortality and policyholder behavior in calculating statutory reserves and RBC. The new fr</w:t>
      </w:r>
      <w:r>
        <w:rPr>
          <w:rFonts w:eastAsia="Times New Roman"/>
          <w:color w:val="000000"/>
          <w:sz w:val="20"/>
          <w:szCs w:val="20"/>
        </w:rPr>
        <w:t>amework will materially change the level of variable annuity reserves and RBC requirements as well as their sensitivity to capital markets including interest rate, equity markets, volatility and credit spreads. Overall, we believe the NAIC reform has moved</w:t>
      </w:r>
      <w:r>
        <w:rPr>
          <w:rFonts w:eastAsia="Times New Roman"/>
          <w:color w:val="000000"/>
          <w:sz w:val="20"/>
          <w:szCs w:val="20"/>
        </w:rPr>
        <w:t xml:space="preserve"> variable annuity capital standards towards an economic framework and is consistent with how we manage our business. The Company adopted the NAIC reserve and capital framework for the year ended December 31, 2019.</w:t>
      </w:r>
    </w:p>
    <w:p w:rsidR="00000000" w:rsidRDefault="000C147A">
      <w:pPr>
        <w:ind w:firstLine="360"/>
        <w:divId w:val="1607276504"/>
        <w:rPr>
          <w:rFonts w:eastAsia="Times New Roman"/>
        </w:rPr>
      </w:pPr>
      <w:r>
        <w:rPr>
          <w:rFonts w:eastAsia="Times New Roman"/>
          <w:color w:val="000000"/>
          <w:sz w:val="20"/>
          <w:szCs w:val="20"/>
        </w:rPr>
        <w:t>On February 26, 2020, the NYDFS adopted am</w:t>
      </w:r>
      <w:r>
        <w:rPr>
          <w:rFonts w:eastAsia="Times New Roman"/>
          <w:color w:val="000000"/>
          <w:sz w:val="20"/>
          <w:szCs w:val="20"/>
        </w:rPr>
        <w:t>endments to Regulation 213 that differ from the NAIC variable annuity reserve and capital framework. These amendments will not materially affect the Company’s GAAP financial condition, results of operations or stockholders’ equity.  However,  Regulation 21</w:t>
      </w:r>
      <w:r>
        <w:rPr>
          <w:rFonts w:eastAsia="Times New Roman"/>
          <w:color w:val="000000"/>
          <w:sz w:val="20"/>
          <w:szCs w:val="20"/>
        </w:rPr>
        <w:t>3, as amended, absent management action, will require our principal insurance subsidiary, Equitable Financial, to carry statutory basis reserves for its variable annuity contract obligations equal to the greater of those required under (i) the NAIC standar</w:t>
      </w:r>
      <w:r>
        <w:rPr>
          <w:rFonts w:eastAsia="Times New Roman"/>
          <w:color w:val="000000"/>
          <w:sz w:val="20"/>
          <w:szCs w:val="20"/>
        </w:rPr>
        <w:t xml:space="preserve">d or (ii) a revised version of the NYDFS requirement in effect prior to the adoption of the amendment for contracts issued prior to January 1, 2020, and for policies issued after that date, a new standard that we believe is more conservative than the NAIC </w:t>
      </w:r>
      <w:r>
        <w:rPr>
          <w:rFonts w:eastAsia="Times New Roman"/>
          <w:color w:val="000000"/>
          <w:sz w:val="20"/>
          <w:szCs w:val="20"/>
        </w:rPr>
        <w:t>standard.  Absent management action, we believe that the amendments will materially increase the statutory basis reserves that Equitable Financial will be required to carry and, will materially and adversely affect the capacity of Equitable Financial to di</w:t>
      </w:r>
      <w:r>
        <w:rPr>
          <w:rFonts w:eastAsia="Times New Roman"/>
          <w:color w:val="000000"/>
          <w:sz w:val="20"/>
          <w:szCs w:val="20"/>
        </w:rPr>
        <w:t xml:space="preserve">stribute dividends to the Company beyond 2020.  As a holding company, we rely on dividends and other payments from our subsidiaries and, accordingly, any material limitation on Equitable Financial’s dividend capacity could materially affect our ability to </w:t>
      </w:r>
      <w:r>
        <w:rPr>
          <w:rFonts w:eastAsia="Times New Roman"/>
          <w:color w:val="000000"/>
          <w:sz w:val="20"/>
          <w:szCs w:val="20"/>
        </w:rPr>
        <w:t>return capital to stockholders through dividends and stock repurchases.  The Company is considering management actions to mitigate the impact of Regulation 213. These actions could include seeking further amendment of Regulation 213 or exemptive relief the</w:t>
      </w:r>
      <w:r>
        <w:rPr>
          <w:rFonts w:eastAsia="Times New Roman"/>
          <w:color w:val="000000"/>
          <w:sz w:val="20"/>
          <w:szCs w:val="20"/>
        </w:rPr>
        <w:t xml:space="preserve">refrom to make the regulation’s application to Equitable Financial more consistent with the NAIC reserve and capital framework, as well as changing our underwriting practices to emphasize issuing variable annuity products out of subsidiaries which are not </w:t>
      </w:r>
      <w:r>
        <w:rPr>
          <w:rFonts w:eastAsia="Times New Roman"/>
          <w:color w:val="000000"/>
          <w:sz w:val="20"/>
          <w:szCs w:val="20"/>
        </w:rPr>
        <w:t xml:space="preserve">domiciled in New York, increasing the use of reinsurance and other corporate transactions intended to reduce the impact of the regulation.  There can be no assurance that any management action individually or collectively will fully mitigate the impact of </w:t>
      </w:r>
      <w:r>
        <w:rPr>
          <w:rFonts w:eastAsia="Times New Roman"/>
          <w:color w:val="000000"/>
          <w:sz w:val="20"/>
          <w:szCs w:val="20"/>
        </w:rPr>
        <w:t>Regulation 213. Other state insurance regulators may also propose and adopt standards different from the NAIC framework.</w:t>
      </w:r>
    </w:p>
    <w:p w:rsidR="00000000" w:rsidRDefault="000C147A">
      <w:pPr>
        <w:ind w:firstLine="360"/>
        <w:divId w:val="1177118637"/>
        <w:rPr>
          <w:rFonts w:eastAsia="Times New Roman"/>
        </w:rPr>
      </w:pPr>
      <w:r>
        <w:rPr>
          <w:rFonts w:eastAsia="Times New Roman"/>
          <w:i/>
          <w:iCs/>
          <w:color w:val="000000"/>
          <w:sz w:val="20"/>
          <w:szCs w:val="20"/>
        </w:rPr>
        <w:t>DOL Fiduciary Rule and “Best Interest” PTEs</w:t>
      </w:r>
      <w:r>
        <w:rPr>
          <w:rFonts w:eastAsia="Times New Roman"/>
          <w:color w:val="000000"/>
          <w:sz w:val="20"/>
          <w:szCs w:val="20"/>
        </w:rPr>
        <w:t>. In the wake of the March 2018 Fifth Circuit federal appeals court decision to vacate the D</w:t>
      </w:r>
      <w:r>
        <w:rPr>
          <w:rFonts w:eastAsia="Times New Roman"/>
          <w:color w:val="000000"/>
          <w:sz w:val="20"/>
          <w:szCs w:val="20"/>
        </w:rPr>
        <w:t>OL Fiduciary Rule, the DOL announced that it planned to issue revised fiduciary investment advice regulations. In June 2020, the DOL proposed a “best interest” prohibited transaction exemption (“PTE”) for investment advice fiduciaries under ERISA. The prop</w:t>
      </w:r>
      <w:r>
        <w:rPr>
          <w:rFonts w:eastAsia="Times New Roman"/>
          <w:color w:val="000000"/>
          <w:sz w:val="20"/>
          <w:szCs w:val="20"/>
        </w:rPr>
        <w:t>osal restores the five-part test for determining fiduciary status that was in effect prior to the DOL Fiduciary Rule, although the scope of the PTE now extends to rollover transactions if they constitute “investment advice” under the five-part test. If fid</w:t>
      </w:r>
      <w:r>
        <w:rPr>
          <w:rFonts w:eastAsia="Times New Roman"/>
          <w:color w:val="000000"/>
          <w:sz w:val="20"/>
          <w:szCs w:val="20"/>
        </w:rPr>
        <w:t>uciary status is triggered, the PTE prescribes a set of impartial conduct standards and disclosure obligations that are intended to be consistent with the SEC’s Regulation Best Interest. We are currently assessing the proposed PTE to determine the impact i</w:t>
      </w:r>
      <w:r>
        <w:rPr>
          <w:rFonts w:eastAsia="Times New Roman"/>
          <w:color w:val="000000"/>
          <w:sz w:val="20"/>
          <w:szCs w:val="20"/>
        </w:rPr>
        <w:t>t may have on our business.</w:t>
      </w:r>
    </w:p>
    <w:p w:rsidR="00000000" w:rsidRDefault="000C147A">
      <w:pPr>
        <w:ind w:firstLine="360"/>
        <w:divId w:val="2104109782"/>
        <w:rPr>
          <w:rFonts w:eastAsia="Times New Roman"/>
        </w:rPr>
      </w:pPr>
      <w:r>
        <w:rPr>
          <w:rFonts w:eastAsia="Times New Roman"/>
          <w:i/>
          <w:iCs/>
          <w:color w:val="000000"/>
          <w:sz w:val="20"/>
          <w:szCs w:val="20"/>
        </w:rPr>
        <w:t>Other “Best Interest” Standards of Conduct</w:t>
      </w:r>
      <w:r>
        <w:rPr>
          <w:rFonts w:eastAsia="Times New Roman"/>
          <w:color w:val="000000"/>
          <w:sz w:val="20"/>
          <w:szCs w:val="20"/>
        </w:rPr>
        <w:t xml:space="preserve">. Following the decision to vacate the DOL Fiduciary Rule in 2018, the NAIC adopted, and state regulators either have adopted or are currently considering whether to apply, an impartial </w:t>
      </w:r>
      <w:r>
        <w:rPr>
          <w:rFonts w:eastAsia="Times New Roman"/>
          <w:color w:val="000000"/>
          <w:sz w:val="20"/>
          <w:szCs w:val="20"/>
        </w:rPr>
        <w:t xml:space="preserve">conduct or fiduciary standard to recommendations made in connection with certain annuities and, in one case, to life insurance policies. For example, the NAIC has amended its Suitability in Annuity Transactions Model Regulation to apply a best interest of </w:t>
      </w:r>
      <w:r>
        <w:rPr>
          <w:rFonts w:eastAsia="Times New Roman"/>
          <w:color w:val="000000"/>
          <w:sz w:val="20"/>
          <w:szCs w:val="20"/>
        </w:rPr>
        <w:t>the consumer standard to insurance producers’ annuity recommendations and require that insurers supervise such recommendations. To date, the amended regulation has been adopted in Iowa and Arizona. In July 2018, the NYDFS issued a final version of Regulati</w:t>
      </w:r>
      <w:r>
        <w:rPr>
          <w:rFonts w:eastAsia="Times New Roman"/>
          <w:color w:val="000000"/>
          <w:sz w:val="20"/>
          <w:szCs w:val="20"/>
        </w:rPr>
        <w:t>on 187 that adopts a “best interest” standard for recommendations regarding the sale of life insurance and annuity products in New York. Regulation 187 took effect on August 1, 2019 with respect to annuity sales and took effect on February 1, 2020 for life</w:t>
      </w:r>
      <w:r>
        <w:rPr>
          <w:rFonts w:eastAsia="Times New Roman"/>
          <w:color w:val="000000"/>
          <w:sz w:val="20"/>
          <w:szCs w:val="20"/>
        </w:rPr>
        <w:t xml:space="preserve"> insurance sales. We have developed our compliance framework for Regulation 187 with respect to annuity sales as well as our life insurance business. In addition, state regulators and legislatures in Nevada, New Jersey and Maryland have proposed measures t</w:t>
      </w:r>
      <w:r>
        <w:rPr>
          <w:rFonts w:eastAsia="Times New Roman"/>
          <w:color w:val="000000"/>
          <w:sz w:val="20"/>
          <w:szCs w:val="20"/>
        </w:rPr>
        <w:t>hat would make broker-dealers, sales agents, and investment advisers and their representatives subject to a fiduciary duty when providing products and services to customers, including pension plans and IRAs. Massachusetts has adopted such a regulation appl</w:t>
      </w:r>
      <w:r>
        <w:rPr>
          <w:rFonts w:eastAsia="Times New Roman"/>
          <w:color w:val="000000"/>
          <w:sz w:val="20"/>
          <w:szCs w:val="20"/>
        </w:rPr>
        <w:t>ying a fiduciary duty standard to broker-dealers and their agents, but it does not apply to insurance product sales, including variable annuities. Beyond the New York regulation, the likelihood of enactment of any such state-based regulation is uncertain a</w:t>
      </w:r>
      <w:r>
        <w:rPr>
          <w:rFonts w:eastAsia="Times New Roman"/>
          <w:color w:val="000000"/>
          <w:sz w:val="20"/>
          <w:szCs w:val="20"/>
        </w:rPr>
        <w:t>t this time, but if implemented, these regulations could have adverse effects on our business and consolidated results of operations.</w:t>
      </w:r>
    </w:p>
    <w:p w:rsidR="00000000" w:rsidRDefault="000C147A">
      <w:pPr>
        <w:ind w:firstLine="360"/>
        <w:divId w:val="1480146340"/>
        <w:rPr>
          <w:rFonts w:eastAsia="Times New Roman"/>
        </w:rPr>
      </w:pPr>
      <w:r>
        <w:rPr>
          <w:rFonts w:eastAsia="Times New Roman"/>
          <w:i/>
          <w:iCs/>
          <w:color w:val="000000"/>
          <w:sz w:val="20"/>
          <w:szCs w:val="20"/>
        </w:rPr>
        <w:t>Regulation Best Interest</w:t>
      </w:r>
      <w:r>
        <w:rPr>
          <w:rFonts w:eastAsia="Times New Roman"/>
          <w:color w:val="000000"/>
          <w:sz w:val="20"/>
          <w:szCs w:val="20"/>
        </w:rPr>
        <w:t>. In June 2019, the SEC released a set of rules that, among other things, enhance the existing sta</w:t>
      </w:r>
      <w:r>
        <w:rPr>
          <w:rFonts w:eastAsia="Times New Roman"/>
          <w:color w:val="000000"/>
          <w:sz w:val="20"/>
          <w:szCs w:val="20"/>
        </w:rPr>
        <w:t>ndard of conduct for broker-dealers to require them to act in the best interest of their retail customers (“Regulation Best Interest”); clarify the nature of the fiduciary obligations owed by registered investment advisers to their clients; impose new disc</w:t>
      </w:r>
      <w:r>
        <w:rPr>
          <w:rFonts w:eastAsia="Times New Roman"/>
          <w:color w:val="000000"/>
          <w:sz w:val="20"/>
          <w:szCs w:val="20"/>
        </w:rPr>
        <w:t>losure requirements aimed at ensuring investors understand the nature of their relationship with their investment professionals; and restrict certain broker-dealers and their financial professionals from using the terms “adviser” or “advisor” unless they a</w:t>
      </w:r>
      <w:r>
        <w:rPr>
          <w:rFonts w:eastAsia="Times New Roman"/>
          <w:color w:val="000000"/>
          <w:sz w:val="20"/>
          <w:szCs w:val="20"/>
        </w:rPr>
        <w:t xml:space="preserve">ct in an investment advisory capacity. These rules became effective on June 30, 2020. Investment advisers to retail clients as well as broker-dealers serving retail customers are now required to deliver to retail clients and customers and file with </w:t>
      </w:r>
    </w:p>
    <w:p w:rsidR="00000000" w:rsidRDefault="000C147A">
      <w:pPr>
        <w:jc w:val="center"/>
        <w:divId w:val="1456866723"/>
        <w:rPr>
          <w:rFonts w:eastAsia="Times New Roman"/>
        </w:rPr>
      </w:pPr>
      <w:r>
        <w:rPr>
          <w:rFonts w:eastAsia="Times New Roman"/>
          <w:color w:val="000000"/>
          <w:sz w:val="20"/>
          <w:szCs w:val="20"/>
        </w:rPr>
        <w:t>90</w:t>
      </w:r>
    </w:p>
    <w:p w:rsidR="00000000" w:rsidRDefault="000C147A">
      <w:pPr>
        <w:rPr>
          <w:rFonts w:eastAsia="Times New Roman"/>
        </w:rPr>
      </w:pPr>
      <w:r>
        <w:rPr>
          <w:rFonts w:eastAsia="Times New Roman"/>
        </w:rPr>
        <w:pict>
          <v:rect id="_x0000_i1116" style="width:0;height:1.5pt" o:hralign="center" o:hrstd="t" o:hr="t" fillcolor="#a0a0a0" stroked="f"/>
        </w:pict>
      </w:r>
    </w:p>
    <w:p w:rsidR="00000000" w:rsidRDefault="000C147A">
      <w:pPr>
        <w:ind w:firstLine="360"/>
        <w:divId w:val="170991217"/>
        <w:rPr>
          <w:rFonts w:eastAsia="Times New Roman"/>
        </w:rPr>
      </w:pPr>
    </w:p>
    <w:p w:rsidR="00000000" w:rsidRDefault="000C147A">
      <w:pPr>
        <w:divId w:val="795681271"/>
        <w:rPr>
          <w:rFonts w:eastAsia="Times New Roman"/>
        </w:rPr>
      </w:pPr>
      <w:r>
        <w:rPr>
          <w:rFonts w:eastAsia="Times New Roman"/>
          <w:color w:val="000000"/>
          <w:sz w:val="20"/>
          <w:szCs w:val="20"/>
        </w:rPr>
        <w:t>the SEC the new Form CRS, which provides disclosures about its standard of conduct and conflicts of interest. Broker-dealers must also provide more detailed disclosures to retail clients in connection with securities tra</w:t>
      </w:r>
      <w:r>
        <w:rPr>
          <w:rFonts w:eastAsia="Times New Roman"/>
          <w:color w:val="000000"/>
          <w:sz w:val="20"/>
          <w:szCs w:val="20"/>
        </w:rPr>
        <w:t>nsactions. The intent of these rules is to impose on broker-dealers an enhanced duty of care to their natural person customers similar to that which applies to investment advisers under existing law and to require both broker-dealers and investment adviser</w:t>
      </w:r>
      <w:r>
        <w:rPr>
          <w:rFonts w:eastAsia="Times New Roman"/>
          <w:color w:val="000000"/>
          <w:sz w:val="20"/>
          <w:szCs w:val="20"/>
        </w:rPr>
        <w:t>s to provide enhanced disclosure regarding the nature of their services to retail clients and customers and associated conflicts of interest. We have developed systems and processes and put in place policies and procedures to ensure that we are in complian</w:t>
      </w:r>
      <w:r>
        <w:rPr>
          <w:rFonts w:eastAsia="Times New Roman"/>
          <w:color w:val="000000"/>
          <w:sz w:val="20"/>
          <w:szCs w:val="20"/>
        </w:rPr>
        <w:t>ce with Regulation Best Interest. Meanwhile, the SEC’s examination staff and FINRA are focusing on examining compliance efforts by broker-dealers with Regulation Best Interest.</w:t>
      </w:r>
    </w:p>
    <w:p w:rsidR="00000000" w:rsidRDefault="000C147A">
      <w:pPr>
        <w:ind w:firstLine="360"/>
        <w:divId w:val="513611736"/>
        <w:rPr>
          <w:rFonts w:eastAsia="Times New Roman"/>
        </w:rPr>
      </w:pPr>
      <w:r>
        <w:rPr>
          <w:rFonts w:eastAsia="Times New Roman"/>
          <w:i/>
          <w:iCs/>
          <w:color w:val="000000"/>
          <w:sz w:val="20"/>
          <w:szCs w:val="20"/>
        </w:rPr>
        <w:t>Derivatives Regulation</w:t>
      </w:r>
      <w:r>
        <w:rPr>
          <w:rFonts w:eastAsia="Times New Roman"/>
          <w:color w:val="000000"/>
          <w:sz w:val="20"/>
          <w:szCs w:val="20"/>
        </w:rPr>
        <w:t xml:space="preserve">. The amount of collateral we are required to pledge and </w:t>
      </w:r>
      <w:r>
        <w:rPr>
          <w:rFonts w:eastAsia="Times New Roman"/>
          <w:color w:val="000000"/>
          <w:sz w:val="20"/>
          <w:szCs w:val="20"/>
        </w:rPr>
        <w:t>the expenses we incur under our derivatives transactions are expected to increase as a result of the requirement to pledge initial margin for non-centrally cleared derivative transactions (“OTC” derivatives) entered into after the phase-in period, which is</w:t>
      </w:r>
      <w:r>
        <w:rPr>
          <w:rFonts w:eastAsia="Times New Roman"/>
          <w:color w:val="000000"/>
          <w:sz w:val="20"/>
          <w:szCs w:val="20"/>
        </w:rPr>
        <w:t xml:space="preserve"> expected to become applicable to us in September 2021 as a result of adoption by the Office of the Comptroller of the Currency, the Federal Reserve Board, the FDIC, the Farm Credit Administration, and the Federal Housing Finance Agency and the Commodity F</w:t>
      </w:r>
      <w:r>
        <w:rPr>
          <w:rFonts w:eastAsia="Times New Roman"/>
          <w:color w:val="000000"/>
          <w:sz w:val="20"/>
          <w:szCs w:val="20"/>
        </w:rPr>
        <w:t>utures Trading Commission of final margin requirements for OTC derivatives, absent further delays. Also, the SEC has finalized and adopted the final set of rules related to security-based swaps, which triggers the compliance date for security-based swap en</w:t>
      </w:r>
      <w:r>
        <w:rPr>
          <w:rFonts w:eastAsia="Times New Roman"/>
          <w:color w:val="000000"/>
          <w:sz w:val="20"/>
          <w:szCs w:val="20"/>
        </w:rPr>
        <w:t>tities registration and compliance with previously adopted rules regarding margin, capital, segregation, recordkeeping and reporting and business conduct for security-based swaps. The rules became effective on April 6, 2020. The compliance date for registr</w:t>
      </w:r>
      <w:r>
        <w:rPr>
          <w:rFonts w:eastAsia="Times New Roman"/>
          <w:color w:val="000000"/>
          <w:sz w:val="20"/>
          <w:szCs w:val="20"/>
        </w:rPr>
        <w:t>ation of (i) security-based swap dealers that incur a registration obligation as a result of meeting certain thresholds to be set by the SEC on August 6, 2021 will be November 1, 2021 and (ii) major security-based swap participants that incur a registratio</w:t>
      </w:r>
      <w:r>
        <w:rPr>
          <w:rFonts w:eastAsia="Times New Roman"/>
          <w:color w:val="000000"/>
          <w:sz w:val="20"/>
          <w:szCs w:val="20"/>
        </w:rPr>
        <w:t>n obligation as a result of security-based swap activities in their quarter ending September 30, 2021 will be December 1, 2021. We continue to monitor developments and are evaluating the potential effect these rules might have on our business.</w:t>
      </w:r>
    </w:p>
    <w:p w:rsidR="00000000" w:rsidRDefault="000C147A">
      <w:pPr>
        <w:jc w:val="both"/>
        <w:divId w:val="1454861028"/>
        <w:rPr>
          <w:rFonts w:eastAsia="Times New Roman"/>
        </w:rPr>
      </w:pPr>
      <w:r>
        <w:rPr>
          <w:rFonts w:eastAsia="Times New Roman"/>
          <w:b/>
          <w:bCs/>
          <w:i/>
          <w:iCs/>
          <w:color w:val="000000"/>
          <w:sz w:val="20"/>
          <w:szCs w:val="20"/>
        </w:rPr>
        <w:t>Impact of th</w:t>
      </w:r>
      <w:r>
        <w:rPr>
          <w:rFonts w:eastAsia="Times New Roman"/>
          <w:b/>
          <w:bCs/>
          <w:i/>
          <w:iCs/>
          <w:color w:val="000000"/>
          <w:sz w:val="20"/>
          <w:szCs w:val="20"/>
        </w:rPr>
        <w:t>e SECURE Act</w:t>
      </w:r>
    </w:p>
    <w:p w:rsidR="00000000" w:rsidRDefault="000C147A">
      <w:pPr>
        <w:ind w:firstLine="360"/>
        <w:divId w:val="1317027102"/>
        <w:rPr>
          <w:rFonts w:eastAsia="Times New Roman"/>
        </w:rPr>
      </w:pPr>
      <w:r>
        <w:rPr>
          <w:rFonts w:eastAsia="Times New Roman"/>
          <w:color w:val="000000"/>
          <w:sz w:val="20"/>
          <w:szCs w:val="20"/>
        </w:rPr>
        <w:t>On December 20, 2019, President Trump signed into law the Setting Every Community Up for Retirement Enhancement Act of 2019 (the “SECURE Act”). The SECURE Act contains a number of provisions that affect the administration and operation of defi</w:t>
      </w:r>
      <w:r>
        <w:rPr>
          <w:rFonts w:eastAsia="Times New Roman"/>
          <w:color w:val="000000"/>
          <w:sz w:val="20"/>
          <w:szCs w:val="20"/>
        </w:rPr>
        <w:t>ned contribution plans such as 401(k) and 403(b) plans and IRAs, including provisions that encourage additional retirement savings and lifetime income options, promote the adoption of retirement plans by small employers, provide lifetime income portability</w:t>
      </w:r>
      <w:r>
        <w:rPr>
          <w:rFonts w:eastAsia="Times New Roman"/>
          <w:color w:val="000000"/>
          <w:sz w:val="20"/>
          <w:szCs w:val="20"/>
        </w:rPr>
        <w:t>, and accelerate the distribution of retirement benefits of deceased retirees. Many provisions of the SECURE Act become effective for plan years beginning after December 31, 2019. At this time, we do not expect material impacts to our business from the SEC</w:t>
      </w:r>
      <w:r>
        <w:rPr>
          <w:rFonts w:eastAsia="Times New Roman"/>
          <w:color w:val="000000"/>
          <w:sz w:val="20"/>
          <w:szCs w:val="20"/>
        </w:rPr>
        <w:t>URE Act.</w:t>
      </w:r>
    </w:p>
    <w:p w:rsidR="00000000" w:rsidRDefault="000C147A">
      <w:pPr>
        <w:jc w:val="both"/>
        <w:divId w:val="943608355"/>
        <w:rPr>
          <w:rFonts w:eastAsia="Times New Roman"/>
        </w:rPr>
      </w:pPr>
      <w:r>
        <w:rPr>
          <w:rFonts w:eastAsia="Times New Roman"/>
          <w:b/>
          <w:bCs/>
          <w:i/>
          <w:iCs/>
          <w:color w:val="000000"/>
          <w:sz w:val="20"/>
          <w:szCs w:val="20"/>
        </w:rPr>
        <w:t xml:space="preserve">Impact of the CARES Act </w:t>
      </w:r>
    </w:p>
    <w:p w:rsidR="00000000" w:rsidRDefault="000C147A">
      <w:pPr>
        <w:ind w:firstLine="360"/>
        <w:divId w:val="449397796"/>
        <w:rPr>
          <w:rFonts w:eastAsia="Times New Roman"/>
        </w:rPr>
      </w:pPr>
      <w:r>
        <w:rPr>
          <w:rFonts w:eastAsia="Times New Roman"/>
          <w:color w:val="000000"/>
          <w:sz w:val="20"/>
          <w:szCs w:val="20"/>
        </w:rPr>
        <w:t>The Coronavirus Aid, Relief, and Economic Security Act (“CARES Act”) was signed into law on March 27, 2020. Several tax provisions were included as part of a broad economic relief package. These include the temporary allow</w:t>
      </w:r>
      <w:r>
        <w:rPr>
          <w:rFonts w:eastAsia="Times New Roman"/>
          <w:color w:val="000000"/>
          <w:sz w:val="20"/>
          <w:szCs w:val="20"/>
        </w:rPr>
        <w:t xml:space="preserve">ance of Net Operating Loss carrybacks and the acceleration of Alternative Minimum Tax (“AMT”) credit refunds. The Company is assessing the economic and financial statement impact of these provisions. </w:t>
      </w:r>
    </w:p>
    <w:p w:rsidR="00000000" w:rsidRDefault="000C147A">
      <w:pPr>
        <w:jc w:val="both"/>
        <w:divId w:val="1175805325"/>
        <w:rPr>
          <w:rFonts w:eastAsia="Times New Roman"/>
        </w:rPr>
      </w:pPr>
      <w:r>
        <w:rPr>
          <w:rFonts w:eastAsia="Times New Roman"/>
          <w:b/>
          <w:bCs/>
          <w:i/>
          <w:iCs/>
          <w:color w:val="000000"/>
          <w:sz w:val="20"/>
          <w:szCs w:val="20"/>
        </w:rPr>
        <w:t xml:space="preserve">Impact of the Tax Cut and Jobs Act </w:t>
      </w:r>
    </w:p>
    <w:p w:rsidR="00000000" w:rsidRDefault="000C147A">
      <w:pPr>
        <w:ind w:firstLine="360"/>
        <w:divId w:val="381054207"/>
        <w:rPr>
          <w:rFonts w:eastAsia="Times New Roman"/>
        </w:rPr>
      </w:pPr>
      <w:r>
        <w:rPr>
          <w:rFonts w:eastAsia="Times New Roman"/>
          <w:color w:val="000000"/>
          <w:sz w:val="20"/>
          <w:szCs w:val="20"/>
        </w:rPr>
        <w:t>In December 2017, T</w:t>
      </w:r>
      <w:r>
        <w:rPr>
          <w:rFonts w:eastAsia="Times New Roman"/>
          <w:color w:val="000000"/>
          <w:sz w:val="20"/>
          <w:szCs w:val="20"/>
        </w:rPr>
        <w:t>ax Cut and Jobs Act (“TCJA”) was signed into law. The TCJA reduced the federal corporate income tax rate to 21% and repealed the corporate AMT while keeping existing AMT credits. It also contained measures affecting our insurance companies, including chang</w:t>
      </w:r>
      <w:r>
        <w:rPr>
          <w:rFonts w:eastAsia="Times New Roman"/>
          <w:color w:val="000000"/>
          <w:sz w:val="20"/>
          <w:szCs w:val="20"/>
        </w:rPr>
        <w:t>es to the DRD, insurance reserves and tax DAC, and measures affecting our international operations. As a result of the TCJA, our Net Income and Non-GAAP Operating Earnings has improved and the tax liability on the earnings of our foreign subsidiaries has d</w:t>
      </w:r>
      <w:r>
        <w:rPr>
          <w:rFonts w:eastAsia="Times New Roman"/>
          <w:color w:val="000000"/>
          <w:sz w:val="20"/>
          <w:szCs w:val="20"/>
        </w:rPr>
        <w:t xml:space="preserve">ecreased. </w:t>
      </w:r>
    </w:p>
    <w:p w:rsidR="00000000" w:rsidRDefault="000C147A">
      <w:pPr>
        <w:ind w:firstLine="360"/>
        <w:divId w:val="565922699"/>
        <w:rPr>
          <w:rFonts w:eastAsia="Times New Roman"/>
        </w:rPr>
      </w:pPr>
      <w:r>
        <w:rPr>
          <w:rFonts w:eastAsia="Times New Roman"/>
          <w:color w:val="000000"/>
          <w:sz w:val="20"/>
          <w:szCs w:val="20"/>
        </w:rPr>
        <w:t>In August 2018, the NAIC adopted changes to the RBC calculation, including the C-3 Phase II Total Asset Requirement for variable annuities, to reflect the 21% corporate income tax rate in RBC, which resulted in a reduction to our Combined RBC Ra</w:t>
      </w:r>
      <w:r>
        <w:rPr>
          <w:rFonts w:eastAsia="Times New Roman"/>
          <w:color w:val="000000"/>
          <w:sz w:val="20"/>
          <w:szCs w:val="20"/>
        </w:rPr>
        <w:t xml:space="preserve">tio. </w:t>
      </w:r>
    </w:p>
    <w:p w:rsidR="00000000" w:rsidRDefault="000C147A">
      <w:pPr>
        <w:ind w:firstLine="360"/>
        <w:divId w:val="527840151"/>
        <w:rPr>
          <w:rFonts w:eastAsia="Times New Roman"/>
        </w:rPr>
      </w:pPr>
      <w:r>
        <w:rPr>
          <w:rFonts w:eastAsia="Times New Roman"/>
          <w:color w:val="000000"/>
          <w:sz w:val="20"/>
          <w:szCs w:val="20"/>
        </w:rPr>
        <w:t xml:space="preserve">Overall, the TCJA had a net positive economic impact on us, and we continue to monitor regulations related to this reform. </w:t>
      </w:r>
    </w:p>
    <w:p w:rsidR="00000000" w:rsidRDefault="000C147A">
      <w:pPr>
        <w:jc w:val="center"/>
        <w:divId w:val="1310288355"/>
        <w:rPr>
          <w:rFonts w:eastAsia="Times New Roman"/>
        </w:rPr>
      </w:pPr>
      <w:r>
        <w:rPr>
          <w:rFonts w:eastAsia="Times New Roman"/>
          <w:color w:val="000000"/>
          <w:sz w:val="20"/>
          <w:szCs w:val="20"/>
        </w:rPr>
        <w:t>91</w:t>
      </w:r>
    </w:p>
    <w:p w:rsidR="00000000" w:rsidRDefault="000C147A">
      <w:pPr>
        <w:rPr>
          <w:rFonts w:eastAsia="Times New Roman"/>
        </w:rPr>
      </w:pPr>
      <w:r>
        <w:rPr>
          <w:rFonts w:eastAsia="Times New Roman"/>
        </w:rPr>
        <w:pict>
          <v:rect id="_x0000_i1117" style="width:0;height:1.5pt" o:hralign="center" o:hrstd="t" o:hr="t" fillcolor="#a0a0a0" stroked="f"/>
        </w:pict>
      </w:r>
    </w:p>
    <w:p w:rsidR="00000000" w:rsidRDefault="000C147A">
      <w:pPr>
        <w:ind w:firstLine="360"/>
        <w:divId w:val="372268512"/>
        <w:rPr>
          <w:rFonts w:eastAsia="Times New Roman"/>
        </w:rPr>
      </w:pPr>
    </w:p>
    <w:p w:rsidR="00000000" w:rsidRDefault="000C147A">
      <w:pPr>
        <w:divId w:val="947658683"/>
        <w:rPr>
          <w:rFonts w:eastAsia="Times New Roman"/>
        </w:rPr>
      </w:pPr>
      <w:r>
        <w:rPr>
          <w:rFonts w:eastAsia="Times New Roman"/>
          <w:b/>
          <w:bCs/>
          <w:color w:val="000000"/>
          <w:sz w:val="20"/>
          <w:szCs w:val="20"/>
        </w:rPr>
        <w:t xml:space="preserve">Separation Costs </w:t>
      </w:r>
    </w:p>
    <w:p w:rsidR="00000000" w:rsidRDefault="000C147A">
      <w:pPr>
        <w:ind w:firstLine="360"/>
        <w:divId w:val="1209344288"/>
        <w:rPr>
          <w:rFonts w:eastAsia="Times New Roman"/>
        </w:rPr>
      </w:pPr>
      <w:r>
        <w:rPr>
          <w:rFonts w:eastAsia="Times New Roman"/>
          <w:color w:val="000000"/>
          <w:sz w:val="20"/>
          <w:szCs w:val="20"/>
        </w:rPr>
        <w:t>In connection with our separation from AXA, we have incurred and e</w:t>
      </w:r>
      <w:r>
        <w:rPr>
          <w:rFonts w:eastAsia="Times New Roman"/>
          <w:color w:val="000000"/>
          <w:sz w:val="20"/>
          <w:szCs w:val="20"/>
        </w:rPr>
        <w:t>xpect to continue to incur one-time and recurring expenses. These expenses primarily relate to information technology, compliance, internal audit, finance, risk management, procurement, client service, human resources, rebranding and other support services</w:t>
      </w:r>
      <w:r>
        <w:rPr>
          <w:rFonts w:eastAsia="Times New Roman"/>
          <w:color w:val="000000"/>
          <w:sz w:val="20"/>
          <w:szCs w:val="20"/>
        </w:rPr>
        <w:t>. The process of replicating and replacing functions, systems and infrastructure provided by AXA or certain of its affiliates in order to operate on a stand-alone basis is currently underway. These expenses, any recurring expenses, including under the Tran</w:t>
      </w:r>
      <w:r>
        <w:rPr>
          <w:rFonts w:eastAsia="Times New Roman"/>
          <w:color w:val="000000"/>
          <w:sz w:val="20"/>
          <w:szCs w:val="20"/>
        </w:rPr>
        <w:t>sitional Services Agreement, and any additional one-time expenses we may incur may be material. See “Risk Factors” in the 2019 Form 10-K for additional information.</w:t>
      </w:r>
    </w:p>
    <w:p w:rsidR="00000000" w:rsidRDefault="000C147A">
      <w:pPr>
        <w:ind w:firstLine="360"/>
        <w:divId w:val="1580821605"/>
        <w:rPr>
          <w:rFonts w:eastAsia="Times New Roman"/>
        </w:rPr>
      </w:pPr>
      <w:r>
        <w:rPr>
          <w:rFonts w:eastAsia="Times New Roman"/>
          <w:color w:val="000000"/>
          <w:sz w:val="20"/>
          <w:szCs w:val="20"/>
        </w:rPr>
        <w:t>We estimate that the aggregate amount of the one-time expenses described above will be appr</w:t>
      </w:r>
      <w:r>
        <w:rPr>
          <w:rFonts w:eastAsia="Times New Roman"/>
          <w:color w:val="000000"/>
          <w:sz w:val="20"/>
          <w:szCs w:val="20"/>
        </w:rPr>
        <w:t>oximately $700 million. Through September 30, 2020, a total of $640 million has been incurred, of which $37 million, $39 million, $108 million and $121 million was incurred in the three and nine months ended September 30, 2020 and 2019, respectively.</w:t>
      </w:r>
    </w:p>
    <w:p w:rsidR="00000000" w:rsidRDefault="000C147A">
      <w:pPr>
        <w:divId w:val="142087931"/>
        <w:rPr>
          <w:rFonts w:eastAsia="Times New Roman"/>
        </w:rPr>
      </w:pPr>
      <w:r>
        <w:rPr>
          <w:rFonts w:eastAsia="Times New Roman"/>
          <w:b/>
          <w:bCs/>
          <w:color w:val="000000"/>
          <w:sz w:val="20"/>
          <w:szCs w:val="20"/>
        </w:rPr>
        <w:t>Produ</w:t>
      </w:r>
      <w:r>
        <w:rPr>
          <w:rFonts w:eastAsia="Times New Roman"/>
          <w:b/>
          <w:bCs/>
          <w:color w:val="000000"/>
          <w:sz w:val="20"/>
          <w:szCs w:val="20"/>
        </w:rPr>
        <w:t xml:space="preserve">ctivity Strategies </w:t>
      </w:r>
    </w:p>
    <w:p w:rsidR="00000000" w:rsidRDefault="000C147A">
      <w:pPr>
        <w:divId w:val="920137693"/>
        <w:rPr>
          <w:rFonts w:eastAsia="Times New Roman"/>
        </w:rPr>
      </w:pPr>
      <w:r>
        <w:rPr>
          <w:rFonts w:eastAsia="Times New Roman"/>
          <w:i/>
          <w:iCs/>
          <w:color w:val="000000"/>
          <w:sz w:val="20"/>
          <w:szCs w:val="20"/>
          <w:u w:val="single"/>
        </w:rPr>
        <w:t xml:space="preserve">Retirement and Protection Businesses </w:t>
      </w:r>
    </w:p>
    <w:p w:rsidR="00000000" w:rsidRDefault="000C147A">
      <w:pPr>
        <w:ind w:firstLine="360"/>
        <w:divId w:val="1208181357"/>
        <w:rPr>
          <w:rFonts w:eastAsia="Times New Roman"/>
        </w:rPr>
      </w:pPr>
      <w:r>
        <w:rPr>
          <w:rFonts w:eastAsia="Times New Roman"/>
          <w:color w:val="000000"/>
          <w:sz w:val="20"/>
          <w:szCs w:val="20"/>
        </w:rPr>
        <w:t>We continue to build upon our productivity improvements through which we delivered more than $350 million in efficiency improvements from 2012 through 2017. Our productivity strategy includes several initiatives, including relocating some of our real estat</w:t>
      </w:r>
      <w:r>
        <w:rPr>
          <w:rFonts w:eastAsia="Times New Roman"/>
          <w:color w:val="000000"/>
          <w:sz w:val="20"/>
          <w:szCs w:val="20"/>
        </w:rPr>
        <w:t xml:space="preserve">e footprint away from the New York metropolitan area, replacing or updating less efficient legacy technology infrastructure and expanding existing outsourcing arrangements, which we believe will reduce costs and improve productivity. </w:t>
      </w:r>
    </w:p>
    <w:p w:rsidR="00000000" w:rsidRDefault="000C147A">
      <w:pPr>
        <w:divId w:val="611278481"/>
        <w:rPr>
          <w:rFonts w:eastAsia="Times New Roman"/>
        </w:rPr>
      </w:pPr>
      <w:r>
        <w:rPr>
          <w:rFonts w:eastAsia="Times New Roman"/>
          <w:color w:val="000000"/>
          <w:sz w:val="20"/>
          <w:szCs w:val="20"/>
        </w:rPr>
        <w:t>We anticipate that th</w:t>
      </w:r>
      <w:r>
        <w:rPr>
          <w:rFonts w:eastAsia="Times New Roman"/>
          <w:color w:val="000000"/>
          <w:sz w:val="20"/>
          <w:szCs w:val="20"/>
        </w:rPr>
        <w:t>e savings from these initiatives will offset any incremental ongoing expenses that we incur as a standalone company, and we expect these initiatives to improve our operating leverage. In the third quarter of 2020 we achieved our run rate productivity expen</w:t>
      </w:r>
      <w:r>
        <w:rPr>
          <w:rFonts w:eastAsia="Times New Roman"/>
          <w:color w:val="000000"/>
          <w:sz w:val="20"/>
          <w:szCs w:val="20"/>
        </w:rPr>
        <w:t xml:space="preserve">se target of $75 million pre-tax per annum net of reinvestment in the business announced at the time of our IPO. </w:t>
      </w:r>
    </w:p>
    <w:p w:rsidR="00000000" w:rsidRDefault="000C147A">
      <w:pPr>
        <w:divId w:val="1978757304"/>
        <w:rPr>
          <w:rFonts w:eastAsia="Times New Roman"/>
        </w:rPr>
      </w:pPr>
      <w:r>
        <w:rPr>
          <w:rFonts w:eastAsia="Times New Roman"/>
          <w:i/>
          <w:iCs/>
          <w:color w:val="000000"/>
          <w:sz w:val="20"/>
          <w:szCs w:val="20"/>
          <w:u w:val="single"/>
        </w:rPr>
        <w:t xml:space="preserve">Investment Management and Research Business </w:t>
      </w:r>
    </w:p>
    <w:p w:rsidR="00000000" w:rsidRDefault="000C147A">
      <w:pPr>
        <w:ind w:firstLine="360"/>
        <w:divId w:val="1708529119"/>
        <w:rPr>
          <w:rFonts w:eastAsia="Times New Roman"/>
        </w:rPr>
      </w:pPr>
      <w:r>
        <w:rPr>
          <w:rFonts w:eastAsia="Times New Roman"/>
          <w:color w:val="000000"/>
          <w:sz w:val="20"/>
          <w:szCs w:val="20"/>
        </w:rPr>
        <w:t xml:space="preserve">AB has announced that it will establish its corporate headquarters in and relocate approximately </w:t>
      </w:r>
      <w:r>
        <w:rPr>
          <w:rFonts w:eastAsia="Times New Roman"/>
          <w:color w:val="000000"/>
          <w:sz w:val="20"/>
          <w:szCs w:val="20"/>
        </w:rPr>
        <w:t>1,250 jobs located in the New York metro area to Nashville, Tennessee. Beginning in 2025, AB estimates ongoing annual expense savings of approximately $75 million to $80 million which will result from a combination of occupancy and compensation-related sav</w:t>
      </w:r>
      <w:r>
        <w:rPr>
          <w:rFonts w:eastAsia="Times New Roman"/>
          <w:color w:val="000000"/>
          <w:sz w:val="20"/>
          <w:szCs w:val="20"/>
        </w:rPr>
        <w:t xml:space="preserve">ings. </w:t>
      </w:r>
    </w:p>
    <w:p w:rsidR="00000000" w:rsidRDefault="000C147A">
      <w:pPr>
        <w:divId w:val="424768459"/>
        <w:rPr>
          <w:rFonts w:eastAsia="Times New Roman"/>
        </w:rPr>
      </w:pPr>
      <w:r>
        <w:rPr>
          <w:rFonts w:eastAsia="Times New Roman"/>
          <w:b/>
          <w:bCs/>
          <w:color w:val="000000"/>
          <w:sz w:val="20"/>
          <w:szCs w:val="20"/>
        </w:rPr>
        <w:t xml:space="preserve">Key Operating Measures </w:t>
      </w:r>
    </w:p>
    <w:p w:rsidR="00000000" w:rsidRDefault="000C147A">
      <w:pPr>
        <w:ind w:firstLine="360"/>
        <w:divId w:val="1666471919"/>
        <w:rPr>
          <w:rFonts w:eastAsia="Times New Roman"/>
        </w:rPr>
      </w:pPr>
      <w:r>
        <w:rPr>
          <w:rFonts w:eastAsia="Times New Roman"/>
          <w:color w:val="000000"/>
          <w:sz w:val="20"/>
          <w:szCs w:val="20"/>
        </w:rPr>
        <w:t>In addition to our results presented in accordance with U.S. GAAP, we report Non-GAAP Operating Earnings, Non-GAAP Operating ROE, Non-GAAP Operating ROC by segment for our Individual Retirement, Group Retirement and Protection Solutions segments, and Non-G</w:t>
      </w:r>
      <w:r>
        <w:rPr>
          <w:rFonts w:eastAsia="Times New Roman"/>
          <w:color w:val="000000"/>
          <w:sz w:val="20"/>
          <w:szCs w:val="20"/>
        </w:rPr>
        <w:t>AAP Operating Earnings per share, each of which is a measure that is not determined in accordance with U.S. GAAP. Management principally uses these non-GAAP financial measures in evaluating performance because they present a clearer picture of our operatin</w:t>
      </w:r>
      <w:r>
        <w:rPr>
          <w:rFonts w:eastAsia="Times New Roman"/>
          <w:color w:val="000000"/>
          <w:sz w:val="20"/>
          <w:szCs w:val="20"/>
        </w:rPr>
        <w:t>g performance and they allow management to allocate resources. Similarly, management believes that the use of these Non-GAAP financial measures, together with relevant U.S. GAAP measures, provide investors with a better understanding of our results of oper</w:t>
      </w:r>
      <w:r>
        <w:rPr>
          <w:rFonts w:eastAsia="Times New Roman"/>
          <w:color w:val="000000"/>
          <w:sz w:val="20"/>
          <w:szCs w:val="20"/>
        </w:rPr>
        <w:t>ations and the underlying profitability drivers and trends of our business. These non-GAAP financial measures are intended to remove from our results of operations the impact of market changes (where there is mismatch in the valuation of assets and liabili</w:t>
      </w:r>
      <w:r>
        <w:rPr>
          <w:rFonts w:eastAsia="Times New Roman"/>
          <w:color w:val="000000"/>
          <w:sz w:val="20"/>
          <w:szCs w:val="20"/>
        </w:rPr>
        <w:t>ties) as well as certain other expenses which are not part of our underlying profitability drivers or likely to re-occur in the foreseeable future, as such items fluctuate from period-to-period in a manner inconsistent with these drivers. These measures sh</w:t>
      </w:r>
      <w:r>
        <w:rPr>
          <w:rFonts w:eastAsia="Times New Roman"/>
          <w:color w:val="000000"/>
          <w:sz w:val="20"/>
          <w:szCs w:val="20"/>
        </w:rPr>
        <w:t>ould be considered supplementary to our results that are presented in accordance with U.S. GAAP and should not be viewed as a substitute for the U.S. GAAP measures. Other companies may use similarly titled non-GAAP financial measures that are calculated di</w:t>
      </w:r>
      <w:r>
        <w:rPr>
          <w:rFonts w:eastAsia="Times New Roman"/>
          <w:color w:val="000000"/>
          <w:sz w:val="20"/>
          <w:szCs w:val="20"/>
        </w:rPr>
        <w:t xml:space="preserve">fferently from the way we calculate such measures. Consequently, our non-GAAP financial measures may not be comparable to similar measures used by other companies. </w:t>
      </w:r>
    </w:p>
    <w:p w:rsidR="00000000" w:rsidRDefault="000C147A">
      <w:pPr>
        <w:ind w:firstLine="360"/>
        <w:divId w:val="225143869"/>
        <w:rPr>
          <w:rFonts w:eastAsia="Times New Roman"/>
        </w:rPr>
      </w:pPr>
      <w:r>
        <w:rPr>
          <w:rFonts w:eastAsia="Times New Roman"/>
          <w:color w:val="000000"/>
          <w:sz w:val="20"/>
          <w:szCs w:val="20"/>
        </w:rPr>
        <w:t>We also discuss certain operating measures, including AUM, AUA, AV, Protection Solutions Re</w:t>
      </w:r>
      <w:r>
        <w:rPr>
          <w:rFonts w:eastAsia="Times New Roman"/>
          <w:color w:val="000000"/>
          <w:sz w:val="20"/>
          <w:szCs w:val="20"/>
        </w:rPr>
        <w:t xml:space="preserve">serves and certain other operating measures, which management believes provide useful information about our businesses and the operational factors underlying our financial performance. </w:t>
      </w:r>
    </w:p>
    <w:p w:rsidR="00000000" w:rsidRDefault="000C147A">
      <w:pPr>
        <w:jc w:val="both"/>
        <w:divId w:val="2071341022"/>
        <w:rPr>
          <w:rFonts w:eastAsia="Times New Roman"/>
        </w:rPr>
      </w:pPr>
      <w:r>
        <w:rPr>
          <w:rFonts w:eastAsia="Times New Roman"/>
          <w:b/>
          <w:bCs/>
          <w:i/>
          <w:iCs/>
          <w:color w:val="000000"/>
          <w:sz w:val="20"/>
          <w:szCs w:val="20"/>
        </w:rPr>
        <w:t xml:space="preserve">Non-GAAP Operating Earnings </w:t>
      </w:r>
    </w:p>
    <w:p w:rsidR="00000000" w:rsidRDefault="000C147A">
      <w:pPr>
        <w:jc w:val="center"/>
        <w:divId w:val="122777829"/>
        <w:rPr>
          <w:rFonts w:eastAsia="Times New Roman"/>
        </w:rPr>
      </w:pPr>
      <w:r>
        <w:rPr>
          <w:rFonts w:eastAsia="Times New Roman"/>
          <w:color w:val="000000"/>
          <w:sz w:val="20"/>
          <w:szCs w:val="20"/>
        </w:rPr>
        <w:t>92</w:t>
      </w:r>
    </w:p>
    <w:p w:rsidR="00000000" w:rsidRDefault="000C147A">
      <w:pPr>
        <w:rPr>
          <w:rFonts w:eastAsia="Times New Roman"/>
        </w:rPr>
      </w:pPr>
      <w:r>
        <w:rPr>
          <w:rFonts w:eastAsia="Times New Roman"/>
        </w:rPr>
        <w:pict>
          <v:rect id="_x0000_i1118" style="width:0;height:1.5pt" o:hralign="center" o:hrstd="t" o:hr="t" fillcolor="#a0a0a0" stroked="f"/>
        </w:pict>
      </w:r>
    </w:p>
    <w:p w:rsidR="00000000" w:rsidRDefault="000C147A">
      <w:pPr>
        <w:ind w:firstLine="360"/>
        <w:divId w:val="1472136239"/>
        <w:rPr>
          <w:rFonts w:eastAsia="Times New Roman"/>
        </w:rPr>
      </w:pPr>
    </w:p>
    <w:p w:rsidR="00000000" w:rsidRDefault="000C147A">
      <w:pPr>
        <w:ind w:firstLine="360"/>
        <w:divId w:val="1532840950"/>
        <w:rPr>
          <w:rFonts w:eastAsia="Times New Roman"/>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 after-tax net income attributable to Holdings. Th</w:t>
      </w:r>
      <w:r>
        <w:rPr>
          <w:rFonts w:eastAsia="Times New Roman"/>
          <w:color w:val="000000"/>
          <w:sz w:val="20"/>
          <w:szCs w:val="20"/>
        </w:rPr>
        <w:t xml:space="preserve">e most significant of such adjustments relates to our derivative positions, which protect economic value and statutory capital, and are more sensitive to changes in market conditions than the variable annuity product liabilities as valued under U.S. GAAP. </w:t>
      </w:r>
      <w:r>
        <w:rPr>
          <w:rFonts w:eastAsia="Times New Roman"/>
          <w:color w:val="000000"/>
          <w:sz w:val="20"/>
          <w:szCs w:val="20"/>
        </w:rPr>
        <w:t xml:space="preserve">This is a large source of volatility in net income. </w:t>
      </w:r>
    </w:p>
    <w:p w:rsidR="00000000" w:rsidRDefault="000C147A">
      <w:pPr>
        <w:ind w:firstLine="360"/>
        <w:divId w:val="750933122"/>
        <w:rPr>
          <w:rFonts w:eastAsia="Times New Roman"/>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p w:rsidR="00000000" w:rsidRDefault="000C147A">
      <w:pPr>
        <w:ind w:hanging="360"/>
        <w:jc w:val="both"/>
        <w:divId w:val="791754635"/>
        <w:rPr>
          <w:rFonts w:eastAsia="Times New Roman"/>
        </w:rPr>
      </w:pPr>
      <w:r>
        <w:rPr>
          <w:rFonts w:eastAsia="Times New Roman"/>
          <w:color w:val="000000"/>
          <w:sz w:val="20"/>
          <w:szCs w:val="20"/>
        </w:rPr>
        <w:t>•Items related to variable annuity product feat</w:t>
      </w:r>
      <w:r>
        <w:rPr>
          <w:rFonts w:eastAsia="Times New Roman"/>
          <w:color w:val="000000"/>
          <w:sz w:val="20"/>
          <w:szCs w:val="20"/>
        </w:rPr>
        <w:t xml:space="preserve">ures, which include: (i) certain changes in the fair value of the derivatives and other securities we use to hedge these features; (ii) the effect of benefit ratio unlock adjustments related to extraordinary economic conditions or events such as COVID-19; </w:t>
      </w:r>
      <w:r>
        <w:rPr>
          <w:rFonts w:eastAsia="Times New Roman"/>
          <w:color w:val="000000"/>
          <w:sz w:val="20"/>
          <w:szCs w:val="20"/>
        </w:rPr>
        <w:t xml:space="preserve">and (iii) changes in the fair value of the embedded derivatives reflected within variable annuity products’ net derivative results and the impact of these items on DAC amortization on our SCS product. </w:t>
      </w:r>
    </w:p>
    <w:p w:rsidR="00000000" w:rsidRDefault="000C147A">
      <w:pPr>
        <w:ind w:hanging="360"/>
        <w:jc w:val="both"/>
        <w:divId w:val="1641613251"/>
        <w:rPr>
          <w:rFonts w:eastAsia="Times New Roman"/>
        </w:rPr>
      </w:pPr>
      <w:r>
        <w:rPr>
          <w:rFonts w:eastAsia="Times New Roman"/>
          <w:color w:val="000000"/>
          <w:sz w:val="20"/>
          <w:szCs w:val="20"/>
        </w:rPr>
        <w:t>•Investment (gains) losses, which includes credit loss</w:t>
      </w:r>
      <w:r>
        <w:rPr>
          <w:rFonts w:eastAsia="Times New Roman"/>
          <w:color w:val="000000"/>
          <w:sz w:val="20"/>
          <w:szCs w:val="20"/>
        </w:rPr>
        <w:t xml:space="preserve"> impairments of securities/investments, sales or disposals of securities/investments, realized capital gains/losses and valuation allowances; </w:t>
      </w:r>
    </w:p>
    <w:p w:rsidR="00000000" w:rsidRDefault="000C147A">
      <w:pPr>
        <w:ind w:hanging="360"/>
        <w:jc w:val="both"/>
        <w:divId w:val="1334724502"/>
        <w:rPr>
          <w:rFonts w:eastAsia="Times New Roman"/>
        </w:rPr>
      </w:pPr>
      <w:r>
        <w:rPr>
          <w:rFonts w:eastAsia="Times New Roman"/>
          <w:color w:val="000000"/>
          <w:sz w:val="20"/>
          <w:szCs w:val="20"/>
        </w:rPr>
        <w:t>•Net actuarial (gains) losses, which includes actuarial gains and losses as a result of differences between actua</w:t>
      </w:r>
      <w:r>
        <w:rPr>
          <w:rFonts w:eastAsia="Times New Roman"/>
          <w:color w:val="000000"/>
          <w:sz w:val="20"/>
          <w:szCs w:val="20"/>
        </w:rPr>
        <w:t xml:space="preserve">l and expected experience on pension plan assets or projected benefit obligation during a given period related to pension, other postretirement benefit obligations, and the one-time impact of the settlement of the defined benefit obligation; </w:t>
      </w:r>
    </w:p>
    <w:p w:rsidR="00000000" w:rsidRDefault="000C147A">
      <w:pPr>
        <w:ind w:hanging="360"/>
        <w:jc w:val="both"/>
        <w:divId w:val="1940290052"/>
        <w:rPr>
          <w:rFonts w:eastAsia="Times New Roman"/>
        </w:rPr>
      </w:pPr>
      <w:r>
        <w:rPr>
          <w:rFonts w:eastAsia="Times New Roman"/>
          <w:color w:val="000000"/>
          <w:sz w:val="20"/>
          <w:szCs w:val="20"/>
        </w:rPr>
        <w:t>•Other adjust</w:t>
      </w:r>
      <w:r>
        <w:rPr>
          <w:rFonts w:eastAsia="Times New Roman"/>
          <w:color w:val="000000"/>
          <w:sz w:val="20"/>
          <w:szCs w:val="20"/>
        </w:rPr>
        <w:t xml:space="preserve">ments, which includes restructuring costs related to severance, lease write-offs related to non-recurring restructuring activities, separation costs and impacts related to COVID-19; and </w:t>
      </w:r>
    </w:p>
    <w:p w:rsidR="00000000" w:rsidRDefault="000C147A">
      <w:pPr>
        <w:ind w:hanging="360"/>
        <w:jc w:val="both"/>
        <w:divId w:val="682172768"/>
        <w:rPr>
          <w:rFonts w:eastAsia="Times New Roman"/>
        </w:rPr>
      </w:pPr>
      <w:r>
        <w:rPr>
          <w:rFonts w:eastAsia="Times New Roman"/>
          <w:color w:val="000000"/>
          <w:sz w:val="20"/>
          <w:szCs w:val="20"/>
        </w:rPr>
        <w:t>•Income tax expense (benefit) related to the above items and non-recu</w:t>
      </w:r>
      <w:r>
        <w:rPr>
          <w:rFonts w:eastAsia="Times New Roman"/>
          <w:color w:val="000000"/>
          <w:sz w:val="20"/>
          <w:szCs w:val="20"/>
        </w:rPr>
        <w:t>rring tax items, which includes the effect of uncertain tax positions for a given audit period.</w:t>
      </w:r>
    </w:p>
    <w:p w:rsidR="00000000" w:rsidRDefault="000C147A">
      <w:pPr>
        <w:ind w:firstLine="360"/>
        <w:divId w:val="1952080117"/>
        <w:rPr>
          <w:rFonts w:eastAsia="Times New Roman"/>
        </w:rPr>
      </w:pPr>
      <w:r>
        <w:rPr>
          <w:rFonts w:eastAsia="Times New Roman"/>
          <w:color w:val="000000"/>
          <w:sz w:val="20"/>
          <w:szCs w:val="20"/>
        </w:rPr>
        <w:t>Because Non-GAAP Operating Earnings excludes the foregoing items that can be distortive or unpredictable, management believes that this measure enhances the und</w:t>
      </w:r>
      <w:r>
        <w:rPr>
          <w:rFonts w:eastAsia="Times New Roman"/>
          <w:color w:val="000000"/>
          <w:sz w:val="20"/>
          <w:szCs w:val="20"/>
        </w:rPr>
        <w:t xml:space="preserve">erstanding of the Company’s underlying drivers of profitability and trends in our business, thereby allowing management to make decisions that will positively impact our business. </w:t>
      </w:r>
    </w:p>
    <w:p w:rsidR="00000000" w:rsidRDefault="000C147A">
      <w:pPr>
        <w:ind w:firstLine="360"/>
        <w:divId w:val="945192094"/>
        <w:rPr>
          <w:rFonts w:eastAsia="Times New Roman"/>
        </w:rPr>
      </w:pPr>
      <w:r>
        <w:rPr>
          <w:rFonts w:eastAsia="Times New Roman"/>
          <w:color w:val="000000"/>
          <w:sz w:val="20"/>
          <w:szCs w:val="20"/>
        </w:rPr>
        <w:t>We use the prevailing corporate federal income tax rate of 21% while taking</w:t>
      </w:r>
      <w:r>
        <w:rPr>
          <w:rFonts w:eastAsia="Times New Roman"/>
          <w:color w:val="000000"/>
          <w:sz w:val="20"/>
          <w:szCs w:val="20"/>
        </w:rPr>
        <w:t xml:space="preserve"> into account any non-recurring differences for events recognized differently in our financial statements and federal income tax returns as well as partnership income taxed at lower rates when reconciling Net income (loss) attributable to Holdings to Non-G</w:t>
      </w:r>
      <w:r>
        <w:rPr>
          <w:rFonts w:eastAsia="Times New Roman"/>
          <w:color w:val="000000"/>
          <w:sz w:val="20"/>
          <w:szCs w:val="20"/>
        </w:rPr>
        <w:t xml:space="preserve">AAP Operating Earnings. </w:t>
      </w:r>
    </w:p>
    <w:p w:rsidR="00000000" w:rsidRDefault="000C147A">
      <w:pPr>
        <w:ind w:firstLine="360"/>
        <w:divId w:val="1730885422"/>
        <w:rPr>
          <w:rFonts w:eastAsia="Times New Roman"/>
        </w:rPr>
      </w:pPr>
      <w:r>
        <w:rPr>
          <w:rFonts w:eastAsia="Times New Roman"/>
          <w:color w:val="000000"/>
          <w:sz w:val="20"/>
          <w:szCs w:val="20"/>
        </w:rPr>
        <w:t>The table below presents a reconciliation of Net income (loss) attributable to Holdings to Non-GAAP Operating Earnings for the nine months ended September 30, 2020 and 2019:</w:t>
      </w:r>
    </w:p>
    <w:tbl>
      <w:tblPr>
        <w:tblW w:w="4802" w:type="pct"/>
        <w:tblCellMar>
          <w:top w:w="15" w:type="dxa"/>
          <w:left w:w="15" w:type="dxa"/>
          <w:bottom w:w="15" w:type="dxa"/>
          <w:right w:w="15" w:type="dxa"/>
        </w:tblCellMar>
        <w:tblLook w:val="04A0" w:firstRow="1" w:lastRow="0" w:firstColumn="1" w:lastColumn="0" w:noHBand="0" w:noVBand="1"/>
      </w:tblPr>
      <w:tblGrid>
        <w:gridCol w:w="40"/>
        <w:gridCol w:w="4156"/>
        <w:gridCol w:w="39"/>
        <w:gridCol w:w="120"/>
        <w:gridCol w:w="762"/>
        <w:gridCol w:w="36"/>
        <w:gridCol w:w="36"/>
        <w:gridCol w:w="36"/>
        <w:gridCol w:w="36"/>
        <w:gridCol w:w="120"/>
        <w:gridCol w:w="750"/>
        <w:gridCol w:w="36"/>
        <w:gridCol w:w="36"/>
        <w:gridCol w:w="36"/>
        <w:gridCol w:w="36"/>
        <w:gridCol w:w="120"/>
        <w:gridCol w:w="641"/>
        <w:gridCol w:w="36"/>
        <w:gridCol w:w="36"/>
        <w:gridCol w:w="36"/>
        <w:gridCol w:w="36"/>
        <w:gridCol w:w="120"/>
        <w:gridCol w:w="641"/>
        <w:gridCol w:w="36"/>
      </w:tblGrid>
      <w:tr w:rsidR="00000000">
        <w:trPr>
          <w:divId w:val="1827628811"/>
        </w:trPr>
        <w:tc>
          <w:tcPr>
            <w:tcW w:w="50" w:type="pct"/>
            <w:vAlign w:val="center"/>
            <w:hideMark/>
          </w:tcPr>
          <w:p w:rsidR="00000000" w:rsidRDefault="000C147A">
            <w:pPr>
              <w:ind w:firstLine="360"/>
              <w:rPr>
                <w:rFonts w:eastAsia="Times New Roman"/>
              </w:rPr>
            </w:pPr>
          </w:p>
        </w:tc>
        <w:tc>
          <w:tcPr>
            <w:tcW w:w="265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1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827628811"/>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182762881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827628811"/>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82762881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attributable to Holdings</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(779)</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827628811"/>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Variable annuity product features (1)</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adjustments (2)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FFFF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Income tax expense (benefit) related to above adjustments (4)</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(685)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CCEEFF"/>
            <w:tcMar>
              <w:top w:w="30" w:type="dxa"/>
              <w:left w:w="24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82762881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Earnings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017270596"/>
        <w:rPr>
          <w:rFonts w:eastAsia="Times New Roman"/>
        </w:rPr>
      </w:pPr>
      <w:r>
        <w:rPr>
          <w:rFonts w:eastAsia="Times New Roman"/>
          <w:color w:val="000000"/>
          <w:sz w:val="20"/>
          <w:szCs w:val="20"/>
        </w:rPr>
        <w:t>______________</w:t>
      </w:r>
    </w:p>
    <w:p w:rsidR="00000000" w:rsidRDefault="000C147A">
      <w:pPr>
        <w:ind w:hanging="360"/>
        <w:divId w:val="1238977668"/>
        <w:rPr>
          <w:rFonts w:eastAsia="Times New Roman"/>
        </w:rPr>
      </w:pPr>
      <w:r>
        <w:rPr>
          <w:rFonts w:eastAsia="Times New Roman"/>
          <w:color w:val="000000"/>
          <w:sz w:val="18"/>
          <w:szCs w:val="18"/>
        </w:rPr>
        <w:t>(1)Includes COVID-19 impact on Variable annuity product features due to a first quarter 2020 assumption update of $1.5 billion and ot</w:t>
      </w:r>
      <w:r>
        <w:rPr>
          <w:rFonts w:eastAsia="Times New Roman"/>
          <w:color w:val="000000"/>
          <w:sz w:val="18"/>
          <w:szCs w:val="18"/>
        </w:rPr>
        <w:t>her COVID-19 related impacts of $35 million for the nine months ended September 30, 2020.    </w:t>
      </w:r>
    </w:p>
    <w:p w:rsidR="00000000" w:rsidRDefault="000C147A">
      <w:pPr>
        <w:ind w:hanging="360"/>
        <w:divId w:val="1888880203"/>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w:t>
      </w:r>
      <w:r>
        <w:rPr>
          <w:rFonts w:eastAsia="Times New Roman"/>
          <w:color w:val="000000"/>
          <w:sz w:val="18"/>
          <w:szCs w:val="18"/>
        </w:rPr>
        <w:t>or the nine months ended September 30, 2020.</w:t>
      </w:r>
    </w:p>
    <w:p w:rsidR="00000000" w:rsidRDefault="000C147A">
      <w:pPr>
        <w:ind w:hanging="360"/>
        <w:divId w:val="8072275"/>
        <w:rPr>
          <w:rFonts w:eastAsia="Times New Roman"/>
        </w:rPr>
      </w:pPr>
      <w:r>
        <w:rPr>
          <w:rFonts w:eastAsia="Times New Roman"/>
          <w:color w:val="000000"/>
          <w:sz w:val="18"/>
          <w:szCs w:val="18"/>
        </w:rPr>
        <w:t>(3)Includes separation costs of $37 million, $39 million, $108 million and $121 million for the three and nine months ended September 30, 2020 and 2019, respectively.</w:t>
      </w:r>
    </w:p>
    <w:p w:rsidR="00000000" w:rsidRDefault="000C147A">
      <w:pPr>
        <w:ind w:hanging="360"/>
        <w:divId w:val="161819354"/>
        <w:rPr>
          <w:rFonts w:eastAsia="Times New Roman"/>
        </w:rPr>
      </w:pPr>
      <w:r>
        <w:rPr>
          <w:rFonts w:eastAsia="Times New Roman"/>
          <w:color w:val="000000"/>
          <w:sz w:val="18"/>
          <w:szCs w:val="18"/>
        </w:rPr>
        <w:t>(4)Includes income taxes of $(554) million f</w:t>
      </w:r>
      <w:r>
        <w:rPr>
          <w:rFonts w:eastAsia="Times New Roman"/>
          <w:color w:val="000000"/>
          <w:sz w:val="18"/>
          <w:szCs w:val="18"/>
        </w:rPr>
        <w:t>or the above related COVID-19 items for the nine months ended September 30, 2020.</w:t>
      </w:r>
    </w:p>
    <w:p w:rsidR="00000000" w:rsidRDefault="000C147A">
      <w:pPr>
        <w:jc w:val="center"/>
        <w:divId w:val="75438592"/>
        <w:rPr>
          <w:rFonts w:eastAsia="Times New Roman"/>
        </w:rPr>
      </w:pPr>
      <w:r>
        <w:rPr>
          <w:rFonts w:eastAsia="Times New Roman"/>
          <w:color w:val="000000"/>
          <w:sz w:val="20"/>
          <w:szCs w:val="20"/>
        </w:rPr>
        <w:t>93</w:t>
      </w:r>
    </w:p>
    <w:p w:rsidR="00000000" w:rsidRDefault="000C147A">
      <w:pPr>
        <w:rPr>
          <w:rFonts w:eastAsia="Times New Roman"/>
        </w:rPr>
      </w:pPr>
      <w:r>
        <w:rPr>
          <w:rFonts w:eastAsia="Times New Roman"/>
        </w:rPr>
        <w:pict>
          <v:rect id="_x0000_i1119" style="width:0;height:1.5pt" o:hralign="center" o:hrstd="t" o:hr="t" fillcolor="#a0a0a0" stroked="f"/>
        </w:pict>
      </w:r>
    </w:p>
    <w:p w:rsidR="00000000" w:rsidRDefault="000C147A">
      <w:pPr>
        <w:ind w:firstLine="360"/>
        <w:divId w:val="1528177669"/>
        <w:rPr>
          <w:rFonts w:eastAsia="Times New Roman"/>
        </w:rPr>
      </w:pPr>
    </w:p>
    <w:p w:rsidR="00000000" w:rsidRDefault="000C147A">
      <w:pPr>
        <w:jc w:val="both"/>
        <w:divId w:val="649285451"/>
        <w:rPr>
          <w:rFonts w:eastAsia="Times New Roman"/>
        </w:rPr>
      </w:pPr>
      <w:r>
        <w:rPr>
          <w:rFonts w:eastAsia="Times New Roman"/>
          <w:b/>
          <w:bCs/>
          <w:i/>
          <w:iCs/>
          <w:color w:val="000000"/>
          <w:sz w:val="20"/>
          <w:szCs w:val="20"/>
        </w:rPr>
        <w:t xml:space="preserve">Non-GAAP Operating ROE and Non-GAAP Operating ROC by Segment </w:t>
      </w:r>
    </w:p>
    <w:p w:rsidR="00000000" w:rsidRDefault="000C147A">
      <w:pPr>
        <w:ind w:firstLine="360"/>
        <w:divId w:val="274211651"/>
        <w:rPr>
          <w:rFonts w:eastAsia="Times New Roman"/>
        </w:rPr>
      </w:pPr>
      <w:r>
        <w:rPr>
          <w:rFonts w:eastAsia="Times New Roman"/>
          <w:color w:val="000000"/>
          <w:sz w:val="20"/>
          <w:szCs w:val="20"/>
        </w:rPr>
        <w:t>We report Non-GAAP Operating ROE and Non-GAAP Operating ROC by segment</w:t>
      </w:r>
      <w:r>
        <w:rPr>
          <w:rFonts w:eastAsia="Times New Roman"/>
          <w:color w:val="000000"/>
          <w:sz w:val="20"/>
          <w:szCs w:val="20"/>
        </w:rPr>
        <w:t xml:space="preserve"> for our Individual Retirement, Group Retirement and Protection Solutions segments, each of which is a Non-GAAP financial measure used to evaluate our profitability on a consolidated basis and by segment, respectively. </w:t>
      </w:r>
    </w:p>
    <w:p w:rsidR="00000000" w:rsidRDefault="000C147A">
      <w:pPr>
        <w:ind w:firstLine="360"/>
        <w:divId w:val="1473517212"/>
        <w:rPr>
          <w:rFonts w:eastAsia="Times New Roman"/>
        </w:rPr>
      </w:pPr>
      <w:r>
        <w:rPr>
          <w:rFonts w:eastAsia="Times New Roman"/>
          <w:color w:val="000000"/>
          <w:sz w:val="20"/>
          <w:szCs w:val="20"/>
        </w:rPr>
        <w:t xml:space="preserve">We calculate Non-GAAP Operating ROE </w:t>
      </w:r>
      <w:r>
        <w:rPr>
          <w:rFonts w:eastAsia="Times New Roman"/>
          <w:color w:val="000000"/>
          <w:sz w:val="20"/>
          <w:szCs w:val="20"/>
        </w:rPr>
        <w:t xml:space="preserve">by dividing Non-GAAP Operating Earnings for the previous twelve calendar months by consolidated average equity attributable to Holdings’ common shareholders, excluding Accumulated Other Comprehensive Income (“AOCI”). We calculate Non-GAAP Operating ROC by </w:t>
      </w:r>
      <w:r>
        <w:rPr>
          <w:rFonts w:eastAsia="Times New Roman"/>
          <w:color w:val="000000"/>
          <w:sz w:val="20"/>
          <w:szCs w:val="20"/>
        </w:rPr>
        <w:t>segment by dividing Operating earnings (loss) on a segment basis for the previous twelve calendar months by average capital on a segment basis, excluding AOCI, as described below. AOCI fluctuates period-to-period in a manner inconsistent with our underlyin</w:t>
      </w:r>
      <w:r>
        <w:rPr>
          <w:rFonts w:eastAsia="Times New Roman"/>
          <w:color w:val="000000"/>
          <w:sz w:val="20"/>
          <w:szCs w:val="20"/>
        </w:rPr>
        <w:t xml:space="preserve">g profitability drivers as the majority of such fluctuation is related to the market volatility of the unrealized gains and losses associated with our available-for-sale (“AFS”) securities. </w:t>
      </w:r>
    </w:p>
    <w:p w:rsidR="00000000" w:rsidRDefault="000C147A">
      <w:pPr>
        <w:ind w:firstLine="360"/>
        <w:divId w:val="1856266933"/>
        <w:rPr>
          <w:rFonts w:eastAsia="Times New Roman"/>
        </w:rPr>
      </w:pPr>
      <w:r>
        <w:rPr>
          <w:rFonts w:eastAsia="Times New Roman"/>
          <w:color w:val="000000"/>
          <w:sz w:val="20"/>
          <w:szCs w:val="20"/>
        </w:rPr>
        <w:t>Therefore, we believe excluding AOCI is more effective for analyz</w:t>
      </w:r>
      <w:r>
        <w:rPr>
          <w:rFonts w:eastAsia="Times New Roman"/>
          <w:color w:val="000000"/>
          <w:sz w:val="20"/>
          <w:szCs w:val="20"/>
        </w:rPr>
        <w:t>ing the trends of our operations. We do not calculate Non-GAAP Operating ROC by segment for our Investment Management and Research segment because we do not manage that segment from a return of capital perspective. Instead, we use metrics more directly app</w:t>
      </w:r>
      <w:r>
        <w:rPr>
          <w:rFonts w:eastAsia="Times New Roman"/>
          <w:color w:val="000000"/>
          <w:sz w:val="20"/>
          <w:szCs w:val="20"/>
        </w:rPr>
        <w:t xml:space="preserve">licable to an asset management business, such as AUM, to evaluate and manage that segment. </w:t>
      </w:r>
    </w:p>
    <w:p w:rsidR="00000000" w:rsidRDefault="000C147A">
      <w:pPr>
        <w:ind w:firstLine="360"/>
        <w:divId w:val="1804733894"/>
        <w:rPr>
          <w:rFonts w:eastAsia="Times New Roman"/>
        </w:rPr>
      </w:pPr>
      <w:r>
        <w:rPr>
          <w:rFonts w:eastAsia="Times New Roman"/>
          <w:color w:val="000000"/>
          <w:sz w:val="20"/>
          <w:szCs w:val="20"/>
        </w:rPr>
        <w:t>For Non-GAAP Operating ROC by segment, capital components pertaining directly to specific segments such as DAC along with targeted capital are directly attributed t</w:t>
      </w:r>
      <w:r>
        <w:rPr>
          <w:rFonts w:eastAsia="Times New Roman"/>
          <w:color w:val="000000"/>
          <w:sz w:val="20"/>
          <w:szCs w:val="20"/>
        </w:rPr>
        <w:t>o these segments. Targeted capital for each segment is established using assumptions supporting statutory capital adequacy levels, reflecting the newly adopted NAIC RBC framework the company as of year end 2019. To enhance the ability to analyze these meas</w:t>
      </w:r>
      <w:r>
        <w:rPr>
          <w:rFonts w:eastAsia="Times New Roman"/>
          <w:color w:val="000000"/>
          <w:sz w:val="20"/>
          <w:szCs w:val="20"/>
        </w:rPr>
        <w:t>ures across periods, interim periods are annualized. Non-GAAP Operating ROE and Non-GAAP Operating ROC by segment should not be used as substitutes for ROE.</w:t>
      </w:r>
    </w:p>
    <w:p w:rsidR="00000000" w:rsidRDefault="000C147A">
      <w:pPr>
        <w:ind w:firstLine="360"/>
        <w:divId w:val="2135439204"/>
        <w:rPr>
          <w:rFonts w:eastAsia="Times New Roman"/>
        </w:rPr>
      </w:pPr>
      <w:r>
        <w:rPr>
          <w:rFonts w:eastAsia="Times New Roman"/>
          <w:color w:val="000000"/>
          <w:sz w:val="20"/>
          <w:szCs w:val="20"/>
        </w:rPr>
        <w:t xml:space="preserve">The following table presents Return on Average equity attributable to Holdings’ </w:t>
      </w:r>
      <w:r>
        <w:rPr>
          <w:rFonts w:eastAsia="Times New Roman"/>
          <w:color w:val="000000"/>
          <w:sz w:val="20"/>
          <w:szCs w:val="20"/>
        </w:rPr>
        <w:t>common shareholders, excluding AOCI and Non-GAAP Operating ROE for the trailing twelve months ended September 30, 2020.</w:t>
      </w:r>
    </w:p>
    <w:tbl>
      <w:tblPr>
        <w:tblW w:w="4619" w:type="pct"/>
        <w:tblCellMar>
          <w:top w:w="15" w:type="dxa"/>
          <w:left w:w="15" w:type="dxa"/>
          <w:bottom w:w="15" w:type="dxa"/>
          <w:right w:w="15" w:type="dxa"/>
        </w:tblCellMar>
        <w:tblLook w:val="04A0" w:firstRow="1" w:lastRow="0" w:firstColumn="1" w:lastColumn="0" w:noHBand="0" w:noVBand="1"/>
      </w:tblPr>
      <w:tblGrid>
        <w:gridCol w:w="37"/>
        <w:gridCol w:w="5740"/>
        <w:gridCol w:w="36"/>
        <w:gridCol w:w="120"/>
        <w:gridCol w:w="1520"/>
        <w:gridCol w:w="220"/>
      </w:tblGrid>
      <w:tr w:rsidR="00000000">
        <w:trPr>
          <w:divId w:val="682514089"/>
        </w:trPr>
        <w:tc>
          <w:tcPr>
            <w:tcW w:w="50" w:type="pct"/>
            <w:vAlign w:val="center"/>
            <w:hideMark/>
          </w:tcPr>
          <w:p w:rsidR="00000000" w:rsidRDefault="000C147A">
            <w:pPr>
              <w:ind w:firstLine="360"/>
              <w:rPr>
                <w:rFonts w:eastAsia="Times New Roman"/>
              </w:rPr>
            </w:pPr>
          </w:p>
        </w:tc>
        <w:tc>
          <w:tcPr>
            <w:tcW w:w="383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05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8251408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Trailing Twelve Months Ended September 30, 2020</w:t>
            </w:r>
          </w:p>
        </w:tc>
      </w:tr>
      <w:tr w:rsidR="00000000">
        <w:trPr>
          <w:divId w:val="68251408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8251408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(390)</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8251408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13,348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8251408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682514089"/>
          <w:trHeight w:val="280"/>
        </w:trPr>
        <w:tc>
          <w:tcPr>
            <w:tcW w:w="0" w:type="auto"/>
            <w:gridSpan w:val="3"/>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8251408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82514089"/>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13,348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8251408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bl>
    <w:p w:rsidR="00000000" w:rsidRDefault="000C147A">
      <w:pPr>
        <w:divId w:val="1065567497"/>
        <w:rPr>
          <w:rFonts w:eastAsia="Times New Roman"/>
        </w:rPr>
      </w:pPr>
    </w:p>
    <w:p w:rsidR="00000000" w:rsidRDefault="000C147A">
      <w:pPr>
        <w:ind w:firstLine="360"/>
        <w:divId w:val="151876614"/>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September 30,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4721"/>
        <w:gridCol w:w="36"/>
        <w:gridCol w:w="120"/>
        <w:gridCol w:w="837"/>
        <w:gridCol w:w="220"/>
        <w:gridCol w:w="36"/>
        <w:gridCol w:w="36"/>
        <w:gridCol w:w="36"/>
        <w:gridCol w:w="120"/>
        <w:gridCol w:w="718"/>
        <w:gridCol w:w="220"/>
        <w:gridCol w:w="36"/>
        <w:gridCol w:w="36"/>
        <w:gridCol w:w="36"/>
        <w:gridCol w:w="120"/>
        <w:gridCol w:w="721"/>
        <w:gridCol w:w="220"/>
      </w:tblGrid>
      <w:tr w:rsidR="00000000">
        <w:trPr>
          <w:divId w:val="273053686"/>
        </w:trPr>
        <w:tc>
          <w:tcPr>
            <w:tcW w:w="50" w:type="pct"/>
            <w:vAlign w:val="center"/>
            <w:hideMark/>
          </w:tcPr>
          <w:p w:rsidR="00000000" w:rsidRDefault="000C147A">
            <w:pPr>
              <w:ind w:firstLine="360"/>
              <w:rPr>
                <w:rFonts w:eastAsia="Times New Roman"/>
              </w:rPr>
            </w:pPr>
          </w:p>
        </w:tc>
        <w:tc>
          <w:tcPr>
            <w:tcW w:w="29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7305368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Trailing Twelve Months Ended September 30, 2020</w:t>
            </w:r>
          </w:p>
        </w:tc>
      </w:tr>
      <w:tr w:rsidR="00000000">
        <w:trPr>
          <w:divId w:val="27305368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Individual Retirement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Group Retirement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Protection Solutions</w:t>
            </w:r>
          </w:p>
        </w:tc>
      </w:tr>
      <w:tr w:rsidR="00000000">
        <w:trPr>
          <w:divId w:val="27305368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273053686"/>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Operating earnings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305368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Average capital (1)</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6,682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1,136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2,922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7305368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bl>
    <w:p w:rsidR="00000000" w:rsidRDefault="000C147A">
      <w:pPr>
        <w:ind w:hanging="360"/>
        <w:divId w:val="912590413"/>
        <w:rPr>
          <w:rFonts w:eastAsia="Times New Roman"/>
        </w:rPr>
      </w:pPr>
      <w:r>
        <w:rPr>
          <w:rFonts w:eastAsia="Times New Roman"/>
          <w:color w:val="000000"/>
          <w:sz w:val="18"/>
          <w:szCs w:val="18"/>
        </w:rPr>
        <w:t>______________</w:t>
      </w:r>
    </w:p>
    <w:p w:rsidR="00000000" w:rsidRDefault="000C147A">
      <w:pPr>
        <w:ind w:hanging="360"/>
        <w:divId w:val="1305810816"/>
        <w:rPr>
          <w:rFonts w:eastAsia="Times New Roman"/>
        </w:rPr>
      </w:pPr>
      <w:r>
        <w:rPr>
          <w:rFonts w:eastAsia="Times New Roman"/>
          <w:color w:val="000000"/>
          <w:sz w:val="18"/>
          <w:szCs w:val="18"/>
        </w:rPr>
        <w:t>(1)For average capital amounts by segment, capital components pertaining directly to specific segments such as DAC along with targeted capital are directly attributed to these segments. Targe</w:t>
      </w:r>
      <w:r>
        <w:rPr>
          <w:rFonts w:eastAsia="Times New Roman"/>
          <w:color w:val="000000"/>
          <w:sz w:val="18"/>
          <w:szCs w:val="18"/>
        </w:rPr>
        <w:t>ted capital for each segment is established using assumptions supporting statutory capital adequacy levels, reflecting the newly adopted NAIC RBC framework the company as of year end 2019.</w:t>
      </w:r>
    </w:p>
    <w:p w:rsidR="00000000" w:rsidRDefault="000C147A">
      <w:pPr>
        <w:jc w:val="both"/>
        <w:divId w:val="293213610"/>
        <w:rPr>
          <w:rFonts w:eastAsia="Times New Roman"/>
        </w:rPr>
      </w:pPr>
      <w:r>
        <w:rPr>
          <w:rFonts w:eastAsia="Times New Roman"/>
          <w:b/>
          <w:bCs/>
          <w:i/>
          <w:iCs/>
          <w:color w:val="000000"/>
          <w:sz w:val="20"/>
          <w:szCs w:val="20"/>
        </w:rPr>
        <w:t>Non-GAAP Operating Earnings Per Common Share</w:t>
      </w:r>
    </w:p>
    <w:p w:rsidR="00000000" w:rsidRDefault="000C147A">
      <w:pPr>
        <w:ind w:firstLine="360"/>
        <w:divId w:val="442505989"/>
        <w:rPr>
          <w:rFonts w:eastAsia="Times New Roman"/>
        </w:rPr>
      </w:pPr>
      <w:r>
        <w:rPr>
          <w:rFonts w:eastAsia="Times New Roman"/>
          <w:color w:val="000000"/>
          <w:sz w:val="20"/>
          <w:szCs w:val="20"/>
        </w:rPr>
        <w:t>Non-GAAP Operating Ear</w:t>
      </w:r>
      <w:r>
        <w:rPr>
          <w:rFonts w:eastAsia="Times New Roman"/>
          <w:color w:val="000000"/>
          <w:sz w:val="20"/>
          <w:szCs w:val="20"/>
        </w:rPr>
        <w:t>nings per common share (“Non-GAAP Operating EPS”) is calculated by dividing Non-GAAP Operating Earnings by diluted common shares outstanding. The following table sets forth Non-GAAP Operating EPS for the nine months ended September 30, 2020 and 2019.</w:t>
      </w:r>
    </w:p>
    <w:p w:rsidR="00000000" w:rsidRDefault="000C147A">
      <w:pPr>
        <w:jc w:val="center"/>
        <w:divId w:val="679284276"/>
        <w:rPr>
          <w:rFonts w:eastAsia="Times New Roman"/>
        </w:rPr>
      </w:pPr>
      <w:r>
        <w:rPr>
          <w:rFonts w:eastAsia="Times New Roman"/>
          <w:color w:val="000000"/>
          <w:sz w:val="20"/>
          <w:szCs w:val="20"/>
        </w:rPr>
        <w:t>94</w:t>
      </w:r>
    </w:p>
    <w:p w:rsidR="00000000" w:rsidRDefault="000C147A">
      <w:pPr>
        <w:rPr>
          <w:rFonts w:eastAsia="Times New Roman"/>
        </w:rPr>
      </w:pPr>
      <w:r>
        <w:rPr>
          <w:rFonts w:eastAsia="Times New Roman"/>
        </w:rPr>
        <w:pict>
          <v:rect id="_x0000_i1120" style="width:0;height:1.5pt" o:hralign="center" o:hrstd="t" o:hr="t" fillcolor="#a0a0a0" stroked="f"/>
        </w:pict>
      </w:r>
    </w:p>
    <w:p w:rsidR="00000000" w:rsidRDefault="000C147A">
      <w:pPr>
        <w:ind w:firstLine="360"/>
        <w:divId w:val="6342159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07"/>
        <w:gridCol w:w="38"/>
        <w:gridCol w:w="36"/>
        <w:gridCol w:w="36"/>
        <w:gridCol w:w="348"/>
        <w:gridCol w:w="348"/>
        <w:gridCol w:w="120"/>
        <w:gridCol w:w="681"/>
        <w:gridCol w:w="36"/>
        <w:gridCol w:w="36"/>
        <w:gridCol w:w="36"/>
        <w:gridCol w:w="36"/>
        <w:gridCol w:w="120"/>
        <w:gridCol w:w="622"/>
        <w:gridCol w:w="36"/>
        <w:gridCol w:w="36"/>
        <w:gridCol w:w="36"/>
        <w:gridCol w:w="36"/>
        <w:gridCol w:w="120"/>
        <w:gridCol w:w="681"/>
        <w:gridCol w:w="36"/>
        <w:gridCol w:w="36"/>
        <w:gridCol w:w="36"/>
        <w:gridCol w:w="36"/>
        <w:gridCol w:w="120"/>
        <w:gridCol w:w="622"/>
        <w:gridCol w:w="36"/>
      </w:tblGrid>
      <w:tr w:rsidR="00000000">
        <w:trPr>
          <w:divId w:val="1633747605"/>
        </w:trPr>
        <w:tc>
          <w:tcPr>
            <w:tcW w:w="50" w:type="pct"/>
            <w:vAlign w:val="center"/>
            <w:hideMark/>
          </w:tcPr>
          <w:p w:rsidR="00000000" w:rsidRDefault="000C147A">
            <w:pPr>
              <w:ind w:firstLine="360"/>
              <w:rPr>
                <w:rFonts w:eastAsia="Times New Roman"/>
              </w:rPr>
            </w:pPr>
          </w:p>
        </w:tc>
        <w:tc>
          <w:tcPr>
            <w:tcW w:w="264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3374760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63374760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63374760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(per share amounts)</w:t>
            </w:r>
          </w:p>
        </w:tc>
      </w:tr>
      <w:tr w:rsidR="00000000">
        <w:trPr>
          <w:divId w:val="163374760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attributable to Holdings (1)</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(0.76)</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Adjustments related to:</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63374760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Variable annuity product features (2)</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(gains) losses</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(0.41)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(0.42)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(0.35)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adjustments (3) (4)</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Income tax expense (benefit) related to above adjustments (5)</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(0.80)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(0.57)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Non-recurring tax items</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3374760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Non-GAAP Operating Earnings per common share</w:t>
            </w:r>
          </w:p>
        </w:tc>
        <w:tc>
          <w:tcPr>
            <w:tcW w:w="0" w:type="auto"/>
            <w:vAlign w:val="center"/>
            <w:hideMark/>
          </w:tcPr>
          <w:p w:rsidR="00000000" w:rsidRDefault="000C147A">
            <w:pP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668407478"/>
        <w:rPr>
          <w:rFonts w:eastAsia="Times New Roman"/>
        </w:rPr>
      </w:pPr>
      <w:r>
        <w:rPr>
          <w:rFonts w:eastAsia="Times New Roman"/>
          <w:color w:val="000000"/>
          <w:sz w:val="20"/>
          <w:szCs w:val="20"/>
        </w:rPr>
        <w:t>______________</w:t>
      </w:r>
    </w:p>
    <w:p w:rsidR="00000000" w:rsidRDefault="000C147A">
      <w:pPr>
        <w:ind w:hanging="360"/>
        <w:divId w:val="1129781094"/>
        <w:rPr>
          <w:rFonts w:eastAsia="Times New Roman"/>
        </w:rPr>
      </w:pPr>
      <w:r>
        <w:rPr>
          <w:rFonts w:eastAsia="Times New Roman"/>
          <w:color w:val="000000"/>
          <w:sz w:val="18"/>
          <w:szCs w:val="18"/>
        </w:rPr>
        <w:t>(1)</w:t>
      </w:r>
      <w:r>
        <w:rPr>
          <w:rFonts w:eastAsia="Times New Roman"/>
          <w:color w:val="000000"/>
          <w:sz w:val="18"/>
          <w:szCs w:val="18"/>
        </w:rPr>
        <w:t>Due to reporting a net loss for the three months ended September 30, 2020 and three and nine months ended September 30, 2019, basic shares was used in the diluted earnings per common share calculation as the use of diluted shares would have resulted in a l</w:t>
      </w:r>
      <w:r>
        <w:rPr>
          <w:rFonts w:eastAsia="Times New Roman"/>
          <w:color w:val="000000"/>
          <w:sz w:val="18"/>
          <w:szCs w:val="18"/>
        </w:rPr>
        <w:t xml:space="preserve">ower loss per share. </w:t>
      </w:r>
    </w:p>
    <w:p w:rsidR="00000000" w:rsidRDefault="000C147A">
      <w:pPr>
        <w:ind w:hanging="360"/>
        <w:divId w:val="724332149"/>
        <w:rPr>
          <w:rFonts w:eastAsia="Times New Roman"/>
        </w:rPr>
      </w:pPr>
      <w:r>
        <w:rPr>
          <w:rFonts w:eastAsia="Times New Roman"/>
          <w:color w:val="000000"/>
          <w:sz w:val="18"/>
          <w:szCs w:val="18"/>
        </w:rPr>
        <w:t>(2)Includes COVID-19 impact on Variable annuity product features due to a first quarter 2020 assumption update of $3.23 and other COVID-19 related impacts of $0.08 for the nine months ended September 30, 2020.</w:t>
      </w:r>
    </w:p>
    <w:p w:rsidR="00000000" w:rsidRDefault="000C147A">
      <w:pPr>
        <w:ind w:hanging="360"/>
        <w:divId w:val="405105489"/>
        <w:rPr>
          <w:rFonts w:eastAsia="Times New Roman"/>
        </w:rPr>
      </w:pPr>
      <w:r>
        <w:rPr>
          <w:rFonts w:eastAsia="Times New Roman"/>
          <w:color w:val="000000"/>
          <w:sz w:val="18"/>
          <w:szCs w:val="18"/>
        </w:rPr>
        <w:t>(3)Includes COVID-19 imp</w:t>
      </w:r>
      <w:r>
        <w:rPr>
          <w:rFonts w:eastAsia="Times New Roman"/>
          <w:color w:val="000000"/>
          <w:sz w:val="18"/>
          <w:szCs w:val="18"/>
        </w:rPr>
        <w:t xml:space="preserve">act on Other adjustments due to a first quarter 2020 assumption update of $2.31 and other COVID-19 related impacts of $0.19 for the nine months ended September 30, 2020. </w:t>
      </w:r>
    </w:p>
    <w:p w:rsidR="00000000" w:rsidRDefault="000C147A">
      <w:pPr>
        <w:ind w:hanging="360"/>
        <w:divId w:val="974414177"/>
        <w:rPr>
          <w:rFonts w:eastAsia="Times New Roman"/>
        </w:rPr>
      </w:pPr>
      <w:r>
        <w:rPr>
          <w:rFonts w:eastAsia="Times New Roman"/>
          <w:color w:val="000000"/>
          <w:sz w:val="18"/>
          <w:szCs w:val="18"/>
        </w:rPr>
        <w:t xml:space="preserve">(4)Includes separation costs of $0.08, $0.08, $0.24 and $0.24 for the three and nine </w:t>
      </w:r>
      <w:r>
        <w:rPr>
          <w:rFonts w:eastAsia="Times New Roman"/>
          <w:color w:val="000000"/>
          <w:sz w:val="18"/>
          <w:szCs w:val="18"/>
        </w:rPr>
        <w:t>months ended September 30, 2020 and 2019, respectively.</w:t>
      </w:r>
    </w:p>
    <w:p w:rsidR="00000000" w:rsidRDefault="000C147A">
      <w:pPr>
        <w:ind w:hanging="360"/>
        <w:divId w:val="2026904908"/>
        <w:rPr>
          <w:rFonts w:eastAsia="Times New Roman"/>
        </w:rPr>
      </w:pPr>
      <w:r>
        <w:rPr>
          <w:rFonts w:eastAsia="Times New Roman"/>
          <w:color w:val="000000"/>
          <w:sz w:val="18"/>
          <w:szCs w:val="18"/>
        </w:rPr>
        <w:t xml:space="preserve">(5)Includes income taxes of $(1.22) for the above related COVID-19 items for the nine months ended September 30, 2020. </w:t>
      </w:r>
    </w:p>
    <w:p w:rsidR="00000000" w:rsidRDefault="000C147A">
      <w:pPr>
        <w:jc w:val="both"/>
        <w:divId w:val="1937398102"/>
        <w:rPr>
          <w:rFonts w:eastAsia="Times New Roman"/>
        </w:rPr>
      </w:pPr>
      <w:r>
        <w:rPr>
          <w:rFonts w:eastAsia="Times New Roman"/>
          <w:b/>
          <w:bCs/>
          <w:i/>
          <w:iCs/>
          <w:color w:val="000000"/>
          <w:sz w:val="20"/>
          <w:szCs w:val="20"/>
        </w:rPr>
        <w:t xml:space="preserve">Assets Under Management </w:t>
      </w:r>
    </w:p>
    <w:p w:rsidR="00000000" w:rsidRDefault="000C147A">
      <w:pPr>
        <w:ind w:firstLine="360"/>
        <w:divId w:val="1376615007"/>
        <w:rPr>
          <w:rFonts w:eastAsia="Times New Roman"/>
        </w:rPr>
      </w:pPr>
      <w:r>
        <w:rPr>
          <w:rFonts w:eastAsia="Times New Roman"/>
          <w:color w:val="000000"/>
          <w:sz w:val="20"/>
          <w:szCs w:val="20"/>
        </w:rPr>
        <w:t xml:space="preserve">AUM means investment assets that are managed by one of </w:t>
      </w:r>
      <w:r>
        <w:rPr>
          <w:rFonts w:eastAsia="Times New Roman"/>
          <w:color w:val="000000"/>
          <w:sz w:val="20"/>
          <w:szCs w:val="20"/>
        </w:rPr>
        <w:t>our subsidiaries and includes: (i) assets managed by AB; (ii) the assets in our General Account investment portfolio; and (iii) the Separate Accounts assets of our Individual Retirement, Group Retirement and Protection Solutions businesses. Total AUM refle</w:t>
      </w:r>
      <w:r>
        <w:rPr>
          <w:rFonts w:eastAsia="Times New Roman"/>
          <w:color w:val="000000"/>
          <w:sz w:val="20"/>
          <w:szCs w:val="20"/>
        </w:rPr>
        <w:t xml:space="preserve">cts exclusions between segments to avoid double counting. </w:t>
      </w:r>
    </w:p>
    <w:p w:rsidR="00000000" w:rsidRDefault="000C147A">
      <w:pPr>
        <w:jc w:val="both"/>
        <w:divId w:val="1291059565"/>
        <w:rPr>
          <w:rFonts w:eastAsia="Times New Roman"/>
        </w:rPr>
      </w:pPr>
      <w:r>
        <w:rPr>
          <w:rFonts w:eastAsia="Times New Roman"/>
          <w:b/>
          <w:bCs/>
          <w:i/>
          <w:iCs/>
          <w:color w:val="000000"/>
          <w:sz w:val="20"/>
          <w:szCs w:val="20"/>
        </w:rPr>
        <w:t xml:space="preserve">Assets Under Administration </w:t>
      </w:r>
    </w:p>
    <w:p w:rsidR="00000000" w:rsidRDefault="000C147A">
      <w:pPr>
        <w:ind w:firstLine="360"/>
        <w:divId w:val="818810450"/>
        <w:rPr>
          <w:rFonts w:eastAsia="Times New Roman"/>
        </w:rPr>
      </w:pPr>
      <w:r>
        <w:rPr>
          <w:rFonts w:eastAsia="Times New Roman"/>
          <w:color w:val="000000"/>
          <w:sz w:val="20"/>
          <w:szCs w:val="20"/>
        </w:rPr>
        <w:t>AUA includes non-insurance client assets that are invested in our savings and investment products or serviced by our Equitable Advisors platform. We provide administrat</w:t>
      </w:r>
      <w:r>
        <w:rPr>
          <w:rFonts w:eastAsia="Times New Roman"/>
          <w:color w:val="000000"/>
          <w:sz w:val="20"/>
          <w:szCs w:val="20"/>
        </w:rPr>
        <w:t xml:space="preserve">ive services for these assets and generally record the revenues received as distribution fees. </w:t>
      </w:r>
    </w:p>
    <w:p w:rsidR="00000000" w:rsidRDefault="000C147A">
      <w:pPr>
        <w:jc w:val="both"/>
        <w:divId w:val="1802260321"/>
        <w:rPr>
          <w:rFonts w:eastAsia="Times New Roman"/>
        </w:rPr>
      </w:pPr>
      <w:r>
        <w:rPr>
          <w:rFonts w:eastAsia="Times New Roman"/>
          <w:b/>
          <w:bCs/>
          <w:i/>
          <w:iCs/>
          <w:color w:val="000000"/>
          <w:sz w:val="20"/>
          <w:szCs w:val="20"/>
        </w:rPr>
        <w:t xml:space="preserve">Account Value </w:t>
      </w:r>
    </w:p>
    <w:p w:rsidR="00000000" w:rsidRDefault="000C147A">
      <w:pPr>
        <w:ind w:firstLine="360"/>
        <w:divId w:val="1683237209"/>
        <w:rPr>
          <w:rFonts w:eastAsia="Times New Roman"/>
        </w:rPr>
      </w:pPr>
      <w:r>
        <w:rPr>
          <w:rFonts w:eastAsia="Times New Roman"/>
          <w:color w:val="000000"/>
          <w:sz w:val="20"/>
          <w:szCs w:val="20"/>
        </w:rPr>
        <w:t>AV generally equals the aggregate policy account value of our retirement products. General Account AV refers to account balances in investment op</w:t>
      </w:r>
      <w:r>
        <w:rPr>
          <w:rFonts w:eastAsia="Times New Roman"/>
          <w:color w:val="000000"/>
          <w:sz w:val="20"/>
          <w:szCs w:val="20"/>
        </w:rPr>
        <w:t>tions that are backed by the General Account while Separate Accounts AV refers to Separate Accounts investment assets.</w:t>
      </w:r>
    </w:p>
    <w:p w:rsidR="00000000" w:rsidRDefault="000C147A">
      <w:pPr>
        <w:jc w:val="both"/>
        <w:divId w:val="1533303784"/>
        <w:rPr>
          <w:rFonts w:eastAsia="Times New Roman"/>
        </w:rPr>
      </w:pPr>
      <w:r>
        <w:rPr>
          <w:rFonts w:eastAsia="Times New Roman"/>
          <w:b/>
          <w:bCs/>
          <w:i/>
          <w:iCs/>
          <w:color w:val="000000"/>
          <w:sz w:val="20"/>
          <w:szCs w:val="20"/>
        </w:rPr>
        <w:t xml:space="preserve">Protection Solutions Reserves </w:t>
      </w:r>
    </w:p>
    <w:p w:rsidR="00000000" w:rsidRDefault="000C147A">
      <w:pPr>
        <w:ind w:firstLine="360"/>
        <w:divId w:val="1676347502"/>
        <w:rPr>
          <w:rFonts w:eastAsia="Times New Roman"/>
        </w:rPr>
      </w:pPr>
      <w:r>
        <w:rPr>
          <w:rFonts w:eastAsia="Times New Roman"/>
          <w:color w:val="000000"/>
          <w:sz w:val="20"/>
          <w:szCs w:val="20"/>
        </w:rPr>
        <w:t>Protection Solutions Reserves equals the aggregate value of Policyholders’ account balances and Future pol</w:t>
      </w:r>
      <w:r>
        <w:rPr>
          <w:rFonts w:eastAsia="Times New Roman"/>
          <w:color w:val="000000"/>
          <w:sz w:val="20"/>
          <w:szCs w:val="20"/>
        </w:rPr>
        <w:t xml:space="preserve">icy benefits for policies in our Protection Solutions segment. </w:t>
      </w:r>
    </w:p>
    <w:p w:rsidR="00000000" w:rsidRDefault="000C147A">
      <w:pPr>
        <w:jc w:val="center"/>
        <w:divId w:val="1668555058"/>
        <w:rPr>
          <w:rFonts w:eastAsia="Times New Roman"/>
        </w:rPr>
      </w:pPr>
      <w:r>
        <w:rPr>
          <w:rFonts w:eastAsia="Times New Roman"/>
          <w:color w:val="000000"/>
          <w:sz w:val="20"/>
          <w:szCs w:val="20"/>
        </w:rPr>
        <w:t>95</w:t>
      </w:r>
    </w:p>
    <w:p w:rsidR="00000000" w:rsidRDefault="000C147A">
      <w:pPr>
        <w:rPr>
          <w:rFonts w:eastAsia="Times New Roman"/>
        </w:rPr>
      </w:pPr>
      <w:r>
        <w:rPr>
          <w:rFonts w:eastAsia="Times New Roman"/>
        </w:rPr>
        <w:pict>
          <v:rect id="_x0000_i1121" style="width:0;height:1.5pt" o:hralign="center" o:hrstd="t" o:hr="t" fillcolor="#a0a0a0" stroked="f"/>
        </w:pict>
      </w:r>
    </w:p>
    <w:p w:rsidR="00000000" w:rsidRDefault="000C147A">
      <w:pPr>
        <w:ind w:firstLine="360"/>
        <w:divId w:val="723721979"/>
        <w:rPr>
          <w:rFonts w:eastAsia="Times New Roman"/>
        </w:rPr>
      </w:pPr>
    </w:p>
    <w:p w:rsidR="00000000" w:rsidRDefault="000C147A">
      <w:pPr>
        <w:divId w:val="1520654715"/>
        <w:rPr>
          <w:rFonts w:eastAsia="Times New Roman"/>
        </w:rPr>
      </w:pPr>
      <w:r>
        <w:rPr>
          <w:rFonts w:eastAsia="Times New Roman"/>
          <w:b/>
          <w:bCs/>
          <w:color w:val="000000"/>
          <w:sz w:val="20"/>
          <w:szCs w:val="20"/>
        </w:rPr>
        <w:t xml:space="preserve">Consolidated Results of Operations </w:t>
      </w:r>
    </w:p>
    <w:p w:rsidR="00000000" w:rsidRDefault="000C147A">
      <w:pPr>
        <w:ind w:firstLine="360"/>
        <w:divId w:val="1915241532"/>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 a significant driver of our results of operations. Because the futur</w:t>
      </w:r>
      <w:r>
        <w:rPr>
          <w:rFonts w:eastAsia="Times New Roman"/>
          <w:color w:val="000000"/>
          <w:sz w:val="20"/>
          <w:szCs w:val="20"/>
        </w:rPr>
        <w:t>e claims exposure on these products is sensitive to movements in the equity markets and interest rates, we have in place various hedging and reinsurance programs that are designed to mitigate the economic risks of movements in the equity markets and intere</w:t>
      </w:r>
      <w:r>
        <w:rPr>
          <w:rFonts w:eastAsia="Times New Roman"/>
          <w:color w:val="000000"/>
          <w:sz w:val="20"/>
          <w:szCs w:val="20"/>
        </w:rPr>
        <w:t>st rates. The volatility in Net income attributable to Holdings for the periods presented below results from the mismatch between: (i) the change in carrying value of the reserves for GMDB and certain GMIB features that do not fully and immediately reflect</w:t>
      </w:r>
      <w:r>
        <w:rPr>
          <w:rFonts w:eastAsia="Times New Roman"/>
          <w:color w:val="000000"/>
          <w:sz w:val="20"/>
          <w:szCs w:val="20"/>
        </w:rPr>
        <w:t xml:space="preserve"> the impact of equity and interest market fluctuations; and (ii) the change in fair value of products with the GMIB feature that has a no-lapse guarantee, and our hedging and reinsurance programs. </w:t>
      </w:r>
    </w:p>
    <w:p w:rsidR="00000000" w:rsidRDefault="000C147A">
      <w:pPr>
        <w:jc w:val="both"/>
        <w:divId w:val="1003162413"/>
        <w:rPr>
          <w:rFonts w:eastAsia="Times New Roman"/>
        </w:rPr>
      </w:pPr>
      <w:r>
        <w:rPr>
          <w:rFonts w:eastAsia="Times New Roman"/>
          <w:b/>
          <w:bCs/>
          <w:i/>
          <w:iCs/>
          <w:color w:val="000000"/>
          <w:sz w:val="20"/>
          <w:szCs w:val="20"/>
        </w:rPr>
        <w:t xml:space="preserve">Ownership and Consolidation of AllianceBernstein </w:t>
      </w:r>
    </w:p>
    <w:p w:rsidR="00000000" w:rsidRDefault="000C147A">
      <w:pPr>
        <w:ind w:firstLine="360"/>
        <w:divId w:val="1062560007"/>
        <w:rPr>
          <w:rFonts w:eastAsia="Times New Roman"/>
        </w:rPr>
      </w:pPr>
      <w:r>
        <w:rPr>
          <w:rFonts w:eastAsia="Times New Roman"/>
          <w:color w:val="000000"/>
          <w:sz w:val="20"/>
          <w:szCs w:val="20"/>
        </w:rPr>
        <w:t>Our indi</w:t>
      </w:r>
      <w:r>
        <w:rPr>
          <w:rFonts w:eastAsia="Times New Roman"/>
          <w:color w:val="000000"/>
          <w:sz w:val="20"/>
          <w:szCs w:val="20"/>
        </w:rPr>
        <w:t xml:space="preserve">rect, wholly-owned subsidiary, AllianceBernstein Corporation, is the General Partner of AB. Accordingly, AB’s results are fully reflected in our consolidated financial statements. </w:t>
      </w:r>
    </w:p>
    <w:p w:rsidR="00000000" w:rsidRDefault="000C147A">
      <w:pPr>
        <w:ind w:firstLine="360"/>
        <w:divId w:val="1919753506"/>
        <w:rPr>
          <w:rFonts w:eastAsia="Times New Roman"/>
        </w:rPr>
      </w:pPr>
      <w:r>
        <w:rPr>
          <w:rFonts w:eastAsia="Times New Roman"/>
          <w:color w:val="000000"/>
          <w:sz w:val="20"/>
          <w:szCs w:val="20"/>
        </w:rPr>
        <w:t>Our blended economic interest in AB was approximately 65% for both the thre</w:t>
      </w:r>
      <w:r>
        <w:rPr>
          <w:rFonts w:eastAsia="Times New Roman"/>
          <w:color w:val="000000"/>
          <w:sz w:val="20"/>
          <w:szCs w:val="20"/>
        </w:rPr>
        <w:t>e and nine months ended September 30, 2020 and 2019, respectively.</w:t>
      </w:r>
    </w:p>
    <w:p w:rsidR="00000000" w:rsidRDefault="000C147A">
      <w:pPr>
        <w:jc w:val="both"/>
        <w:divId w:val="609430998"/>
        <w:rPr>
          <w:rFonts w:eastAsia="Times New Roman"/>
        </w:rPr>
      </w:pPr>
      <w:r>
        <w:rPr>
          <w:rFonts w:eastAsia="Times New Roman"/>
          <w:b/>
          <w:bCs/>
          <w:i/>
          <w:iCs/>
          <w:color w:val="000000"/>
          <w:sz w:val="20"/>
          <w:szCs w:val="20"/>
        </w:rPr>
        <w:t>Effective Tax Rates</w:t>
      </w:r>
    </w:p>
    <w:p w:rsidR="00000000" w:rsidRDefault="000C147A">
      <w:pPr>
        <w:ind w:firstLine="360"/>
        <w:divId w:val="90515641"/>
        <w:rPr>
          <w:rFonts w:eastAsia="Times New Roman"/>
        </w:rPr>
      </w:pPr>
      <w:r>
        <w:rPr>
          <w:rFonts w:eastAsia="Times New Roman"/>
          <w:color w:val="000000"/>
          <w:sz w:val="20"/>
          <w:szCs w:val="20"/>
        </w:rPr>
        <w:t>For interim reporting periods, we calculate income tax expense using an estimated annual effective tax rate (“ETR”), with discrete items recognized in the period in whic</w:t>
      </w:r>
      <w:r>
        <w:rPr>
          <w:rFonts w:eastAsia="Times New Roman"/>
          <w:color w:val="000000"/>
          <w:sz w:val="20"/>
          <w:szCs w:val="20"/>
        </w:rPr>
        <w:t xml:space="preserve">h they occur. </w:t>
      </w:r>
    </w:p>
    <w:p w:rsidR="00000000" w:rsidRDefault="000C147A">
      <w:pPr>
        <w:jc w:val="center"/>
        <w:divId w:val="1705785273"/>
        <w:rPr>
          <w:rFonts w:eastAsia="Times New Roman"/>
        </w:rPr>
      </w:pPr>
      <w:r>
        <w:rPr>
          <w:rFonts w:eastAsia="Times New Roman"/>
          <w:color w:val="000000"/>
          <w:sz w:val="20"/>
          <w:szCs w:val="20"/>
        </w:rPr>
        <w:t>96</w:t>
      </w:r>
    </w:p>
    <w:p w:rsidR="00000000" w:rsidRDefault="000C147A">
      <w:pPr>
        <w:rPr>
          <w:rFonts w:eastAsia="Times New Roman"/>
        </w:rPr>
      </w:pPr>
      <w:r>
        <w:rPr>
          <w:rFonts w:eastAsia="Times New Roman"/>
        </w:rPr>
        <w:pict>
          <v:rect id="_x0000_i1122" style="width:0;height:1.5pt" o:hralign="center" o:hrstd="t" o:hr="t" fillcolor="#a0a0a0" stroked="f"/>
        </w:pict>
      </w:r>
    </w:p>
    <w:p w:rsidR="00000000" w:rsidRDefault="000C147A">
      <w:pPr>
        <w:ind w:firstLine="360"/>
        <w:divId w:val="2035619614"/>
        <w:rPr>
          <w:rFonts w:eastAsia="Times New Roman"/>
        </w:rPr>
      </w:pPr>
    </w:p>
    <w:p w:rsidR="00000000" w:rsidRDefault="000C147A">
      <w:pPr>
        <w:jc w:val="both"/>
        <w:divId w:val="795413903"/>
        <w:rPr>
          <w:rFonts w:eastAsia="Times New Roman"/>
        </w:rPr>
      </w:pPr>
    </w:p>
    <w:p w:rsidR="00000000" w:rsidRDefault="000C147A">
      <w:pPr>
        <w:jc w:val="both"/>
        <w:divId w:val="565192747"/>
        <w:rPr>
          <w:rFonts w:eastAsia="Times New Roman"/>
        </w:rPr>
      </w:pPr>
      <w:r>
        <w:rPr>
          <w:rFonts w:eastAsia="Times New Roman"/>
          <w:b/>
          <w:bCs/>
          <w:i/>
          <w:iCs/>
          <w:color w:val="000000"/>
          <w:sz w:val="20"/>
          <w:szCs w:val="20"/>
        </w:rPr>
        <w:t>Consolidated Results of Operations</w:t>
      </w:r>
    </w:p>
    <w:p w:rsidR="00000000" w:rsidRDefault="000C147A">
      <w:pPr>
        <w:ind w:firstLine="360"/>
        <w:divId w:val="107741201"/>
        <w:rPr>
          <w:rFonts w:eastAsia="Times New Roman"/>
        </w:rPr>
      </w:pPr>
      <w:r>
        <w:rPr>
          <w:rFonts w:eastAsia="Times New Roman"/>
          <w:color w:val="000000"/>
          <w:sz w:val="20"/>
          <w:szCs w:val="20"/>
        </w:rPr>
        <w:t>The following table summarizes our consolidated statements of income (loss) for the three and nine months ended September 30, 2020 and 2019:</w:t>
      </w:r>
    </w:p>
    <w:p w:rsidR="00000000" w:rsidRDefault="000C147A">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40"/>
        <w:gridCol w:w="3886"/>
        <w:gridCol w:w="39"/>
        <w:gridCol w:w="120"/>
        <w:gridCol w:w="849"/>
        <w:gridCol w:w="36"/>
        <w:gridCol w:w="36"/>
        <w:gridCol w:w="36"/>
        <w:gridCol w:w="36"/>
        <w:gridCol w:w="120"/>
        <w:gridCol w:w="824"/>
        <w:gridCol w:w="36"/>
        <w:gridCol w:w="36"/>
        <w:gridCol w:w="36"/>
        <w:gridCol w:w="36"/>
        <w:gridCol w:w="120"/>
        <w:gridCol w:w="837"/>
        <w:gridCol w:w="36"/>
        <w:gridCol w:w="36"/>
        <w:gridCol w:w="36"/>
        <w:gridCol w:w="36"/>
        <w:gridCol w:w="120"/>
        <w:gridCol w:w="667"/>
        <w:gridCol w:w="36"/>
        <w:gridCol w:w="36"/>
        <w:gridCol w:w="36"/>
        <w:gridCol w:w="36"/>
        <w:gridCol w:w="36"/>
        <w:gridCol w:w="36"/>
        <w:gridCol w:w="36"/>
      </w:tblGrid>
      <w:tr w:rsidR="00000000">
        <w:trPr>
          <w:divId w:val="831531065"/>
        </w:trPr>
        <w:tc>
          <w:tcPr>
            <w:tcW w:w="50" w:type="pct"/>
            <w:vAlign w:val="center"/>
            <w:hideMark/>
          </w:tcPr>
          <w:p w:rsidR="00000000" w:rsidRDefault="000C147A">
            <w:pPr>
              <w:jc w:val="center"/>
              <w:rPr>
                <w:rFonts w:eastAsia="Times New Roman"/>
              </w:rPr>
            </w:pPr>
          </w:p>
        </w:tc>
        <w:tc>
          <w:tcPr>
            <w:tcW w:w="2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9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315310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(1,472)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(2,323)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and service fees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3,172 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Height w:val="24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1,523 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8315310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490.4 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5670342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943"/>
        <w:gridCol w:w="36"/>
        <w:gridCol w:w="120"/>
        <w:gridCol w:w="821"/>
        <w:gridCol w:w="36"/>
        <w:gridCol w:w="36"/>
        <w:gridCol w:w="36"/>
        <w:gridCol w:w="36"/>
        <w:gridCol w:w="120"/>
        <w:gridCol w:w="821"/>
        <w:gridCol w:w="36"/>
        <w:gridCol w:w="120"/>
        <w:gridCol w:w="822"/>
        <w:gridCol w:w="36"/>
        <w:gridCol w:w="36"/>
        <w:gridCol w:w="36"/>
        <w:gridCol w:w="36"/>
        <w:gridCol w:w="120"/>
        <w:gridCol w:w="770"/>
        <w:gridCol w:w="36"/>
        <w:gridCol w:w="36"/>
        <w:gridCol w:w="36"/>
        <w:gridCol w:w="36"/>
        <w:gridCol w:w="36"/>
        <w:gridCol w:w="36"/>
        <w:gridCol w:w="36"/>
      </w:tblGrid>
      <w:tr w:rsidR="00000000">
        <w:trPr>
          <w:divId w:val="1723751324"/>
        </w:trPr>
        <w:tc>
          <w:tcPr>
            <w:tcW w:w="50" w:type="pct"/>
            <w:vAlign w:val="center"/>
            <w:hideMark/>
          </w:tcPr>
          <w:p w:rsidR="00000000" w:rsidRDefault="000C147A">
            <w:pPr>
              <w:rPr>
                <w:rFonts w:eastAsia="Times New Roman"/>
              </w:rPr>
            </w:pPr>
          </w:p>
        </w:tc>
        <w:tc>
          <w:tcPr>
            <w:tcW w:w="248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2375132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23751324"/>
        </w:trPr>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72375132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2375132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241525404"/>
        <w:rPr>
          <w:rFonts w:eastAsia="Times New Roman"/>
        </w:rPr>
      </w:pPr>
    </w:p>
    <w:p w:rsidR="00000000" w:rsidRDefault="000C147A">
      <w:pPr>
        <w:jc w:val="center"/>
        <w:divId w:val="852455983"/>
        <w:rPr>
          <w:rFonts w:eastAsia="Times New Roman"/>
        </w:rPr>
      </w:pPr>
      <w:r>
        <w:rPr>
          <w:rFonts w:eastAsia="Times New Roman"/>
          <w:color w:val="000000"/>
          <w:sz w:val="20"/>
          <w:szCs w:val="20"/>
        </w:rPr>
        <w:t>97</w:t>
      </w:r>
    </w:p>
    <w:p w:rsidR="00000000" w:rsidRDefault="000C147A">
      <w:pPr>
        <w:rPr>
          <w:rFonts w:eastAsia="Times New Roman"/>
        </w:rPr>
      </w:pPr>
      <w:r>
        <w:rPr>
          <w:rFonts w:eastAsia="Times New Roman"/>
        </w:rPr>
        <w:pict>
          <v:rect id="_x0000_i1123" style="width:0;height:1.5pt" o:hralign="center" o:hrstd="t" o:hr="t" fillcolor="#a0a0a0" stroked="f"/>
        </w:pict>
      </w:r>
    </w:p>
    <w:p w:rsidR="00000000" w:rsidRDefault="000C147A">
      <w:pPr>
        <w:ind w:firstLine="360"/>
        <w:divId w:val="1801262964"/>
        <w:rPr>
          <w:rFonts w:eastAsia="Times New Roman"/>
        </w:rPr>
      </w:pPr>
    </w:p>
    <w:p w:rsidR="00000000" w:rsidRDefault="000C147A">
      <w:pPr>
        <w:ind w:firstLine="360"/>
        <w:divId w:val="1743407299"/>
        <w:rPr>
          <w:rFonts w:eastAsia="Times New Roman"/>
        </w:rPr>
      </w:pPr>
      <w:r>
        <w:rPr>
          <w:rFonts w:eastAsia="Times New Roman"/>
          <w:color w:val="000000"/>
          <w:sz w:val="20"/>
          <w:szCs w:val="20"/>
        </w:rPr>
        <w:t>The following table summarizes our Non-GAAP Operating Earnings per common share for the three an</w:t>
      </w:r>
      <w:r>
        <w:rPr>
          <w:rFonts w:eastAsia="Times New Roman"/>
          <w:color w:val="000000"/>
          <w:sz w:val="20"/>
          <w:szCs w:val="20"/>
        </w:rPr>
        <w:t>d nine months ended September 30, 2020 and 2019:</w:t>
      </w:r>
    </w:p>
    <w:tbl>
      <w:tblPr>
        <w:tblW w:w="5000" w:type="pct"/>
        <w:tblCellMar>
          <w:top w:w="15" w:type="dxa"/>
          <w:left w:w="15" w:type="dxa"/>
          <w:bottom w:w="15" w:type="dxa"/>
          <w:right w:w="15" w:type="dxa"/>
        </w:tblCellMar>
        <w:tblLook w:val="04A0" w:firstRow="1" w:lastRow="0" w:firstColumn="1" w:lastColumn="0" w:noHBand="0" w:noVBand="1"/>
      </w:tblPr>
      <w:tblGrid>
        <w:gridCol w:w="37"/>
        <w:gridCol w:w="3658"/>
        <w:gridCol w:w="36"/>
        <w:gridCol w:w="120"/>
        <w:gridCol w:w="893"/>
        <w:gridCol w:w="36"/>
        <w:gridCol w:w="36"/>
        <w:gridCol w:w="36"/>
        <w:gridCol w:w="36"/>
        <w:gridCol w:w="120"/>
        <w:gridCol w:w="893"/>
        <w:gridCol w:w="36"/>
        <w:gridCol w:w="120"/>
        <w:gridCol w:w="893"/>
        <w:gridCol w:w="36"/>
        <w:gridCol w:w="36"/>
        <w:gridCol w:w="36"/>
        <w:gridCol w:w="36"/>
        <w:gridCol w:w="120"/>
        <w:gridCol w:w="840"/>
        <w:gridCol w:w="36"/>
        <w:gridCol w:w="36"/>
        <w:gridCol w:w="36"/>
        <w:gridCol w:w="36"/>
        <w:gridCol w:w="36"/>
        <w:gridCol w:w="36"/>
        <w:gridCol w:w="36"/>
      </w:tblGrid>
      <w:tr w:rsidR="00000000">
        <w:trPr>
          <w:divId w:val="208615144"/>
        </w:trPr>
        <w:tc>
          <w:tcPr>
            <w:tcW w:w="50" w:type="pct"/>
            <w:vAlign w:val="center"/>
            <w:hideMark/>
          </w:tcPr>
          <w:p w:rsidR="00000000" w:rsidRDefault="000C147A">
            <w:pPr>
              <w:ind w:firstLine="360"/>
              <w:rPr>
                <w:rFonts w:eastAsia="Times New Roman"/>
              </w:rPr>
            </w:pPr>
          </w:p>
        </w:tc>
        <w:tc>
          <w:tcPr>
            <w:tcW w:w="230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61514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861514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0861514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8615144"/>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Non-GAAP Operating Earnings per common share:</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61514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861514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736976496"/>
        <w:rPr>
          <w:rFonts w:eastAsia="Times New Roman"/>
        </w:rPr>
      </w:pPr>
    </w:p>
    <w:p w:rsidR="00000000" w:rsidRDefault="000C147A">
      <w:pPr>
        <w:ind w:firstLine="360"/>
        <w:divId w:val="1948542075"/>
        <w:rPr>
          <w:rFonts w:eastAsia="Times New Roman"/>
        </w:rPr>
      </w:pPr>
      <w:r>
        <w:rPr>
          <w:rFonts w:eastAsia="Times New Roman"/>
          <w:color w:val="000000"/>
          <w:sz w:val="20"/>
          <w:szCs w:val="20"/>
        </w:rPr>
        <w:t>The following discussion compares the resu</w:t>
      </w:r>
      <w:r>
        <w:rPr>
          <w:rFonts w:eastAsia="Times New Roman"/>
          <w:color w:val="000000"/>
          <w:sz w:val="20"/>
          <w:szCs w:val="20"/>
        </w:rPr>
        <w:t>lts for the three and nine months ended September 30, 2020 to the three and nine months ended September 30, 2019.</w:t>
      </w:r>
    </w:p>
    <w:p w:rsidR="00000000" w:rsidRDefault="000C147A">
      <w:pPr>
        <w:divId w:val="1959723949"/>
        <w:rPr>
          <w:rFonts w:eastAsia="Times New Roman"/>
        </w:rPr>
      </w:pPr>
      <w:r>
        <w:rPr>
          <w:rFonts w:eastAsia="Times New Roman"/>
          <w:b/>
          <w:bCs/>
          <w:color w:val="000000"/>
          <w:sz w:val="20"/>
          <w:szCs w:val="20"/>
        </w:rPr>
        <w:t>Three Months Ended September 30, 2020 Compared to the Three Months Ended September 30, 2019</w:t>
      </w:r>
    </w:p>
    <w:p w:rsidR="00000000" w:rsidRDefault="000C147A">
      <w:pPr>
        <w:jc w:val="both"/>
        <w:divId w:val="71124108"/>
        <w:rPr>
          <w:rFonts w:eastAsia="Times New Roman"/>
        </w:rPr>
      </w:pPr>
      <w:r>
        <w:rPr>
          <w:rFonts w:eastAsia="Times New Roman"/>
          <w:b/>
          <w:bCs/>
          <w:i/>
          <w:iCs/>
          <w:color w:val="000000"/>
          <w:sz w:val="20"/>
          <w:szCs w:val="20"/>
        </w:rPr>
        <w:t>Net Income Attributable to Holdings</w:t>
      </w:r>
    </w:p>
    <w:p w:rsidR="00000000" w:rsidRDefault="000C147A">
      <w:pPr>
        <w:ind w:firstLine="360"/>
        <w:divId w:val="1401444037"/>
        <w:rPr>
          <w:rFonts w:eastAsia="Times New Roman"/>
        </w:rPr>
      </w:pPr>
      <w:r>
        <w:rPr>
          <w:rFonts w:eastAsia="Times New Roman"/>
          <w:color w:val="000000"/>
          <w:sz w:val="20"/>
          <w:szCs w:val="20"/>
        </w:rPr>
        <w:t>Net loss attributable to Holdings increased by $405 million, to a net loss of $779 million for the three months ended September 30, 2020 from a net loss of $374 million in the three months ended September 30, 2019 primar</w:t>
      </w:r>
      <w:r>
        <w:rPr>
          <w:rFonts w:eastAsia="Times New Roman"/>
          <w:color w:val="000000"/>
          <w:sz w:val="20"/>
          <w:szCs w:val="20"/>
        </w:rPr>
        <w:t>ily driven by the following notable items:</w:t>
      </w:r>
    </w:p>
    <w:p w:rsidR="00000000" w:rsidRDefault="000C147A">
      <w:pPr>
        <w:ind w:hanging="360"/>
        <w:jc w:val="both"/>
        <w:divId w:val="1862696313"/>
        <w:rPr>
          <w:rFonts w:eastAsia="Times New Roman"/>
        </w:rPr>
      </w:pPr>
      <w:r>
        <w:rPr>
          <w:rFonts w:eastAsia="Times New Roman"/>
          <w:color w:val="000000"/>
          <w:sz w:val="20"/>
          <w:szCs w:val="20"/>
        </w:rPr>
        <w:t>•Increase in Net derivative losses of $1.0 billion driven by improvements in equity markets during the third quarter of 2020 compared to relatively flat equity markets and declining interest rates in the third qua</w:t>
      </w:r>
      <w:r>
        <w:rPr>
          <w:rFonts w:eastAsia="Times New Roman"/>
          <w:color w:val="000000"/>
          <w:sz w:val="20"/>
          <w:szCs w:val="20"/>
        </w:rPr>
        <w:t>rter of 2019. Also, contributing were negative impacts from non-performance risk and credit spreads due to spread tightening partially offset by the favorable impact of assumption updates on our GMIBNLG liability.</w:t>
      </w:r>
    </w:p>
    <w:p w:rsidR="00000000" w:rsidRDefault="000C147A">
      <w:pPr>
        <w:ind w:hanging="360"/>
        <w:jc w:val="both"/>
        <w:divId w:val="1008948017"/>
        <w:rPr>
          <w:rFonts w:eastAsia="Times New Roman"/>
        </w:rPr>
      </w:pPr>
      <w:r>
        <w:rPr>
          <w:rFonts w:eastAsia="Times New Roman"/>
          <w:color w:val="000000"/>
          <w:sz w:val="20"/>
          <w:szCs w:val="20"/>
        </w:rPr>
        <w:t xml:space="preserve">•Decrease in Net investment gains of $182 </w:t>
      </w:r>
      <w:r>
        <w:rPr>
          <w:rFonts w:eastAsia="Times New Roman"/>
          <w:color w:val="000000"/>
          <w:sz w:val="20"/>
          <w:szCs w:val="20"/>
        </w:rPr>
        <w:t>million primarily due to the rebalancing of our U.S. Treasury portfolio in 2019.</w:t>
      </w:r>
    </w:p>
    <w:p w:rsidR="00000000" w:rsidRDefault="000C147A">
      <w:pPr>
        <w:ind w:hanging="360"/>
        <w:jc w:val="both"/>
        <w:divId w:val="630593834"/>
        <w:rPr>
          <w:rFonts w:eastAsia="Times New Roman"/>
        </w:rPr>
      </w:pPr>
      <w:r>
        <w:rPr>
          <w:rFonts w:eastAsia="Times New Roman"/>
          <w:color w:val="000000"/>
          <w:sz w:val="20"/>
          <w:szCs w:val="20"/>
        </w:rPr>
        <w:t xml:space="preserve">•Decrease in Fee-type revenue of $92 million mainly driven by a decrease in our Protection Solutions and Individual Retirement segments partially offset by an increase in our </w:t>
      </w:r>
      <w:r>
        <w:rPr>
          <w:rFonts w:eastAsia="Times New Roman"/>
          <w:color w:val="000000"/>
          <w:sz w:val="20"/>
          <w:szCs w:val="20"/>
        </w:rPr>
        <w:t>Investment Management and Research segment. The decrease in our Protection Solutions segment was primarily due to the unfavorable impact of assumption updates in 2020 compared to the favorable impact of assumption updates in 2019, lower premiums reflecting</w:t>
      </w:r>
      <w:r>
        <w:rPr>
          <w:rFonts w:eastAsia="Times New Roman"/>
          <w:color w:val="000000"/>
          <w:sz w:val="20"/>
          <w:szCs w:val="20"/>
        </w:rPr>
        <w:t xml:space="preserve"> the impact of the sale of USFL and MLICA, lower premiums on traditional products, and higher ceded premiums. The decrease in our Individual Retirement segment was primarily due to lower fee income reflecting lower average AV mainly due to outflows on our </w:t>
      </w:r>
      <w:r>
        <w:rPr>
          <w:rFonts w:eastAsia="Times New Roman"/>
          <w:color w:val="000000"/>
          <w:sz w:val="20"/>
          <w:szCs w:val="20"/>
        </w:rPr>
        <w:t>older fixed-rate GMxB block. The increase in our Investment Management and Research segment was due to higher distribution revenues and base fees driven by higher average AUM.</w:t>
      </w:r>
    </w:p>
    <w:p w:rsidR="00000000" w:rsidRDefault="000C147A">
      <w:pPr>
        <w:ind w:hanging="360"/>
        <w:divId w:val="1753505861"/>
        <w:rPr>
          <w:rFonts w:eastAsia="Times New Roman"/>
        </w:rPr>
      </w:pPr>
      <w:r>
        <w:rPr>
          <w:rFonts w:eastAsia="Times New Roman"/>
          <w:color w:val="000000"/>
          <w:sz w:val="20"/>
          <w:szCs w:val="20"/>
        </w:rPr>
        <w:t>•Increase in Commissions and distribution-related payments of $25 million mainly</w:t>
      </w:r>
      <w:r>
        <w:rPr>
          <w:rFonts w:eastAsia="Times New Roman"/>
          <w:color w:val="000000"/>
          <w:sz w:val="20"/>
          <w:szCs w:val="20"/>
        </w:rPr>
        <w:t xml:space="preserve"> driven by higher payments to financial intermediaries for distribution of AB mutual funds in our Investment Management and Research segment.</w:t>
      </w:r>
    </w:p>
    <w:p w:rsidR="00000000" w:rsidRDefault="000C147A">
      <w:pPr>
        <w:ind w:firstLine="360"/>
        <w:divId w:val="1606032742"/>
        <w:rPr>
          <w:rFonts w:eastAsia="Times New Roman"/>
        </w:rPr>
      </w:pPr>
      <w:r>
        <w:rPr>
          <w:rFonts w:eastAsia="Times New Roman"/>
          <w:color w:val="000000"/>
          <w:sz w:val="20"/>
          <w:szCs w:val="20"/>
        </w:rPr>
        <w:t>Partially offsetting this decrease were the following notable items:</w:t>
      </w:r>
    </w:p>
    <w:p w:rsidR="00000000" w:rsidRDefault="000C147A">
      <w:pPr>
        <w:ind w:hanging="360"/>
        <w:jc w:val="both"/>
        <w:divId w:val="1792162678"/>
        <w:rPr>
          <w:rFonts w:eastAsia="Times New Roman"/>
        </w:rPr>
      </w:pPr>
      <w:r>
        <w:rPr>
          <w:rFonts w:eastAsia="Times New Roman"/>
          <w:color w:val="000000"/>
          <w:sz w:val="20"/>
          <w:szCs w:val="20"/>
        </w:rPr>
        <w:t xml:space="preserve">•Decrease in Policyholders’ benefits of $701 </w:t>
      </w:r>
      <w:r>
        <w:rPr>
          <w:rFonts w:eastAsia="Times New Roman"/>
          <w:color w:val="000000"/>
          <w:sz w:val="20"/>
          <w:szCs w:val="20"/>
        </w:rPr>
        <w:t>million mainly due to our Individual Retirement segment reflecting lower unfavorable impacts from assumption updates and the favorable impact of the improvements in equity markets in the third quarter of 2020, offset by higher Net Derivatives losses. The d</w:t>
      </w:r>
      <w:r>
        <w:rPr>
          <w:rFonts w:eastAsia="Times New Roman"/>
          <w:color w:val="000000"/>
          <w:sz w:val="20"/>
          <w:szCs w:val="20"/>
        </w:rPr>
        <w:t>ecrease was partially offset in our Protection Solutions segment mainly driven by the unfavorable impact of assumption updates in 2020 compared to the favorable impact of assumption updates in 2019, the re-establishment of the profits followed by loss (“PF</w:t>
      </w:r>
      <w:r>
        <w:rPr>
          <w:rFonts w:eastAsia="Times New Roman"/>
          <w:color w:val="000000"/>
          <w:sz w:val="20"/>
          <w:szCs w:val="20"/>
        </w:rPr>
        <w:t>BL”) reserve upon exiting loss recognition and an increase in term and employee benefits product reserves partially offset by favorable net mortality and lower policyholders’ benefits reflecting the impact of the sale of USFL and MLICA.</w:t>
      </w:r>
    </w:p>
    <w:p w:rsidR="00000000" w:rsidRDefault="000C147A">
      <w:pPr>
        <w:ind w:hanging="360"/>
        <w:jc w:val="both"/>
        <w:divId w:val="620303242"/>
        <w:rPr>
          <w:rFonts w:eastAsia="Times New Roman"/>
        </w:rPr>
      </w:pPr>
      <w:r>
        <w:rPr>
          <w:rFonts w:eastAsia="Times New Roman"/>
          <w:color w:val="000000"/>
          <w:sz w:val="20"/>
          <w:szCs w:val="20"/>
        </w:rPr>
        <w:t>•Increase in Net in</w:t>
      </w:r>
      <w:r>
        <w:rPr>
          <w:rFonts w:eastAsia="Times New Roman"/>
          <w:color w:val="000000"/>
          <w:sz w:val="20"/>
          <w:szCs w:val="20"/>
        </w:rPr>
        <w:t>vestment income of $55 million mainly due to higher asset balances, the General Account investment portfolio optimization and higher income from alternative investments partially offset by lower income from changes in the market value of trading securities</w:t>
      </w:r>
      <w:r>
        <w:rPr>
          <w:rFonts w:eastAsia="Times New Roman"/>
          <w:color w:val="000000"/>
          <w:sz w:val="20"/>
          <w:szCs w:val="20"/>
        </w:rPr>
        <w:t xml:space="preserve"> supporting our variable annuity products.</w:t>
      </w:r>
    </w:p>
    <w:p w:rsidR="00000000" w:rsidRDefault="000C147A">
      <w:pPr>
        <w:ind w:hanging="360"/>
        <w:divId w:val="900865841"/>
        <w:rPr>
          <w:rFonts w:eastAsia="Times New Roman"/>
        </w:rPr>
      </w:pPr>
      <w:r>
        <w:rPr>
          <w:rFonts w:eastAsia="Times New Roman"/>
          <w:color w:val="000000"/>
          <w:sz w:val="20"/>
          <w:szCs w:val="20"/>
        </w:rPr>
        <w:t>•Decrease in Amortization of DAC of $38 million mainly driven by our Protection Solutions segment, partially offset by an increase in our Individual Retirement segment. The decrease in our Protection Solutions seg</w:t>
      </w:r>
      <w:r>
        <w:rPr>
          <w:rFonts w:eastAsia="Times New Roman"/>
          <w:color w:val="000000"/>
          <w:sz w:val="20"/>
          <w:szCs w:val="20"/>
        </w:rPr>
        <w:t xml:space="preserve">ment was mainly due to the favorable impact of assumption updates in 2020 compared to the unfavorable impact of assumption updates in 2019 and the unfavorable impact of the update to reinsurance projections in 2019 and lower ongoing baseline amortization. </w:t>
      </w:r>
      <w:r>
        <w:rPr>
          <w:rFonts w:eastAsia="Times New Roman"/>
          <w:color w:val="000000"/>
          <w:sz w:val="20"/>
          <w:szCs w:val="20"/>
        </w:rPr>
        <w:t>The increase in our Individual Retirement segment was mainly due to the unfavorable impact of assumption updates in 2020 compared to the favorable impact of assumption updates in 2019 partially offset by the favorable impact of reactivity to market movemen</w:t>
      </w:r>
      <w:r>
        <w:rPr>
          <w:rFonts w:eastAsia="Times New Roman"/>
          <w:color w:val="000000"/>
          <w:sz w:val="20"/>
          <w:szCs w:val="20"/>
        </w:rPr>
        <w:t>ts in our SCS products.</w:t>
      </w:r>
    </w:p>
    <w:p w:rsidR="00000000" w:rsidRDefault="000C147A">
      <w:pPr>
        <w:jc w:val="center"/>
        <w:divId w:val="563837324"/>
        <w:rPr>
          <w:rFonts w:eastAsia="Times New Roman"/>
        </w:rPr>
      </w:pPr>
      <w:r>
        <w:rPr>
          <w:rFonts w:eastAsia="Times New Roman"/>
          <w:color w:val="000000"/>
          <w:sz w:val="20"/>
          <w:szCs w:val="20"/>
        </w:rPr>
        <w:t>98</w:t>
      </w:r>
    </w:p>
    <w:p w:rsidR="00000000" w:rsidRDefault="000C147A">
      <w:pPr>
        <w:rPr>
          <w:rFonts w:eastAsia="Times New Roman"/>
        </w:rPr>
      </w:pPr>
      <w:r>
        <w:rPr>
          <w:rFonts w:eastAsia="Times New Roman"/>
        </w:rPr>
        <w:pict>
          <v:rect id="_x0000_i1124" style="width:0;height:1.5pt" o:hralign="center" o:hrstd="t" o:hr="t" fillcolor="#a0a0a0" stroked="f"/>
        </w:pict>
      </w:r>
    </w:p>
    <w:p w:rsidR="00000000" w:rsidRDefault="000C147A">
      <w:pPr>
        <w:ind w:firstLine="360"/>
        <w:divId w:val="1766612439"/>
        <w:rPr>
          <w:rFonts w:eastAsia="Times New Roman"/>
        </w:rPr>
      </w:pPr>
    </w:p>
    <w:p w:rsidR="00000000" w:rsidRDefault="000C147A">
      <w:pPr>
        <w:ind w:hanging="360"/>
        <w:jc w:val="both"/>
        <w:divId w:val="1291011143"/>
        <w:rPr>
          <w:rFonts w:eastAsia="Times New Roman"/>
        </w:rPr>
      </w:pPr>
      <w:r>
        <w:rPr>
          <w:rFonts w:eastAsia="Times New Roman"/>
          <w:color w:val="000000"/>
          <w:sz w:val="20"/>
          <w:szCs w:val="20"/>
        </w:rPr>
        <w:t xml:space="preserve">•Decrease in Interest credited to policyholders’ </w:t>
      </w:r>
      <w:r>
        <w:rPr>
          <w:rFonts w:eastAsia="Times New Roman"/>
          <w:color w:val="000000"/>
          <w:sz w:val="20"/>
          <w:szCs w:val="20"/>
        </w:rPr>
        <w:t>account balances of $14 million mainly driven by lower FHLB funding agreements costs due to lower interest rates.</w:t>
      </w:r>
    </w:p>
    <w:p w:rsidR="00000000" w:rsidRDefault="000C147A">
      <w:pPr>
        <w:ind w:hanging="360"/>
        <w:jc w:val="both"/>
        <w:divId w:val="1800756266"/>
        <w:rPr>
          <w:rFonts w:eastAsia="Times New Roman"/>
        </w:rPr>
      </w:pPr>
      <w:r>
        <w:rPr>
          <w:rFonts w:eastAsia="Times New Roman"/>
          <w:color w:val="000000"/>
          <w:sz w:val="20"/>
          <w:szCs w:val="20"/>
        </w:rPr>
        <w:t>•Decrease in Compensation, benefits and other operating expenses of $12 million mainly driven by productivity initiatives and COVID-19 related</w:t>
      </w:r>
      <w:r>
        <w:rPr>
          <w:rFonts w:eastAsia="Times New Roman"/>
          <w:color w:val="000000"/>
          <w:sz w:val="20"/>
          <w:szCs w:val="20"/>
        </w:rPr>
        <w:t xml:space="preserve"> expense saves.</w:t>
      </w:r>
    </w:p>
    <w:p w:rsidR="00000000" w:rsidRDefault="000C147A">
      <w:pPr>
        <w:ind w:hanging="360"/>
        <w:divId w:val="1478454927"/>
        <w:rPr>
          <w:rFonts w:eastAsia="Times New Roman"/>
        </w:rPr>
      </w:pPr>
      <w:r>
        <w:rPr>
          <w:rFonts w:eastAsia="Times New Roman"/>
          <w:color w:val="000000"/>
          <w:sz w:val="20"/>
          <w:szCs w:val="20"/>
        </w:rPr>
        <w:t>•Increase in Income tax benefit of $97 million primarily driven by a higher pre-tax loss.</w:t>
      </w:r>
    </w:p>
    <w:p w:rsidR="00000000" w:rsidRDefault="000C147A">
      <w:pPr>
        <w:ind w:firstLine="360"/>
        <w:divId w:val="395862791"/>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0C147A">
      <w:pPr>
        <w:jc w:val="both"/>
        <w:divId w:val="865798724"/>
        <w:rPr>
          <w:rFonts w:eastAsia="Times New Roman"/>
        </w:rPr>
      </w:pPr>
      <w:r>
        <w:rPr>
          <w:rFonts w:eastAsia="Times New Roman"/>
          <w:b/>
          <w:bCs/>
          <w:i/>
          <w:iCs/>
          <w:color w:val="000000"/>
          <w:sz w:val="20"/>
          <w:szCs w:val="20"/>
        </w:rPr>
        <w:t>Non-GAAP Ope</w:t>
      </w:r>
      <w:r>
        <w:rPr>
          <w:rFonts w:eastAsia="Times New Roman"/>
          <w:b/>
          <w:bCs/>
          <w:i/>
          <w:iCs/>
          <w:color w:val="000000"/>
          <w:sz w:val="20"/>
          <w:szCs w:val="20"/>
        </w:rPr>
        <w:t>rating Earnings</w:t>
      </w:r>
    </w:p>
    <w:p w:rsidR="00000000" w:rsidRDefault="000C147A">
      <w:pPr>
        <w:ind w:firstLine="360"/>
        <w:divId w:val="1869445373"/>
        <w:rPr>
          <w:rFonts w:eastAsia="Times New Roman"/>
        </w:rPr>
      </w:pPr>
      <w:r>
        <w:rPr>
          <w:rFonts w:eastAsia="Times New Roman"/>
          <w:color w:val="000000"/>
          <w:sz w:val="20"/>
          <w:szCs w:val="20"/>
        </w:rPr>
        <w:t>Non-GAAP Operating Earnings decreased by $105 million to $568 million for the three months ended September 30, 2020 from $673 million in the three months ended September 30, 2019. The following notable items were the primary drivers for the</w:t>
      </w:r>
      <w:r>
        <w:rPr>
          <w:rFonts w:eastAsia="Times New Roman"/>
          <w:color w:val="000000"/>
          <w:sz w:val="20"/>
          <w:szCs w:val="20"/>
        </w:rPr>
        <w:t xml:space="preserve"> decrease in Non-GAAP Operating Earnings.</w:t>
      </w:r>
    </w:p>
    <w:p w:rsidR="00000000" w:rsidRDefault="000C147A">
      <w:pPr>
        <w:ind w:hanging="360"/>
        <w:jc w:val="both"/>
        <w:divId w:val="1040593846"/>
        <w:rPr>
          <w:rFonts w:eastAsia="Times New Roman"/>
        </w:rPr>
      </w:pPr>
      <w:r>
        <w:rPr>
          <w:rFonts w:eastAsia="Times New Roman"/>
          <w:color w:val="000000"/>
          <w:sz w:val="20"/>
          <w:szCs w:val="20"/>
        </w:rPr>
        <w:t>•Decrease in Net derivative gains of $127 million mainly due to losses on derivatives used to hedge our GMxB liabilities not carried at fair value.</w:t>
      </w:r>
    </w:p>
    <w:p w:rsidR="00000000" w:rsidRDefault="000C147A">
      <w:pPr>
        <w:ind w:hanging="360"/>
        <w:jc w:val="both"/>
        <w:divId w:val="1610895555"/>
        <w:rPr>
          <w:rFonts w:eastAsia="Times New Roman"/>
        </w:rPr>
      </w:pPr>
      <w:r>
        <w:rPr>
          <w:rFonts w:eastAsia="Times New Roman"/>
          <w:color w:val="000000"/>
          <w:sz w:val="20"/>
          <w:szCs w:val="20"/>
        </w:rPr>
        <w:t>•Decrease in Fee-type revenue of $96 million mainly driven by a de</w:t>
      </w:r>
      <w:r>
        <w:rPr>
          <w:rFonts w:eastAsia="Times New Roman"/>
          <w:color w:val="000000"/>
          <w:sz w:val="20"/>
          <w:szCs w:val="20"/>
        </w:rPr>
        <w:t>crease in our Protection Solutions and Individual Retirement segments partially offset by an increase in our Investment Management and Research segment. The decrease in our Protection Solutions segment was primarily due to the unfavorable impact of assumpt</w:t>
      </w:r>
      <w:r>
        <w:rPr>
          <w:rFonts w:eastAsia="Times New Roman"/>
          <w:color w:val="000000"/>
          <w:sz w:val="20"/>
          <w:szCs w:val="20"/>
        </w:rPr>
        <w:t>ion updates in 2020 compared to the favorable impact of assumption updates in 2019, lower premiums reflecting the impact of the sale of USFL and MLICA, lower premiums on traditional products, and higher ceded premiums. The decrease in our Individual Retire</w:t>
      </w:r>
      <w:r>
        <w:rPr>
          <w:rFonts w:eastAsia="Times New Roman"/>
          <w:color w:val="000000"/>
          <w:sz w:val="20"/>
          <w:szCs w:val="20"/>
        </w:rPr>
        <w:t>ment segment was primarily due to lower fee income reflecting lower average AV mainly due to outflows on our older fixed-rate GMxB block. The increase in our Investment Management and Research segment was due to higher distribution revenues and base fees d</w:t>
      </w:r>
      <w:r>
        <w:rPr>
          <w:rFonts w:eastAsia="Times New Roman"/>
          <w:color w:val="000000"/>
          <w:sz w:val="20"/>
          <w:szCs w:val="20"/>
        </w:rPr>
        <w:t>riven by higher average AUM.</w:t>
      </w:r>
    </w:p>
    <w:p w:rsidR="00000000" w:rsidRDefault="000C147A">
      <w:pPr>
        <w:ind w:hanging="360"/>
        <w:divId w:val="1791048950"/>
        <w:rPr>
          <w:rFonts w:eastAsia="Times New Roman"/>
        </w:rPr>
      </w:pPr>
      <w:r>
        <w:rPr>
          <w:rFonts w:eastAsia="Times New Roman"/>
          <w:color w:val="000000"/>
          <w:sz w:val="20"/>
          <w:szCs w:val="20"/>
        </w:rPr>
        <w:t xml:space="preserve">•Increase in Commissions and distribution-related payments of $25 million mainly driven by higher payments to financial intermediaries for distribution of AB mutual funds in our Investment Management and Research segment. </w:t>
      </w:r>
    </w:p>
    <w:p w:rsidR="00000000" w:rsidRDefault="000C147A">
      <w:pPr>
        <w:ind w:firstLine="360"/>
        <w:divId w:val="879973152"/>
        <w:rPr>
          <w:rFonts w:eastAsia="Times New Roman"/>
        </w:rPr>
      </w:pPr>
      <w:r>
        <w:rPr>
          <w:rFonts w:eastAsia="Times New Roman"/>
          <w:color w:val="000000"/>
          <w:sz w:val="20"/>
          <w:szCs w:val="20"/>
        </w:rPr>
        <w:t>Part</w:t>
      </w:r>
      <w:r>
        <w:rPr>
          <w:rFonts w:eastAsia="Times New Roman"/>
          <w:color w:val="000000"/>
          <w:sz w:val="20"/>
          <w:szCs w:val="20"/>
        </w:rPr>
        <w:t>ially offsetting this decrease were the following notable items:</w:t>
      </w:r>
    </w:p>
    <w:p w:rsidR="00000000" w:rsidRDefault="000C147A">
      <w:pPr>
        <w:ind w:hanging="360"/>
        <w:divId w:val="238176280"/>
        <w:rPr>
          <w:rFonts w:eastAsia="Times New Roman"/>
        </w:rPr>
      </w:pPr>
      <w:r>
        <w:rPr>
          <w:rFonts w:eastAsia="Times New Roman"/>
          <w:color w:val="000000"/>
          <w:sz w:val="20"/>
          <w:szCs w:val="20"/>
        </w:rPr>
        <w:t>•Increase in Net investment income of $70 million mainly due to higher asset balances, the General Account investment portfolio optimization and higher income from alternative investments.</w:t>
      </w:r>
    </w:p>
    <w:p w:rsidR="00000000" w:rsidRDefault="000C147A">
      <w:pPr>
        <w:ind w:hanging="360"/>
        <w:jc w:val="both"/>
        <w:divId w:val="1739791039"/>
        <w:rPr>
          <w:rFonts w:eastAsia="Times New Roman"/>
        </w:rPr>
      </w:pPr>
      <w:r>
        <w:rPr>
          <w:rFonts w:eastAsia="Times New Roman"/>
          <w:color w:val="000000"/>
          <w:sz w:val="20"/>
          <w:szCs w:val="20"/>
        </w:rPr>
        <w:t>•D</w:t>
      </w:r>
      <w:r>
        <w:rPr>
          <w:rFonts w:eastAsia="Times New Roman"/>
          <w:color w:val="000000"/>
          <w:sz w:val="20"/>
          <w:szCs w:val="20"/>
        </w:rPr>
        <w:t>ecrease in Amortization of DAC of $24 million mainly driven by our Protection Solutions segment, partially offset by an increase in our Individual Retirement segment. The decrease in our Protection Solutions segment was mainly due to the favorable impact o</w:t>
      </w:r>
      <w:r>
        <w:rPr>
          <w:rFonts w:eastAsia="Times New Roman"/>
          <w:color w:val="000000"/>
          <w:sz w:val="20"/>
          <w:szCs w:val="20"/>
        </w:rPr>
        <w:t>f assumption updates in 2020 compared to the unfavorable impact of assumption updates in 2019 and the unfavorable impact of the update to reinsurance projections in 2019 and lower ongoing baseline amortization. The increase in our Individual Retirement seg</w:t>
      </w:r>
      <w:r>
        <w:rPr>
          <w:rFonts w:eastAsia="Times New Roman"/>
          <w:color w:val="000000"/>
          <w:sz w:val="20"/>
          <w:szCs w:val="20"/>
        </w:rPr>
        <w:t>ment was mainly due to the unfavorable impact of assumption updates in 2020 compared to the favorable impact of assumption updates in 2019.</w:t>
      </w:r>
    </w:p>
    <w:p w:rsidR="00000000" w:rsidRDefault="000C147A">
      <w:pPr>
        <w:ind w:hanging="360"/>
        <w:jc w:val="both"/>
        <w:divId w:val="484053789"/>
        <w:rPr>
          <w:rFonts w:eastAsia="Times New Roman"/>
        </w:rPr>
      </w:pPr>
      <w:r>
        <w:rPr>
          <w:rFonts w:eastAsia="Times New Roman"/>
          <w:color w:val="000000"/>
          <w:sz w:val="20"/>
          <w:szCs w:val="20"/>
        </w:rPr>
        <w:t xml:space="preserve">•Decrease in Interest credited to policyholders’ </w:t>
      </w:r>
      <w:r>
        <w:rPr>
          <w:rFonts w:eastAsia="Times New Roman"/>
          <w:color w:val="000000"/>
          <w:sz w:val="20"/>
          <w:szCs w:val="20"/>
        </w:rPr>
        <w:t>account balances of $14 million mainly driven by lower FHLB funding agreements costs due to lower interest rates.</w:t>
      </w:r>
    </w:p>
    <w:p w:rsidR="00000000" w:rsidRDefault="000C147A">
      <w:pPr>
        <w:ind w:hanging="360"/>
        <w:divId w:val="1346253099"/>
        <w:rPr>
          <w:rFonts w:eastAsia="Times New Roman"/>
        </w:rPr>
      </w:pPr>
      <w:r>
        <w:rPr>
          <w:rFonts w:eastAsia="Times New Roman"/>
          <w:color w:val="000000"/>
          <w:sz w:val="20"/>
          <w:szCs w:val="20"/>
        </w:rPr>
        <w:t>•Decrease in Income tax expense of $27 million mainly driven by lower pre-tax earnings.</w:t>
      </w:r>
    </w:p>
    <w:p w:rsidR="00000000" w:rsidRDefault="000C147A">
      <w:pPr>
        <w:ind w:firstLine="360"/>
        <w:divId w:val="1499425183"/>
        <w:rPr>
          <w:rFonts w:eastAsia="Times New Roman"/>
        </w:rPr>
      </w:pPr>
      <w:r>
        <w:rPr>
          <w:rFonts w:eastAsia="Times New Roman"/>
          <w:color w:val="000000"/>
          <w:sz w:val="20"/>
          <w:szCs w:val="20"/>
        </w:rPr>
        <w:t>See “—Significant Factors Impacting Our Results—Assump</w:t>
      </w:r>
      <w:r>
        <w:rPr>
          <w:rFonts w:eastAsia="Times New Roman"/>
          <w:color w:val="000000"/>
          <w:sz w:val="20"/>
          <w:szCs w:val="20"/>
        </w:rPr>
        <w:t xml:space="preserve">tion Updates and Model Changes” for more information regarding assumption updates. </w:t>
      </w:r>
    </w:p>
    <w:p w:rsidR="00000000" w:rsidRDefault="000C147A">
      <w:pPr>
        <w:divId w:val="424037756"/>
        <w:rPr>
          <w:rFonts w:eastAsia="Times New Roman"/>
        </w:rPr>
      </w:pPr>
      <w:r>
        <w:rPr>
          <w:rFonts w:eastAsia="Times New Roman"/>
          <w:b/>
          <w:bCs/>
          <w:color w:val="000000"/>
          <w:sz w:val="20"/>
          <w:szCs w:val="20"/>
        </w:rPr>
        <w:t>Nine Months Ended September 30, 2020 Compared to the Nine Months Ended September 30, 2019</w:t>
      </w:r>
    </w:p>
    <w:p w:rsidR="00000000" w:rsidRDefault="000C147A">
      <w:pPr>
        <w:jc w:val="both"/>
        <w:divId w:val="918907756"/>
        <w:rPr>
          <w:rFonts w:eastAsia="Times New Roman"/>
        </w:rPr>
      </w:pPr>
      <w:r>
        <w:rPr>
          <w:rFonts w:eastAsia="Times New Roman"/>
          <w:b/>
          <w:bCs/>
          <w:i/>
          <w:iCs/>
          <w:color w:val="000000"/>
          <w:sz w:val="20"/>
          <w:szCs w:val="20"/>
        </w:rPr>
        <w:t>Net Income Attributable to Holdings</w:t>
      </w:r>
    </w:p>
    <w:p w:rsidR="00000000" w:rsidRDefault="000C147A">
      <w:pPr>
        <w:ind w:firstLine="360"/>
        <w:divId w:val="1006976518"/>
        <w:rPr>
          <w:rFonts w:eastAsia="Times New Roman"/>
        </w:rPr>
      </w:pPr>
      <w:r>
        <w:rPr>
          <w:rFonts w:eastAsia="Times New Roman"/>
          <w:color w:val="000000"/>
          <w:sz w:val="20"/>
          <w:szCs w:val="20"/>
        </w:rPr>
        <w:t>Net income (loss) attributable to Holdings inc</w:t>
      </w:r>
      <w:r>
        <w:rPr>
          <w:rFonts w:eastAsia="Times New Roman"/>
          <w:color w:val="000000"/>
          <w:sz w:val="20"/>
          <w:szCs w:val="20"/>
        </w:rPr>
        <w:t>reased by $1.4 billion, to net income of $590 million for the nine months ended September 30, 2020 from a net loss of $818 million in the nine months ended September 30, 2019 primarily driven by the following notable items:</w:t>
      </w:r>
    </w:p>
    <w:p w:rsidR="00000000" w:rsidRDefault="000C147A">
      <w:pPr>
        <w:ind w:hanging="360"/>
        <w:jc w:val="both"/>
        <w:divId w:val="329217693"/>
        <w:rPr>
          <w:rFonts w:eastAsia="Times New Roman"/>
        </w:rPr>
      </w:pPr>
      <w:r>
        <w:rPr>
          <w:rFonts w:eastAsia="Times New Roman"/>
          <w:color w:val="000000"/>
          <w:sz w:val="20"/>
          <w:szCs w:val="20"/>
        </w:rPr>
        <w:t>•Increase in Net derivative gain</w:t>
      </w:r>
      <w:r>
        <w:rPr>
          <w:rFonts w:eastAsia="Times New Roman"/>
          <w:color w:val="000000"/>
          <w:sz w:val="20"/>
          <w:szCs w:val="20"/>
        </w:rPr>
        <w:t>s of $4.2 billion mainly reflecting the gains from the first quarter 2020 decrease in interest rates and a lower improvement in equity markets in 2020 when compared to 2019.</w:t>
      </w:r>
    </w:p>
    <w:p w:rsidR="00000000" w:rsidRDefault="000C147A">
      <w:pPr>
        <w:jc w:val="center"/>
        <w:divId w:val="262037784"/>
        <w:rPr>
          <w:rFonts w:eastAsia="Times New Roman"/>
        </w:rPr>
      </w:pPr>
      <w:r>
        <w:rPr>
          <w:rFonts w:eastAsia="Times New Roman"/>
          <w:color w:val="000000"/>
          <w:sz w:val="20"/>
          <w:szCs w:val="20"/>
        </w:rPr>
        <w:t>99</w:t>
      </w:r>
    </w:p>
    <w:p w:rsidR="00000000" w:rsidRDefault="000C147A">
      <w:pPr>
        <w:rPr>
          <w:rFonts w:eastAsia="Times New Roman"/>
        </w:rPr>
      </w:pPr>
      <w:r>
        <w:rPr>
          <w:rFonts w:eastAsia="Times New Roman"/>
        </w:rPr>
        <w:pict>
          <v:rect id="_x0000_i1125" style="width:0;height:1.5pt" o:hralign="center" o:hrstd="t" o:hr="t" fillcolor="#a0a0a0" stroked="f"/>
        </w:pict>
      </w:r>
    </w:p>
    <w:p w:rsidR="00000000" w:rsidRDefault="000C147A">
      <w:pPr>
        <w:ind w:firstLine="360"/>
        <w:divId w:val="696588149"/>
        <w:rPr>
          <w:rFonts w:eastAsia="Times New Roman"/>
        </w:rPr>
      </w:pPr>
    </w:p>
    <w:p w:rsidR="00000000" w:rsidRDefault="000C147A">
      <w:pPr>
        <w:ind w:hanging="360"/>
        <w:jc w:val="both"/>
        <w:divId w:val="1400350"/>
        <w:rPr>
          <w:rFonts w:eastAsia="Times New Roman"/>
        </w:rPr>
      </w:pPr>
      <w:r>
        <w:rPr>
          <w:rFonts w:eastAsia="Times New Roman"/>
          <w:color w:val="000000"/>
          <w:sz w:val="20"/>
          <w:szCs w:val="20"/>
        </w:rPr>
        <w:t xml:space="preserve">•Decrease in Compensation, benefits and </w:t>
      </w:r>
      <w:r>
        <w:rPr>
          <w:rFonts w:eastAsia="Times New Roman"/>
          <w:color w:val="000000"/>
          <w:sz w:val="20"/>
          <w:szCs w:val="20"/>
        </w:rPr>
        <w:t>other operating expenses of $32 million, mainly driven by productivity initiatives and COVID-19 related expense saves.</w:t>
      </w:r>
    </w:p>
    <w:p w:rsidR="00000000" w:rsidRDefault="000C147A">
      <w:pPr>
        <w:ind w:hanging="360"/>
        <w:divId w:val="1536457858"/>
        <w:rPr>
          <w:rFonts w:eastAsia="Times New Roman"/>
        </w:rPr>
      </w:pPr>
      <w:r>
        <w:rPr>
          <w:rFonts w:eastAsia="Times New Roman"/>
          <w:color w:val="000000"/>
          <w:sz w:val="20"/>
          <w:szCs w:val="20"/>
        </w:rPr>
        <w:t>•Decrease in Interest expense of $15 million mainly driven by the repayment of a $300 million term loan in December 2019 and lower intere</w:t>
      </w:r>
      <w:r>
        <w:rPr>
          <w:rFonts w:eastAsia="Times New Roman"/>
          <w:color w:val="000000"/>
          <w:sz w:val="20"/>
          <w:szCs w:val="20"/>
        </w:rPr>
        <w:t>st expense in our Investment Management and Research segment.</w:t>
      </w:r>
    </w:p>
    <w:p w:rsidR="00000000" w:rsidRDefault="000C147A">
      <w:pPr>
        <w:ind w:hanging="360"/>
        <w:jc w:val="both"/>
        <w:divId w:val="969629323"/>
        <w:rPr>
          <w:rFonts w:eastAsia="Times New Roman"/>
        </w:rPr>
      </w:pPr>
      <w:r>
        <w:rPr>
          <w:rFonts w:eastAsia="Times New Roman"/>
          <w:color w:val="000000"/>
          <w:sz w:val="20"/>
          <w:szCs w:val="20"/>
        </w:rPr>
        <w:t xml:space="preserve">•Increase in Fee-type revenue of $14 million mainly driven by higher base fees and distribution revenues resulting from higher average AUM and higher Bernstein Research Services revenues in our </w:t>
      </w:r>
      <w:r>
        <w:rPr>
          <w:rFonts w:eastAsia="Times New Roman"/>
          <w:color w:val="000000"/>
          <w:sz w:val="20"/>
          <w:szCs w:val="20"/>
        </w:rPr>
        <w:t>Investment Management and Research segment. This increase was partially offset by lower fee income due to lower average Separate Account AV reflecting the March equity markets decline and outflows on our older fixed-rate GMxB block. The decrease in our Pro</w:t>
      </w:r>
      <w:r>
        <w:rPr>
          <w:rFonts w:eastAsia="Times New Roman"/>
          <w:color w:val="000000"/>
          <w:sz w:val="20"/>
          <w:szCs w:val="20"/>
        </w:rPr>
        <w:t>tection Solutions segment was driven by lower premiums reflecting the impact of the sale of USFL and MLICA, lower premiums on traditional products (offset in Policyholders’ benefits) and higher ceded premiums.</w:t>
      </w:r>
    </w:p>
    <w:p w:rsidR="00000000" w:rsidRDefault="000C147A">
      <w:pPr>
        <w:ind w:hanging="360"/>
        <w:jc w:val="both"/>
        <w:divId w:val="559750903"/>
        <w:rPr>
          <w:rFonts w:eastAsia="Times New Roman"/>
        </w:rPr>
      </w:pPr>
      <w:r>
        <w:rPr>
          <w:rFonts w:eastAsia="Times New Roman"/>
          <w:color w:val="000000"/>
          <w:sz w:val="20"/>
          <w:szCs w:val="20"/>
        </w:rPr>
        <w:t>•Decrease in Interest credited to policyholder</w:t>
      </w:r>
      <w:r>
        <w:rPr>
          <w:rFonts w:eastAsia="Times New Roman"/>
          <w:color w:val="000000"/>
          <w:sz w:val="20"/>
          <w:szCs w:val="20"/>
        </w:rPr>
        <w:t>s’ account balances of $14 million mainly driven by lower FHLB funding agreements costs due to lower interest rates partially offset by higher interest credited in our Individual Retirement segment due to higher SCS AV due to new business growth.</w:t>
      </w:r>
    </w:p>
    <w:p w:rsidR="00000000" w:rsidRDefault="000C147A">
      <w:pPr>
        <w:ind w:hanging="360"/>
        <w:jc w:val="both"/>
        <w:divId w:val="1784570003"/>
        <w:rPr>
          <w:rFonts w:eastAsia="Times New Roman"/>
        </w:rPr>
      </w:pPr>
      <w:r>
        <w:rPr>
          <w:rFonts w:eastAsia="Times New Roman"/>
          <w:color w:val="000000"/>
          <w:sz w:val="20"/>
          <w:szCs w:val="20"/>
        </w:rPr>
        <w:t>•Increase</w:t>
      </w:r>
      <w:r>
        <w:rPr>
          <w:rFonts w:eastAsia="Times New Roman"/>
          <w:color w:val="000000"/>
          <w:sz w:val="20"/>
          <w:szCs w:val="20"/>
        </w:rPr>
        <w:t xml:space="preserve"> in Net investment gains of $14 million primarily due to the rebalancing of our U.S. Treasury portfolio, partially offset by a $50 million impairment on assets related to the USFL and MLICA sale.</w:t>
      </w:r>
    </w:p>
    <w:p w:rsidR="00000000" w:rsidRDefault="000C147A">
      <w:pPr>
        <w:ind w:firstLine="720"/>
        <w:divId w:val="283581981"/>
        <w:rPr>
          <w:rFonts w:eastAsia="Times New Roman"/>
        </w:rPr>
      </w:pPr>
      <w:r>
        <w:rPr>
          <w:rFonts w:eastAsia="Times New Roman"/>
          <w:color w:val="000000"/>
          <w:sz w:val="20"/>
          <w:szCs w:val="20"/>
        </w:rPr>
        <w:t>Partially offsetting this increase were the following notabl</w:t>
      </w:r>
      <w:r>
        <w:rPr>
          <w:rFonts w:eastAsia="Times New Roman"/>
          <w:color w:val="000000"/>
          <w:sz w:val="20"/>
          <w:szCs w:val="20"/>
        </w:rPr>
        <w:t>e items:</w:t>
      </w:r>
    </w:p>
    <w:p w:rsidR="00000000" w:rsidRDefault="000C147A">
      <w:pPr>
        <w:ind w:hanging="360"/>
        <w:jc w:val="both"/>
        <w:divId w:val="1232618233"/>
        <w:rPr>
          <w:rFonts w:eastAsia="Times New Roman"/>
        </w:rPr>
      </w:pPr>
      <w:r>
        <w:rPr>
          <w:rFonts w:eastAsia="Times New Roman"/>
          <w:color w:val="000000"/>
          <w:sz w:val="20"/>
          <w:szCs w:val="20"/>
        </w:rPr>
        <w:t>•Increase in Policyholders’ benefits of $1.0 billion mainly due to the higher unfavorable impact of assumption updates in 2020 including the first quarter assumption update due to COVID-19, the unfavorable impact of equity markets in our GMxB liab</w:t>
      </w:r>
      <w:r>
        <w:rPr>
          <w:rFonts w:eastAsia="Times New Roman"/>
          <w:color w:val="000000"/>
          <w:sz w:val="20"/>
          <w:szCs w:val="20"/>
        </w:rPr>
        <w:t>ilities, the re-establishment of PFBL reserve upon exiting loss recognition and an increase in term and employee benefits product reserves, partially offset by favorable net mortality and lower policyholders’ benefits reflecting the impact of the sale of U</w:t>
      </w:r>
      <w:r>
        <w:rPr>
          <w:rFonts w:eastAsia="Times New Roman"/>
          <w:color w:val="000000"/>
          <w:sz w:val="20"/>
          <w:szCs w:val="20"/>
        </w:rPr>
        <w:t>SFL and MLICA.</w:t>
      </w:r>
    </w:p>
    <w:p w:rsidR="00000000" w:rsidRDefault="000C147A">
      <w:pPr>
        <w:ind w:hanging="360"/>
        <w:jc w:val="both"/>
        <w:divId w:val="1976526495"/>
        <w:rPr>
          <w:rFonts w:eastAsia="Times New Roman"/>
        </w:rPr>
      </w:pPr>
      <w:r>
        <w:rPr>
          <w:rFonts w:eastAsia="Times New Roman"/>
          <w:color w:val="000000"/>
          <w:sz w:val="20"/>
          <w:szCs w:val="20"/>
        </w:rPr>
        <w:t xml:space="preserve">•Increase in Amortization of DAC of $1.1 billion mainly due to the impact of the assumption updates including the first quarter of 2020 assumption update related to COVID-19. </w:t>
      </w:r>
    </w:p>
    <w:p w:rsidR="00000000" w:rsidRDefault="000C147A">
      <w:pPr>
        <w:ind w:hanging="360"/>
        <w:jc w:val="both"/>
        <w:divId w:val="453863514"/>
        <w:rPr>
          <w:rFonts w:eastAsia="Times New Roman"/>
        </w:rPr>
      </w:pPr>
      <w:r>
        <w:rPr>
          <w:rFonts w:eastAsia="Times New Roman"/>
          <w:color w:val="000000"/>
          <w:sz w:val="20"/>
          <w:szCs w:val="20"/>
        </w:rPr>
        <w:t xml:space="preserve">•Decrease in Net investment income of $285 million mainly driven </w:t>
      </w:r>
      <w:r>
        <w:rPr>
          <w:rFonts w:eastAsia="Times New Roman"/>
          <w:color w:val="000000"/>
          <w:sz w:val="20"/>
          <w:szCs w:val="20"/>
        </w:rPr>
        <w:t>by changes in the market value of trading securities supporting our variable annuity products and lower income from alternative investments partially offset by higher investment income from fixed maturities available-for-sale due to higher asset balances a</w:t>
      </w:r>
      <w:r>
        <w:rPr>
          <w:rFonts w:eastAsia="Times New Roman"/>
          <w:color w:val="000000"/>
          <w:sz w:val="20"/>
          <w:szCs w:val="20"/>
        </w:rPr>
        <w:t>nd the General Account investment portfolio optimization.</w:t>
      </w:r>
    </w:p>
    <w:p w:rsidR="00000000" w:rsidRDefault="000C147A">
      <w:pPr>
        <w:ind w:hanging="360"/>
        <w:jc w:val="both"/>
        <w:divId w:val="2032416786"/>
        <w:rPr>
          <w:rFonts w:eastAsia="Times New Roman"/>
        </w:rPr>
      </w:pPr>
      <w:r>
        <w:rPr>
          <w:rFonts w:eastAsia="Times New Roman"/>
          <w:color w:val="000000"/>
          <w:sz w:val="20"/>
          <w:szCs w:val="20"/>
        </w:rPr>
        <w:t>•Increase in Commissions and distribution-related payments of $77 million mainly driven by higher payments to financial intermediaries for distribution of AB mutual funds in our Investment Managemen</w:t>
      </w:r>
      <w:r>
        <w:rPr>
          <w:rFonts w:eastAsia="Times New Roman"/>
          <w:color w:val="000000"/>
          <w:sz w:val="20"/>
          <w:szCs w:val="20"/>
        </w:rPr>
        <w:t>t and Research segment, as well as the growth in broker dealer sales.</w:t>
      </w:r>
    </w:p>
    <w:p w:rsidR="00000000" w:rsidRDefault="000C147A">
      <w:pPr>
        <w:ind w:hanging="360"/>
        <w:divId w:val="730735046"/>
        <w:rPr>
          <w:rFonts w:eastAsia="Times New Roman"/>
        </w:rPr>
      </w:pPr>
      <w:r>
        <w:rPr>
          <w:rFonts w:eastAsia="Times New Roman"/>
          <w:color w:val="000000"/>
          <w:sz w:val="20"/>
          <w:szCs w:val="20"/>
        </w:rPr>
        <w:t>•Increase in Income tax expense of $475 million primarily driven by pre-tax income in the nine months ended September 30, 2020 compared to a pre-tax loss in the nine months ended Septemb</w:t>
      </w:r>
      <w:r>
        <w:rPr>
          <w:rFonts w:eastAsia="Times New Roman"/>
          <w:color w:val="000000"/>
          <w:sz w:val="20"/>
          <w:szCs w:val="20"/>
        </w:rPr>
        <w:t>er 30, 2019, and a change in the reserve accrual for uncertain tax positions in the nine months ended September 20, 2019.</w:t>
      </w:r>
    </w:p>
    <w:p w:rsidR="00000000" w:rsidRDefault="000C147A">
      <w:pPr>
        <w:ind w:firstLine="360"/>
        <w:divId w:val="865143616"/>
        <w:rPr>
          <w:rFonts w:eastAsia="Times New Roman"/>
        </w:rPr>
      </w:pPr>
      <w:r>
        <w:rPr>
          <w:rFonts w:eastAsia="Times New Roman"/>
          <w:color w:val="000000"/>
          <w:sz w:val="20"/>
          <w:szCs w:val="20"/>
        </w:rPr>
        <w:t>See “—Significant Factors Impacting Our Results—Assumption Updates and Model Changes” for more information regarding assumption update</w:t>
      </w:r>
      <w:r>
        <w:rPr>
          <w:rFonts w:eastAsia="Times New Roman"/>
          <w:color w:val="000000"/>
          <w:sz w:val="20"/>
          <w:szCs w:val="20"/>
        </w:rPr>
        <w:t xml:space="preserve">s. </w:t>
      </w:r>
    </w:p>
    <w:p w:rsidR="00000000" w:rsidRDefault="000C147A">
      <w:pPr>
        <w:jc w:val="both"/>
        <w:divId w:val="764108223"/>
        <w:rPr>
          <w:rFonts w:eastAsia="Times New Roman"/>
        </w:rPr>
      </w:pPr>
      <w:r>
        <w:rPr>
          <w:rFonts w:eastAsia="Times New Roman"/>
          <w:b/>
          <w:bCs/>
          <w:i/>
          <w:iCs/>
          <w:color w:val="000000"/>
          <w:sz w:val="20"/>
          <w:szCs w:val="20"/>
        </w:rPr>
        <w:t>Non-GAAP Operating Earnings</w:t>
      </w:r>
    </w:p>
    <w:p w:rsidR="00000000" w:rsidRDefault="000C147A">
      <w:pPr>
        <w:ind w:firstLine="360"/>
        <w:divId w:val="422264763"/>
        <w:rPr>
          <w:rFonts w:eastAsia="Times New Roman"/>
        </w:rPr>
      </w:pPr>
      <w:r>
        <w:rPr>
          <w:rFonts w:eastAsia="Times New Roman"/>
          <w:color w:val="000000"/>
          <w:sz w:val="20"/>
          <w:szCs w:val="20"/>
        </w:rPr>
        <w:t>Non-GAAP Operating Earnings decreased by $150 million to $1.6 billion for the nine months ended September 30, 2020 from $1.7 billion in the nine months ended September 30, 2019. The following notable items were the primary d</w:t>
      </w:r>
      <w:r>
        <w:rPr>
          <w:rFonts w:eastAsia="Times New Roman"/>
          <w:color w:val="000000"/>
          <w:sz w:val="20"/>
          <w:szCs w:val="20"/>
        </w:rPr>
        <w:t>rivers for the decrease in Non-GAAP Operating Earnings.</w:t>
      </w:r>
    </w:p>
    <w:p w:rsidR="00000000" w:rsidRDefault="000C147A">
      <w:pPr>
        <w:ind w:hanging="360"/>
        <w:jc w:val="both"/>
        <w:divId w:val="2084640408"/>
        <w:rPr>
          <w:rFonts w:eastAsia="Times New Roman"/>
        </w:rPr>
      </w:pPr>
      <w:r>
        <w:rPr>
          <w:rFonts w:eastAsia="Times New Roman"/>
          <w:color w:val="000000"/>
          <w:sz w:val="20"/>
          <w:szCs w:val="20"/>
        </w:rPr>
        <w:t>•Increase in Policyholders’ benefits of $229 million mainly in our Individual Retirement segment (offset by an increase in Net derivatives gains) reflecting the impact of the March equity markets, and</w:t>
      </w:r>
      <w:r>
        <w:rPr>
          <w:rFonts w:eastAsia="Times New Roman"/>
          <w:color w:val="000000"/>
          <w:sz w:val="20"/>
          <w:szCs w:val="20"/>
        </w:rPr>
        <w:t xml:space="preserve"> our Protection Solutions segment. The increase in our Protection Solutions segment was mainly driven by the unfavorable impact of assumption updates in 2020 compared to the favorable impact of assumption updates in 2019, the re-establishment of PFBL reser</w:t>
      </w:r>
      <w:r>
        <w:rPr>
          <w:rFonts w:eastAsia="Times New Roman"/>
          <w:color w:val="000000"/>
          <w:sz w:val="20"/>
          <w:szCs w:val="20"/>
        </w:rPr>
        <w:t xml:space="preserve">ve upon exiting loss recognition and an increase in term and employee benefits product reserves partially offset by favorable net mortality and the lower policyholders’ benefits reflecting the impact of the sale of USFL and MLICA. </w:t>
      </w:r>
    </w:p>
    <w:p w:rsidR="00000000" w:rsidRDefault="000C147A">
      <w:pPr>
        <w:ind w:hanging="360"/>
        <w:divId w:val="1686635823"/>
        <w:rPr>
          <w:rFonts w:eastAsia="Times New Roman"/>
        </w:rPr>
      </w:pPr>
      <w:r>
        <w:rPr>
          <w:rFonts w:eastAsia="Times New Roman"/>
          <w:color w:val="000000"/>
          <w:sz w:val="20"/>
          <w:szCs w:val="20"/>
        </w:rPr>
        <w:t>•</w:t>
      </w:r>
      <w:r>
        <w:rPr>
          <w:rFonts w:eastAsia="Times New Roman"/>
          <w:color w:val="000000"/>
          <w:sz w:val="20"/>
          <w:szCs w:val="20"/>
        </w:rPr>
        <w:t>Increase in Commissions and distribution-related payments of $77 million mainly driven by higher payments to financial intermediaries for distribution of AB mutual funds in our Investment Management and Research segment, as well as the growth in broker dea</w:t>
      </w:r>
      <w:r>
        <w:rPr>
          <w:rFonts w:eastAsia="Times New Roman"/>
          <w:color w:val="000000"/>
          <w:sz w:val="20"/>
          <w:szCs w:val="20"/>
        </w:rPr>
        <w:t>ler sales.</w:t>
      </w:r>
    </w:p>
    <w:p w:rsidR="00000000" w:rsidRDefault="000C147A">
      <w:pPr>
        <w:jc w:val="center"/>
        <w:divId w:val="1792439312"/>
        <w:rPr>
          <w:rFonts w:eastAsia="Times New Roman"/>
        </w:rPr>
      </w:pPr>
      <w:r>
        <w:rPr>
          <w:rFonts w:eastAsia="Times New Roman"/>
          <w:color w:val="000000"/>
          <w:sz w:val="20"/>
          <w:szCs w:val="20"/>
        </w:rPr>
        <w:t>100</w:t>
      </w:r>
    </w:p>
    <w:p w:rsidR="00000000" w:rsidRDefault="000C147A">
      <w:pPr>
        <w:rPr>
          <w:rFonts w:eastAsia="Times New Roman"/>
        </w:rPr>
      </w:pPr>
      <w:r>
        <w:rPr>
          <w:rFonts w:eastAsia="Times New Roman"/>
        </w:rPr>
        <w:pict>
          <v:rect id="_x0000_i1126" style="width:0;height:1.5pt" o:hralign="center" o:hrstd="t" o:hr="t" fillcolor="#a0a0a0" stroked="f"/>
        </w:pict>
      </w:r>
    </w:p>
    <w:p w:rsidR="00000000" w:rsidRDefault="000C147A">
      <w:pPr>
        <w:ind w:firstLine="360"/>
        <w:divId w:val="1261256332"/>
        <w:rPr>
          <w:rFonts w:eastAsia="Times New Roman"/>
        </w:rPr>
      </w:pPr>
    </w:p>
    <w:p w:rsidR="00000000" w:rsidRDefault="000C147A">
      <w:pPr>
        <w:ind w:hanging="360"/>
        <w:jc w:val="both"/>
        <w:divId w:val="288975126"/>
        <w:rPr>
          <w:rFonts w:eastAsia="Times New Roman"/>
        </w:rPr>
      </w:pPr>
      <w:r>
        <w:rPr>
          <w:rFonts w:eastAsia="Times New Roman"/>
          <w:color w:val="000000"/>
          <w:sz w:val="20"/>
          <w:szCs w:val="20"/>
        </w:rPr>
        <w:t>•</w:t>
      </w:r>
      <w:r>
        <w:rPr>
          <w:rFonts w:eastAsia="Times New Roman"/>
          <w:color w:val="000000"/>
          <w:sz w:val="20"/>
          <w:szCs w:val="20"/>
        </w:rPr>
        <w:t>Decrease in Fee-type revenue of $31 million driven by higher base fees and distribution revenues resulting from higher average AUM and higher Bernstein Research Services revenues in our Investment Management and Research segment. This increase was partiall</w:t>
      </w:r>
      <w:r>
        <w:rPr>
          <w:rFonts w:eastAsia="Times New Roman"/>
          <w:color w:val="000000"/>
          <w:sz w:val="20"/>
          <w:szCs w:val="20"/>
        </w:rPr>
        <w:t>y offset by lower fee income due to lower average Separate Account AV reflecting outflows on our older fixed-rate GMxB block. The decrease in our Protection Solutions segment was due to lower premiums reflecting the impact of the sale of USFL and MLICA, lo</w:t>
      </w:r>
      <w:r>
        <w:rPr>
          <w:rFonts w:eastAsia="Times New Roman"/>
          <w:color w:val="000000"/>
          <w:sz w:val="20"/>
          <w:szCs w:val="20"/>
        </w:rPr>
        <w:t>wer premiums on traditional products (offset in Policyholders’ benefits), higher ceded premiums and the unfavorable impact of assumption updates in 2020 compared to the favorable impact of assumption updates in 2019.</w:t>
      </w:r>
    </w:p>
    <w:p w:rsidR="00000000" w:rsidRDefault="000C147A">
      <w:pPr>
        <w:ind w:hanging="360"/>
        <w:divId w:val="406806950"/>
        <w:rPr>
          <w:rFonts w:eastAsia="Times New Roman"/>
        </w:rPr>
      </w:pPr>
      <w:r>
        <w:rPr>
          <w:rFonts w:eastAsia="Times New Roman"/>
          <w:color w:val="000000"/>
          <w:sz w:val="20"/>
          <w:szCs w:val="20"/>
        </w:rPr>
        <w:t>•Increase in Earnings attributable to t</w:t>
      </w:r>
      <w:r>
        <w:rPr>
          <w:rFonts w:eastAsia="Times New Roman"/>
          <w:color w:val="000000"/>
          <w:sz w:val="20"/>
          <w:szCs w:val="20"/>
        </w:rPr>
        <w:t xml:space="preserve">he noncontrolling interest of $20 million mainly in our Investment Management and Research segment due to higher AB Operating earnings. </w:t>
      </w:r>
    </w:p>
    <w:p w:rsidR="00000000" w:rsidRDefault="000C147A">
      <w:pPr>
        <w:ind w:firstLine="360"/>
        <w:divId w:val="1197547487"/>
        <w:rPr>
          <w:rFonts w:eastAsia="Times New Roman"/>
        </w:rPr>
      </w:pPr>
      <w:r>
        <w:rPr>
          <w:rFonts w:eastAsia="Times New Roman"/>
          <w:color w:val="000000"/>
          <w:sz w:val="20"/>
          <w:szCs w:val="20"/>
        </w:rPr>
        <w:t>Partially offsetting this decrease were the following notable items:</w:t>
      </w:r>
    </w:p>
    <w:p w:rsidR="00000000" w:rsidRDefault="000C147A">
      <w:pPr>
        <w:ind w:hanging="360"/>
        <w:jc w:val="both"/>
        <w:divId w:val="1305623086"/>
        <w:rPr>
          <w:rFonts w:eastAsia="Times New Roman"/>
        </w:rPr>
      </w:pPr>
      <w:r>
        <w:rPr>
          <w:rFonts w:eastAsia="Times New Roman"/>
          <w:color w:val="000000"/>
          <w:sz w:val="20"/>
          <w:szCs w:val="20"/>
        </w:rPr>
        <w:t xml:space="preserve">•Increase in Net derivative gains of $114 million </w:t>
      </w:r>
      <w:r>
        <w:rPr>
          <w:rFonts w:eastAsia="Times New Roman"/>
          <w:color w:val="000000"/>
          <w:sz w:val="20"/>
          <w:szCs w:val="20"/>
        </w:rPr>
        <w:t>mainly due to gains on derivatives used to hedge our GMxB liabilities not carried at fair value.</w:t>
      </w:r>
    </w:p>
    <w:p w:rsidR="00000000" w:rsidRDefault="000C147A">
      <w:pPr>
        <w:ind w:hanging="360"/>
        <w:jc w:val="both"/>
        <w:divId w:val="242110911"/>
        <w:rPr>
          <w:rFonts w:eastAsia="Times New Roman"/>
        </w:rPr>
      </w:pPr>
      <w:r>
        <w:rPr>
          <w:rFonts w:eastAsia="Times New Roman"/>
          <w:color w:val="000000"/>
          <w:sz w:val="20"/>
          <w:szCs w:val="20"/>
        </w:rPr>
        <w:t>•Decrease in Amortization of DAC of $36 million mainly in our Protection Solutions segment partially offset by an increase in our Individual Retirement segment</w:t>
      </w:r>
      <w:r>
        <w:rPr>
          <w:rFonts w:eastAsia="Times New Roman"/>
          <w:color w:val="000000"/>
          <w:sz w:val="20"/>
          <w:szCs w:val="20"/>
        </w:rPr>
        <w:t xml:space="preserve">. The decrease in our Protection Solutions segment was mainly due to the favorable impact of assumption updates in 2020 compared to the unfavorable impact of assumption updates in 2019 and the unfavorable impact of the update to reinsurance projections in </w:t>
      </w:r>
      <w:r>
        <w:rPr>
          <w:rFonts w:eastAsia="Times New Roman"/>
          <w:color w:val="000000"/>
          <w:sz w:val="20"/>
          <w:szCs w:val="20"/>
        </w:rPr>
        <w:t>2019 and lower ongoing baselines amortization. The increase in our Individual Retirement segment was mainly due to the unfavorable impact of assumption updates in 2020 compared to the favorable impact of assumption updates in 2019.</w:t>
      </w:r>
    </w:p>
    <w:p w:rsidR="00000000" w:rsidRDefault="000C147A">
      <w:pPr>
        <w:ind w:hanging="360"/>
        <w:jc w:val="both"/>
        <w:divId w:val="1053653063"/>
        <w:rPr>
          <w:rFonts w:eastAsia="Times New Roman"/>
        </w:rPr>
      </w:pPr>
      <w:r>
        <w:rPr>
          <w:rFonts w:eastAsia="Times New Roman"/>
          <w:color w:val="000000"/>
          <w:sz w:val="20"/>
          <w:szCs w:val="20"/>
        </w:rPr>
        <w:t>•Decrease in Compensatio</w:t>
      </w:r>
      <w:r>
        <w:rPr>
          <w:rFonts w:eastAsia="Times New Roman"/>
          <w:color w:val="000000"/>
          <w:sz w:val="20"/>
          <w:szCs w:val="20"/>
        </w:rPr>
        <w:t>n, benefits and other operating costs and expenses of $22 million mainly driven by productivity initiatives and COVID-19 related expense saves, partially offset by an increase in our Investment Management and Research segment due to higher employee compens</w:t>
      </w:r>
      <w:r>
        <w:rPr>
          <w:rFonts w:eastAsia="Times New Roman"/>
          <w:color w:val="000000"/>
          <w:sz w:val="20"/>
          <w:szCs w:val="20"/>
        </w:rPr>
        <w:t>ation attributed to higher revenues.</w:t>
      </w:r>
    </w:p>
    <w:p w:rsidR="00000000" w:rsidRDefault="000C147A">
      <w:pPr>
        <w:ind w:hanging="360"/>
        <w:divId w:val="1570379416"/>
        <w:rPr>
          <w:rFonts w:eastAsia="Times New Roman"/>
        </w:rPr>
      </w:pPr>
      <w:r>
        <w:rPr>
          <w:rFonts w:eastAsia="Times New Roman"/>
          <w:color w:val="000000"/>
          <w:sz w:val="20"/>
          <w:szCs w:val="20"/>
        </w:rPr>
        <w:t>•Decrease in Income tax expense of $26 million mainly driven by lower pre-tax earnings.</w:t>
      </w:r>
    </w:p>
    <w:p w:rsidR="00000000" w:rsidRDefault="000C147A">
      <w:pPr>
        <w:ind w:firstLine="360"/>
        <w:divId w:val="1704750096"/>
        <w:rPr>
          <w:rFonts w:eastAsia="Times New Roman"/>
        </w:rPr>
      </w:pPr>
      <w:r>
        <w:rPr>
          <w:rFonts w:eastAsia="Times New Roman"/>
          <w:color w:val="000000"/>
          <w:sz w:val="20"/>
          <w:szCs w:val="20"/>
        </w:rPr>
        <w:t>See “—Significant Factors Impacting Our Results—Assumption Updates and Model Changes” for more information regarding assumption upd</w:t>
      </w:r>
      <w:r>
        <w:rPr>
          <w:rFonts w:eastAsia="Times New Roman"/>
          <w:color w:val="000000"/>
          <w:sz w:val="20"/>
          <w:szCs w:val="20"/>
        </w:rPr>
        <w:t xml:space="preserve">ates. </w:t>
      </w:r>
    </w:p>
    <w:p w:rsidR="00000000" w:rsidRDefault="000C147A">
      <w:pPr>
        <w:divId w:val="990527634"/>
        <w:rPr>
          <w:rFonts w:eastAsia="Times New Roman"/>
        </w:rPr>
      </w:pPr>
      <w:r>
        <w:rPr>
          <w:rFonts w:eastAsia="Times New Roman"/>
          <w:b/>
          <w:bCs/>
          <w:color w:val="000000"/>
          <w:sz w:val="20"/>
          <w:szCs w:val="20"/>
        </w:rPr>
        <w:t>Results of Operations by Segment</w:t>
      </w:r>
    </w:p>
    <w:p w:rsidR="00000000" w:rsidRDefault="000C147A">
      <w:pPr>
        <w:ind w:firstLine="360"/>
        <w:divId w:val="723871895"/>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report certain activities and items that are not i</w:t>
      </w:r>
      <w:r>
        <w:rPr>
          <w:rFonts w:eastAsia="Times New Roman"/>
          <w:color w:val="000000"/>
          <w:sz w:val="20"/>
          <w:szCs w:val="20"/>
        </w:rPr>
        <w:t>ncluded in our four segments in Corporate and Other. The following section presents our discussion of Operating earnings (loss) by segment and AUM, AV and Protection Solutions Reserves by segment, as applicable. Consistent with U.S. GAAP guidance for segme</w:t>
      </w:r>
      <w:r>
        <w:rPr>
          <w:rFonts w:eastAsia="Times New Roman"/>
          <w:color w:val="000000"/>
          <w:sz w:val="20"/>
          <w:szCs w:val="20"/>
        </w:rPr>
        <w:t>nt reporting, Operating earnings (loss) is our U.S. GAAP measure of segment performance. See Note 14 of the Notes to the Consolidated Financial Statements for further information on our segments.</w:t>
      </w:r>
    </w:p>
    <w:p w:rsidR="00000000" w:rsidRDefault="000C147A">
      <w:pPr>
        <w:ind w:firstLine="360"/>
        <w:divId w:val="404304931"/>
        <w:rPr>
          <w:rFonts w:eastAsia="Times New Roman"/>
        </w:rPr>
      </w:pPr>
      <w:r>
        <w:rPr>
          <w:rFonts w:eastAsia="Times New Roman"/>
          <w:color w:val="000000"/>
          <w:sz w:val="20"/>
          <w:szCs w:val="20"/>
        </w:rPr>
        <w:t xml:space="preserve">The following table summarizes Operating earnings (loss) on </w:t>
      </w:r>
      <w:r>
        <w:rPr>
          <w:rFonts w:eastAsia="Times New Roman"/>
          <w:color w:val="000000"/>
          <w:sz w:val="20"/>
          <w:szCs w:val="20"/>
        </w:rPr>
        <w:t>our segments and Corporate and Other for the three and nine months ended September 30,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4418"/>
        <w:gridCol w:w="38"/>
        <w:gridCol w:w="120"/>
        <w:gridCol w:w="676"/>
        <w:gridCol w:w="36"/>
        <w:gridCol w:w="36"/>
        <w:gridCol w:w="36"/>
        <w:gridCol w:w="36"/>
        <w:gridCol w:w="120"/>
        <w:gridCol w:w="676"/>
        <w:gridCol w:w="36"/>
        <w:gridCol w:w="36"/>
        <w:gridCol w:w="36"/>
        <w:gridCol w:w="36"/>
        <w:gridCol w:w="120"/>
        <w:gridCol w:w="677"/>
        <w:gridCol w:w="36"/>
        <w:gridCol w:w="36"/>
        <w:gridCol w:w="36"/>
        <w:gridCol w:w="36"/>
        <w:gridCol w:w="120"/>
        <w:gridCol w:w="618"/>
        <w:gridCol w:w="36"/>
        <w:gridCol w:w="36"/>
        <w:gridCol w:w="36"/>
        <w:gridCol w:w="36"/>
        <w:gridCol w:w="36"/>
        <w:gridCol w:w="36"/>
        <w:gridCol w:w="36"/>
      </w:tblGrid>
      <w:tr w:rsidR="00000000">
        <w:trPr>
          <w:divId w:val="979308940"/>
        </w:trPr>
        <w:tc>
          <w:tcPr>
            <w:tcW w:w="50" w:type="pct"/>
            <w:vAlign w:val="center"/>
            <w:hideMark/>
          </w:tcPr>
          <w:p w:rsidR="00000000" w:rsidRDefault="000C147A">
            <w:pPr>
              <w:ind w:firstLine="360"/>
              <w:rPr>
                <w:rFonts w:eastAsia="Times New Roman"/>
              </w:rPr>
            </w:pPr>
          </w:p>
        </w:tc>
        <w:tc>
          <w:tcPr>
            <w:tcW w:w="278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7930894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979308940"/>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Operating earnings (loss) by segment: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97930894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Non-GAAP Operating Earnings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606498217"/>
        <w:rPr>
          <w:rFonts w:eastAsia="Times New Roman"/>
        </w:rPr>
      </w:pPr>
    </w:p>
    <w:p w:rsidR="00000000" w:rsidRDefault="000C147A">
      <w:pPr>
        <w:jc w:val="both"/>
        <w:divId w:val="124853205"/>
        <w:rPr>
          <w:rFonts w:eastAsia="Times New Roman"/>
        </w:rPr>
      </w:pPr>
      <w:r>
        <w:rPr>
          <w:rFonts w:eastAsia="Times New Roman"/>
          <w:b/>
          <w:bCs/>
          <w:i/>
          <w:iCs/>
          <w:color w:val="000000"/>
          <w:sz w:val="20"/>
          <w:szCs w:val="20"/>
        </w:rPr>
        <w:t xml:space="preserve">Effective Tax Rates by Segment </w:t>
      </w:r>
    </w:p>
    <w:p w:rsidR="00000000" w:rsidRDefault="000C147A">
      <w:pPr>
        <w:ind w:firstLine="360"/>
        <w:divId w:val="1134837775"/>
        <w:rPr>
          <w:rFonts w:eastAsia="Times New Roman"/>
        </w:rPr>
      </w:pPr>
      <w:r>
        <w:rPr>
          <w:rFonts w:eastAsia="Times New Roman"/>
          <w:color w:val="000000"/>
          <w:sz w:val="20"/>
          <w:szCs w:val="20"/>
        </w:rPr>
        <w:t>For interim reporting periods, we calcula</w:t>
      </w:r>
      <w:r>
        <w:rPr>
          <w:rFonts w:eastAsia="Times New Roman"/>
          <w:color w:val="000000"/>
          <w:sz w:val="20"/>
          <w:szCs w:val="20"/>
        </w:rPr>
        <w:t>te income tax expense using an estimated annual effective tax rate (“ETR”), with discrete items recognized in the period in which they occur. Income tax expense is calculated using the ETR and then allocated to our business segments using an 17% ETR for ou</w:t>
      </w:r>
      <w:r>
        <w:rPr>
          <w:rFonts w:eastAsia="Times New Roman"/>
          <w:color w:val="000000"/>
          <w:sz w:val="20"/>
          <w:szCs w:val="20"/>
        </w:rPr>
        <w:t>r retirement and protection business (Individual Retirement, Group Retirement, and Protection Solutions) and a 27% ETR for Investment Management and Research.</w:t>
      </w:r>
    </w:p>
    <w:p w:rsidR="00000000" w:rsidRDefault="000C147A">
      <w:pPr>
        <w:jc w:val="center"/>
        <w:divId w:val="310595980"/>
        <w:rPr>
          <w:rFonts w:eastAsia="Times New Roman"/>
        </w:rPr>
      </w:pPr>
      <w:r>
        <w:rPr>
          <w:rFonts w:eastAsia="Times New Roman"/>
          <w:color w:val="000000"/>
          <w:sz w:val="20"/>
          <w:szCs w:val="20"/>
        </w:rPr>
        <w:t>101</w:t>
      </w:r>
    </w:p>
    <w:p w:rsidR="00000000" w:rsidRDefault="000C147A">
      <w:pPr>
        <w:rPr>
          <w:rFonts w:eastAsia="Times New Roman"/>
        </w:rPr>
      </w:pPr>
      <w:r>
        <w:rPr>
          <w:rFonts w:eastAsia="Times New Roman"/>
        </w:rPr>
        <w:pict>
          <v:rect id="_x0000_i1127" style="width:0;height:1.5pt" o:hralign="center" o:hrstd="t" o:hr="t" fillcolor="#a0a0a0" stroked="f"/>
        </w:pict>
      </w:r>
    </w:p>
    <w:p w:rsidR="00000000" w:rsidRDefault="000C147A">
      <w:pPr>
        <w:divId w:val="381179208"/>
        <w:rPr>
          <w:rFonts w:eastAsia="Times New Roman"/>
        </w:rPr>
      </w:pPr>
    </w:p>
    <w:p w:rsidR="00000000" w:rsidRDefault="000C147A">
      <w:pPr>
        <w:divId w:val="1152452523"/>
        <w:rPr>
          <w:rFonts w:eastAsia="Times New Roman"/>
        </w:rPr>
      </w:pPr>
      <w:r>
        <w:rPr>
          <w:rFonts w:eastAsia="Times New Roman"/>
          <w:b/>
          <w:bCs/>
          <w:color w:val="000000"/>
          <w:sz w:val="20"/>
          <w:szCs w:val="20"/>
        </w:rPr>
        <w:t>Individual Retirement</w:t>
      </w:r>
    </w:p>
    <w:p w:rsidR="00000000" w:rsidRDefault="000C147A">
      <w:pPr>
        <w:ind w:firstLine="360"/>
        <w:divId w:val="1063020796"/>
        <w:rPr>
          <w:rFonts w:eastAsia="Times New Roman"/>
        </w:rPr>
      </w:pPr>
      <w:r>
        <w:rPr>
          <w:rFonts w:eastAsia="Times New Roman"/>
          <w:color w:val="000000"/>
          <w:sz w:val="20"/>
          <w:szCs w:val="20"/>
        </w:rPr>
        <w:t>The Individual Retirement segmen</w:t>
      </w:r>
      <w:r>
        <w:rPr>
          <w:rFonts w:eastAsia="Times New Roman"/>
          <w:color w:val="000000"/>
          <w:sz w:val="20"/>
          <w:szCs w:val="20"/>
        </w:rPr>
        <w:t>t includes our variable annuity products which primarily meet the needs of individuals saving for retirement or seeking retirement income.</w:t>
      </w:r>
    </w:p>
    <w:p w:rsidR="00000000" w:rsidRDefault="000C147A">
      <w:pPr>
        <w:ind w:firstLine="360"/>
        <w:divId w:val="883058969"/>
        <w:rPr>
          <w:rFonts w:eastAsia="Times New Roman"/>
        </w:rPr>
      </w:pPr>
      <w:r>
        <w:rPr>
          <w:rFonts w:eastAsia="Times New Roman"/>
          <w:color w:val="000000"/>
          <w:sz w:val="20"/>
          <w:szCs w:val="20"/>
        </w:rPr>
        <w:t>The following table summarizes Operating earnings of our Individual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200624019"/>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0062401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200624019"/>
        </w:trPr>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20062401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20062401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1,094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954945859"/>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402"/>
        <w:gridCol w:w="37"/>
        <w:gridCol w:w="120"/>
        <w:gridCol w:w="692"/>
        <w:gridCol w:w="36"/>
        <w:gridCol w:w="36"/>
        <w:gridCol w:w="36"/>
        <w:gridCol w:w="36"/>
        <w:gridCol w:w="120"/>
        <w:gridCol w:w="639"/>
        <w:gridCol w:w="36"/>
        <w:gridCol w:w="36"/>
        <w:gridCol w:w="36"/>
        <w:gridCol w:w="36"/>
        <w:gridCol w:w="120"/>
        <w:gridCol w:w="693"/>
        <w:gridCol w:w="36"/>
        <w:gridCol w:w="36"/>
        <w:gridCol w:w="36"/>
        <w:gridCol w:w="36"/>
        <w:gridCol w:w="120"/>
        <w:gridCol w:w="641"/>
        <w:gridCol w:w="36"/>
        <w:gridCol w:w="36"/>
        <w:gridCol w:w="36"/>
        <w:gridCol w:w="36"/>
        <w:gridCol w:w="36"/>
        <w:gridCol w:w="36"/>
        <w:gridCol w:w="36"/>
      </w:tblGrid>
      <w:tr w:rsidR="00000000">
        <w:trPr>
          <w:divId w:val="1162115885"/>
        </w:trPr>
        <w:tc>
          <w:tcPr>
            <w:tcW w:w="50" w:type="pct"/>
            <w:vAlign w:val="center"/>
            <w:hideMark/>
          </w:tcPr>
          <w:p w:rsidR="00000000" w:rsidRDefault="000C147A">
            <w:pPr>
              <w:ind w:firstLine="360"/>
              <w:rPr>
                <w:rFonts w:eastAsia="Times New Roman"/>
              </w:rPr>
            </w:pPr>
          </w:p>
        </w:tc>
        <w:tc>
          <w:tcPr>
            <w:tcW w:w="27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16211588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162115885"/>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1,560 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6211588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benefits and other deductions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609430247"/>
        <w:rPr>
          <w:rFonts w:eastAsia="Times New Roman"/>
        </w:rPr>
      </w:pPr>
    </w:p>
    <w:p w:rsidR="00000000" w:rsidRDefault="000C147A">
      <w:pPr>
        <w:ind w:firstLine="360"/>
        <w:divId w:val="1787312091"/>
        <w:rPr>
          <w:rFonts w:eastAsia="Times New Roman"/>
        </w:rPr>
      </w:pPr>
      <w:r>
        <w:rPr>
          <w:rFonts w:eastAsia="Times New Roman"/>
          <w:color w:val="000000"/>
          <w:sz w:val="20"/>
          <w:szCs w:val="20"/>
        </w:rPr>
        <w:t>The following table summarizes AV for our Individual Retirement segment as of the dates indicated:</w:t>
      </w:r>
    </w:p>
    <w:tbl>
      <w:tblPr>
        <w:tblW w:w="4992" w:type="pct"/>
        <w:tblCellMar>
          <w:top w:w="15" w:type="dxa"/>
          <w:left w:w="15" w:type="dxa"/>
          <w:bottom w:w="15" w:type="dxa"/>
          <w:right w:w="15" w:type="dxa"/>
        </w:tblCellMar>
        <w:tblLook w:val="04A0" w:firstRow="1" w:lastRow="0" w:firstColumn="1" w:lastColumn="0" w:noHBand="0" w:noVBand="1"/>
      </w:tblPr>
      <w:tblGrid>
        <w:gridCol w:w="40"/>
        <w:gridCol w:w="5382"/>
        <w:gridCol w:w="38"/>
        <w:gridCol w:w="120"/>
        <w:gridCol w:w="975"/>
        <w:gridCol w:w="36"/>
        <w:gridCol w:w="36"/>
        <w:gridCol w:w="36"/>
        <w:gridCol w:w="36"/>
        <w:gridCol w:w="120"/>
        <w:gridCol w:w="934"/>
        <w:gridCol w:w="36"/>
        <w:gridCol w:w="36"/>
        <w:gridCol w:w="36"/>
        <w:gridCol w:w="36"/>
        <w:gridCol w:w="36"/>
        <w:gridCol w:w="36"/>
        <w:gridCol w:w="36"/>
        <w:gridCol w:w="36"/>
        <w:gridCol w:w="36"/>
        <w:gridCol w:w="36"/>
        <w:gridCol w:w="36"/>
        <w:gridCol w:w="36"/>
        <w:gridCol w:w="36"/>
        <w:gridCol w:w="36"/>
        <w:gridCol w:w="36"/>
      </w:tblGrid>
      <w:tr w:rsidR="00000000">
        <w:trPr>
          <w:divId w:val="25251494"/>
        </w:trPr>
        <w:tc>
          <w:tcPr>
            <w:tcW w:w="50" w:type="pct"/>
            <w:vAlign w:val="center"/>
            <w:hideMark/>
          </w:tcPr>
          <w:p w:rsidR="00000000" w:rsidRDefault="000C147A">
            <w:pPr>
              <w:ind w:firstLine="360"/>
              <w:rPr>
                <w:rFonts w:eastAsia="Times New Roman"/>
              </w:rPr>
            </w:pPr>
          </w:p>
        </w:tc>
        <w:tc>
          <w:tcPr>
            <w:tcW w:w="3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525149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525149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5251494"/>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5251494"/>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52514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26,108 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525149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82,814 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525149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b/>
                <w:bCs/>
                <w:color w:val="000000"/>
                <w:sz w:val="20"/>
                <w:szCs w:val="20"/>
              </w:rPr>
              <w:t>     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107,831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108,922 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567377199"/>
        <w:rPr>
          <w:rFonts w:eastAsia="Times New Roman"/>
        </w:rPr>
      </w:pPr>
      <w:r>
        <w:rPr>
          <w:rFonts w:eastAsia="Times New Roman"/>
          <w:color w:val="000000"/>
          <w:sz w:val="20"/>
          <w:szCs w:val="20"/>
        </w:rPr>
        <w:t>The following table summarizes a roll-forward of AV for our Individual Retirement segment for the periods presented:</w:t>
      </w:r>
    </w:p>
    <w:p w:rsidR="00000000" w:rsidRDefault="000C147A">
      <w:pPr>
        <w:jc w:val="center"/>
        <w:divId w:val="54935964"/>
        <w:rPr>
          <w:rFonts w:eastAsia="Times New Roman"/>
        </w:rPr>
      </w:pPr>
      <w:r>
        <w:rPr>
          <w:rFonts w:eastAsia="Times New Roman"/>
          <w:color w:val="000000"/>
          <w:sz w:val="20"/>
          <w:szCs w:val="20"/>
        </w:rPr>
        <w:t>102</w:t>
      </w:r>
    </w:p>
    <w:p w:rsidR="00000000" w:rsidRDefault="000C147A">
      <w:pPr>
        <w:rPr>
          <w:rFonts w:eastAsia="Times New Roman"/>
        </w:rPr>
      </w:pPr>
      <w:r>
        <w:rPr>
          <w:rFonts w:eastAsia="Times New Roman"/>
        </w:rPr>
        <w:pict>
          <v:rect id="_x0000_i1128" style="width:0;height:1.5pt" o:hralign="center" o:hrstd="t" o:hr="t" fillcolor="#a0a0a0" stroked="f"/>
        </w:pict>
      </w:r>
    </w:p>
    <w:p w:rsidR="00000000" w:rsidRDefault="000C147A">
      <w:pPr>
        <w:divId w:val="14779860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267"/>
        <w:gridCol w:w="37"/>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36"/>
        <w:gridCol w:w="36"/>
        <w:gridCol w:w="36"/>
      </w:tblGrid>
      <w:tr w:rsidR="00000000">
        <w:trPr>
          <w:divId w:val="1515144028"/>
        </w:trPr>
        <w:tc>
          <w:tcPr>
            <w:tcW w:w="50" w:type="pct"/>
            <w:vAlign w:val="center"/>
            <w:hideMark/>
          </w:tcPr>
          <w:p w:rsidR="00000000" w:rsidRDefault="000C147A">
            <w:pPr>
              <w:rPr>
                <w:rFonts w:eastAsia="Times New Roman"/>
              </w:rPr>
            </w:pPr>
          </w:p>
        </w:tc>
        <w:tc>
          <w:tcPr>
            <w:tcW w:w="27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1514402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1514402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103,840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104,307 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108,922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94,589 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  Gross premiums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6,346 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  Surrenders, withdrawals and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(2,162)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(2,258)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(6,244)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(6,649)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    Net flows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  Investment performance, interest credited and policy charges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10,151 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Transfer to 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Reclassified to Liabilities held for sale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 (2)</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1514402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107,831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103,979 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107,831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103,979 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798569548"/>
        <w:rPr>
          <w:rFonts w:eastAsia="Times New Roman"/>
        </w:rPr>
      </w:pPr>
      <w:r>
        <w:rPr>
          <w:rFonts w:eastAsia="Times New Roman"/>
          <w:color w:val="000000"/>
          <w:sz w:val="18"/>
          <w:szCs w:val="18"/>
        </w:rPr>
        <w:t>______________</w:t>
      </w:r>
    </w:p>
    <w:p w:rsidR="00000000" w:rsidRDefault="000C147A">
      <w:pPr>
        <w:ind w:hanging="360"/>
        <w:divId w:val="1915159262"/>
        <w:rPr>
          <w:rFonts w:eastAsia="Times New Roman"/>
        </w:rPr>
      </w:pPr>
      <w:r>
        <w:rPr>
          <w:rFonts w:eastAsia="Times New Roman"/>
          <w:color w:val="000000"/>
          <w:sz w:val="18"/>
          <w:szCs w:val="18"/>
        </w:rPr>
        <w:t>(1) Transfer to Corporate and Other represents the placement of an Individual Retirement product in run-off effective for the seco</w:t>
      </w:r>
      <w:r>
        <w:rPr>
          <w:rFonts w:eastAsia="Times New Roman"/>
          <w:color w:val="000000"/>
          <w:sz w:val="18"/>
          <w:szCs w:val="18"/>
        </w:rPr>
        <w:t>nd quarter of 2019.</w:t>
      </w:r>
    </w:p>
    <w:p w:rsidR="00000000" w:rsidRDefault="000C147A">
      <w:pPr>
        <w:ind w:hanging="270"/>
        <w:divId w:val="2093773692"/>
        <w:rPr>
          <w:rFonts w:eastAsia="Times New Roman"/>
        </w:rPr>
      </w:pPr>
      <w:r>
        <w:rPr>
          <w:rFonts w:eastAsia="Times New Roman"/>
          <w:color w:val="000000"/>
          <w:sz w:val="18"/>
          <w:szCs w:val="18"/>
        </w:rPr>
        <w:t>(2) Represents amounts related to our fixed income annuity (“FIA”) contracts which were previously reported as Policyholders’ account balances in the consolidated balance sheets and therefore included in our definition of “Account Value</w:t>
      </w:r>
      <w:r>
        <w:rPr>
          <w:rFonts w:eastAsia="Times New Roman"/>
          <w:color w:val="000000"/>
          <w:sz w:val="18"/>
          <w:szCs w:val="18"/>
        </w:rPr>
        <w:t>”. Effective January 1, 2020, FIAs are reported as Future policy benefits and other policyholders’ liabilities in the consolidated balance sheets and accordingly were excluded from Account Value.</w:t>
      </w:r>
    </w:p>
    <w:p w:rsidR="00000000" w:rsidRDefault="000C147A">
      <w:pPr>
        <w:divId w:val="415781989"/>
        <w:rPr>
          <w:rFonts w:eastAsia="Times New Roman"/>
        </w:rPr>
      </w:pPr>
      <w:r>
        <w:rPr>
          <w:rFonts w:eastAsia="Times New Roman"/>
          <w:b/>
          <w:bCs/>
          <w:color w:val="000000"/>
          <w:sz w:val="20"/>
          <w:szCs w:val="20"/>
        </w:rPr>
        <w:t xml:space="preserve">Three Months Ended September 30, 2020 Compared to the Three </w:t>
      </w:r>
      <w:r>
        <w:rPr>
          <w:rFonts w:eastAsia="Times New Roman"/>
          <w:b/>
          <w:bCs/>
          <w:color w:val="000000"/>
          <w:sz w:val="20"/>
          <w:szCs w:val="20"/>
        </w:rPr>
        <w:t>Months Ended September 30, 2019 for the Individual Retirement Segment</w:t>
      </w:r>
    </w:p>
    <w:p w:rsidR="00000000" w:rsidRDefault="000C147A">
      <w:pPr>
        <w:jc w:val="both"/>
        <w:divId w:val="1401947213"/>
        <w:rPr>
          <w:rFonts w:eastAsia="Times New Roman"/>
        </w:rPr>
      </w:pPr>
      <w:r>
        <w:rPr>
          <w:rFonts w:eastAsia="Times New Roman"/>
          <w:b/>
          <w:bCs/>
          <w:i/>
          <w:iCs/>
          <w:color w:val="000000"/>
          <w:sz w:val="20"/>
          <w:szCs w:val="20"/>
        </w:rPr>
        <w:t>Operating earnings</w:t>
      </w:r>
    </w:p>
    <w:p w:rsidR="00000000" w:rsidRDefault="000C147A">
      <w:pPr>
        <w:ind w:firstLine="360"/>
        <w:divId w:val="2039886765"/>
        <w:rPr>
          <w:rFonts w:eastAsia="Times New Roman"/>
        </w:rPr>
      </w:pPr>
      <w:r>
        <w:rPr>
          <w:rFonts w:eastAsia="Times New Roman"/>
          <w:color w:val="000000"/>
          <w:sz w:val="20"/>
          <w:szCs w:val="20"/>
        </w:rPr>
        <w:t>Operating earnings decreased $94 million to $371 million during the three months ended September 30, 2020 from $465 million in the three months ended September 30, 2019. The following notable items were the primary drivers for the decrease in Operating ear</w:t>
      </w:r>
      <w:r>
        <w:rPr>
          <w:rFonts w:eastAsia="Times New Roman"/>
          <w:color w:val="000000"/>
          <w:sz w:val="20"/>
          <w:szCs w:val="20"/>
        </w:rPr>
        <w:t>nings.</w:t>
      </w:r>
    </w:p>
    <w:p w:rsidR="00000000" w:rsidRDefault="000C147A">
      <w:pPr>
        <w:ind w:hanging="360"/>
        <w:jc w:val="both"/>
        <w:divId w:val="216206761"/>
        <w:rPr>
          <w:rFonts w:eastAsia="Times New Roman"/>
        </w:rPr>
      </w:pPr>
      <w:r>
        <w:rPr>
          <w:rFonts w:eastAsia="Times New Roman"/>
          <w:color w:val="000000"/>
          <w:sz w:val="20"/>
          <w:szCs w:val="20"/>
        </w:rPr>
        <w:t>•Amortization of DAC increased $102 million mainly due to the $20 million unfavorable impact of assumption updates in 2020 compared to the $92 million favorable impact of assumption updates in 2019.</w:t>
      </w:r>
    </w:p>
    <w:p w:rsidR="00000000" w:rsidRDefault="000C147A">
      <w:pPr>
        <w:ind w:hanging="360"/>
        <w:jc w:val="both"/>
        <w:divId w:val="458495253"/>
        <w:rPr>
          <w:rFonts w:eastAsia="Times New Roman"/>
        </w:rPr>
      </w:pPr>
      <w:r>
        <w:rPr>
          <w:rFonts w:eastAsia="Times New Roman"/>
          <w:color w:val="000000"/>
          <w:sz w:val="20"/>
          <w:szCs w:val="20"/>
        </w:rPr>
        <w:t>•Fee-type revenue decreased $15 million due to low</w:t>
      </w:r>
      <w:r>
        <w:rPr>
          <w:rFonts w:eastAsia="Times New Roman"/>
          <w:color w:val="000000"/>
          <w:sz w:val="20"/>
          <w:szCs w:val="20"/>
        </w:rPr>
        <w:t>er average Separate Accounts AV mainly driven by outflows on our older fixed-rate GMxB block.</w:t>
      </w:r>
    </w:p>
    <w:p w:rsidR="00000000" w:rsidRDefault="000C147A">
      <w:pPr>
        <w:ind w:hanging="360"/>
        <w:divId w:val="1302419830"/>
        <w:rPr>
          <w:rFonts w:eastAsia="Times New Roman"/>
        </w:rPr>
      </w:pPr>
      <w:r>
        <w:rPr>
          <w:rFonts w:eastAsia="Times New Roman"/>
          <w:color w:val="000000"/>
          <w:sz w:val="20"/>
          <w:szCs w:val="20"/>
        </w:rPr>
        <w:t>•Net GMxB results decreased $43 million primarily due to higher interest and funding requirements from assumption updates.</w:t>
      </w:r>
    </w:p>
    <w:p w:rsidR="00000000" w:rsidRDefault="000C147A">
      <w:pPr>
        <w:ind w:firstLine="360"/>
        <w:divId w:val="509489234"/>
        <w:rPr>
          <w:rFonts w:eastAsia="Times New Roman"/>
        </w:rPr>
      </w:pPr>
      <w:r>
        <w:rPr>
          <w:rFonts w:eastAsia="Times New Roman"/>
          <w:color w:val="000000"/>
          <w:sz w:val="20"/>
          <w:szCs w:val="20"/>
        </w:rPr>
        <w:t>The decrease was partially offset by:</w:t>
      </w:r>
    </w:p>
    <w:p w:rsidR="00000000" w:rsidRDefault="000C147A">
      <w:pPr>
        <w:ind w:hanging="360"/>
        <w:jc w:val="both"/>
        <w:divId w:val="1486360992"/>
        <w:rPr>
          <w:rFonts w:eastAsia="Times New Roman"/>
        </w:rPr>
      </w:pPr>
      <w:r>
        <w:rPr>
          <w:rFonts w:eastAsia="Times New Roman"/>
          <w:color w:val="000000"/>
          <w:sz w:val="20"/>
          <w:szCs w:val="20"/>
        </w:rPr>
        <w:t>•</w:t>
      </w:r>
      <w:r>
        <w:rPr>
          <w:rFonts w:eastAsia="Times New Roman"/>
          <w:color w:val="000000"/>
          <w:sz w:val="20"/>
          <w:szCs w:val="20"/>
        </w:rPr>
        <w:t>Net investment income increased $37 million due to higher asset balances, the General Account investment portfolio optimization and higher income from alternative investments.</w:t>
      </w:r>
    </w:p>
    <w:p w:rsidR="00000000" w:rsidRDefault="000C147A">
      <w:pPr>
        <w:ind w:hanging="360"/>
        <w:jc w:val="both"/>
        <w:divId w:val="750395829"/>
        <w:rPr>
          <w:rFonts w:eastAsia="Times New Roman"/>
        </w:rPr>
      </w:pPr>
      <w:r>
        <w:rPr>
          <w:rFonts w:eastAsia="Times New Roman"/>
          <w:color w:val="000000"/>
          <w:sz w:val="20"/>
          <w:szCs w:val="20"/>
        </w:rPr>
        <w:t xml:space="preserve">•Compensation benefits and other operating expenses decreased $7 million due to </w:t>
      </w:r>
      <w:r>
        <w:rPr>
          <w:rFonts w:eastAsia="Times New Roman"/>
          <w:color w:val="000000"/>
          <w:sz w:val="20"/>
          <w:szCs w:val="20"/>
        </w:rPr>
        <w:t>productivity initiatives and COVID-19 related expense saves.</w:t>
      </w:r>
    </w:p>
    <w:p w:rsidR="00000000" w:rsidRDefault="000C147A">
      <w:pPr>
        <w:divId w:val="849174272"/>
        <w:rPr>
          <w:rFonts w:eastAsia="Times New Roman"/>
        </w:rPr>
      </w:pPr>
      <w:r>
        <w:rPr>
          <w:rFonts w:eastAsia="Times New Roman"/>
          <w:color w:val="000000"/>
          <w:sz w:val="20"/>
          <w:szCs w:val="20"/>
        </w:rPr>
        <w:t>•Income tax expense decreased $25 million due to lower pre-tax earnings.</w:t>
      </w:r>
    </w:p>
    <w:p w:rsidR="00000000" w:rsidRDefault="000C147A">
      <w:pPr>
        <w:ind w:firstLine="360"/>
        <w:divId w:val="574776253"/>
        <w:rPr>
          <w:rFonts w:eastAsia="Times New Roman"/>
        </w:rPr>
      </w:pPr>
      <w:r>
        <w:rPr>
          <w:rFonts w:eastAsia="Times New Roman"/>
          <w:color w:val="000000"/>
          <w:sz w:val="20"/>
          <w:szCs w:val="20"/>
        </w:rPr>
        <w:t>See “—Significant Factors Impacting Our Results—Assumption Updates and Model Changes” for more information regarding assum</w:t>
      </w:r>
      <w:r>
        <w:rPr>
          <w:rFonts w:eastAsia="Times New Roman"/>
          <w:color w:val="000000"/>
          <w:sz w:val="20"/>
          <w:szCs w:val="20"/>
        </w:rPr>
        <w:t xml:space="preserve">ption updates. </w:t>
      </w:r>
    </w:p>
    <w:p w:rsidR="00000000" w:rsidRDefault="000C147A">
      <w:pPr>
        <w:jc w:val="both"/>
        <w:divId w:val="2001107155"/>
        <w:rPr>
          <w:rFonts w:eastAsia="Times New Roman"/>
        </w:rPr>
      </w:pPr>
      <w:r>
        <w:rPr>
          <w:rFonts w:eastAsia="Times New Roman"/>
          <w:b/>
          <w:bCs/>
          <w:i/>
          <w:iCs/>
          <w:color w:val="000000"/>
          <w:sz w:val="20"/>
          <w:szCs w:val="20"/>
        </w:rPr>
        <w:t>Net Flows and AV</w:t>
      </w:r>
    </w:p>
    <w:p w:rsidR="00000000" w:rsidRDefault="000C147A">
      <w:pPr>
        <w:ind w:hanging="360"/>
        <w:jc w:val="both"/>
        <w:divId w:val="1372681605"/>
        <w:rPr>
          <w:rFonts w:eastAsia="Times New Roman"/>
        </w:rPr>
      </w:pPr>
      <w:r>
        <w:rPr>
          <w:rFonts w:eastAsia="Times New Roman"/>
          <w:color w:val="000000"/>
          <w:sz w:val="20"/>
          <w:szCs w:val="20"/>
        </w:rPr>
        <w:t>•The increase in AV of $4.0 billion in the three months ended September 30, 2020 was primarily due to a $4.4 billion increase in equity markets, partially offset by $427 million in net outflows.</w:t>
      </w:r>
    </w:p>
    <w:p w:rsidR="00000000" w:rsidRDefault="000C147A">
      <w:pPr>
        <w:ind w:hanging="360"/>
        <w:divId w:val="701638286"/>
        <w:rPr>
          <w:rFonts w:eastAsia="Times New Roman"/>
        </w:rPr>
      </w:pPr>
      <w:r>
        <w:rPr>
          <w:rFonts w:eastAsia="Times New Roman"/>
          <w:color w:val="000000"/>
          <w:sz w:val="20"/>
          <w:szCs w:val="20"/>
        </w:rPr>
        <w:t>•Net outflows of $427 millio</w:t>
      </w:r>
      <w:r>
        <w:rPr>
          <w:rFonts w:eastAsia="Times New Roman"/>
          <w:color w:val="000000"/>
          <w:sz w:val="20"/>
          <w:szCs w:val="20"/>
        </w:rPr>
        <w:t>n were $304 million higher than in the three months ended September 30, 2019, mainly driven by $778 million of outflows on our older fixed-rate GMxB block, partially offset by $351 million of inflows on our newer, less capital-intensive products.</w:t>
      </w:r>
    </w:p>
    <w:p w:rsidR="00000000" w:rsidRDefault="000C147A">
      <w:pPr>
        <w:jc w:val="center"/>
        <w:divId w:val="458766716"/>
        <w:rPr>
          <w:rFonts w:eastAsia="Times New Roman"/>
        </w:rPr>
      </w:pPr>
      <w:r>
        <w:rPr>
          <w:rFonts w:eastAsia="Times New Roman"/>
          <w:color w:val="000000"/>
          <w:sz w:val="20"/>
          <w:szCs w:val="20"/>
        </w:rPr>
        <w:t>103</w:t>
      </w:r>
    </w:p>
    <w:p w:rsidR="00000000" w:rsidRDefault="000C147A">
      <w:pPr>
        <w:rPr>
          <w:rFonts w:eastAsia="Times New Roman"/>
        </w:rPr>
      </w:pPr>
      <w:r>
        <w:rPr>
          <w:rFonts w:eastAsia="Times New Roman"/>
        </w:rPr>
        <w:pict>
          <v:rect id="_x0000_i1129" style="width:0;height:1.5pt" o:hralign="center" o:hrstd="t" o:hr="t" fillcolor="#a0a0a0" stroked="f"/>
        </w:pict>
      </w:r>
    </w:p>
    <w:p w:rsidR="00000000" w:rsidRDefault="000C147A">
      <w:pPr>
        <w:divId w:val="1986926881"/>
        <w:rPr>
          <w:rFonts w:eastAsia="Times New Roman"/>
        </w:rPr>
      </w:pPr>
    </w:p>
    <w:p w:rsidR="00000000" w:rsidRDefault="000C147A">
      <w:pPr>
        <w:divId w:val="1099718900"/>
        <w:rPr>
          <w:rFonts w:eastAsia="Times New Roman"/>
        </w:rPr>
      </w:pPr>
      <w:r>
        <w:rPr>
          <w:rFonts w:eastAsia="Times New Roman"/>
          <w:b/>
          <w:bCs/>
          <w:color w:val="000000"/>
          <w:sz w:val="20"/>
          <w:szCs w:val="20"/>
        </w:rPr>
        <w:t>Nine Months Ended September 30, 2020 Compared to the Nine Months Ended September 30, 2019 for the Individual Retirement Segment</w:t>
      </w:r>
    </w:p>
    <w:p w:rsidR="00000000" w:rsidRDefault="000C147A">
      <w:pPr>
        <w:jc w:val="both"/>
        <w:divId w:val="592934943"/>
        <w:rPr>
          <w:rFonts w:eastAsia="Times New Roman"/>
        </w:rPr>
      </w:pPr>
      <w:r>
        <w:rPr>
          <w:rFonts w:eastAsia="Times New Roman"/>
          <w:b/>
          <w:bCs/>
          <w:i/>
          <w:iCs/>
          <w:color w:val="000000"/>
          <w:sz w:val="20"/>
          <w:szCs w:val="20"/>
        </w:rPr>
        <w:t>Operating earnings</w:t>
      </w:r>
    </w:p>
    <w:p w:rsidR="00000000" w:rsidRDefault="000C147A">
      <w:pPr>
        <w:ind w:firstLine="360"/>
        <w:divId w:val="1662807160"/>
        <w:rPr>
          <w:rFonts w:eastAsia="Times New Roman"/>
        </w:rPr>
      </w:pPr>
      <w:r>
        <w:rPr>
          <w:rFonts w:eastAsia="Times New Roman"/>
          <w:color w:val="000000"/>
          <w:sz w:val="20"/>
          <w:szCs w:val="20"/>
        </w:rPr>
        <w:t>Operating earnings decreased $112 million to $1.1 billion during the nine m</w:t>
      </w:r>
      <w:r>
        <w:rPr>
          <w:rFonts w:eastAsia="Times New Roman"/>
          <w:color w:val="000000"/>
          <w:sz w:val="20"/>
          <w:szCs w:val="20"/>
        </w:rPr>
        <w:t>onths ended September 30, 2020 from $1.2 billion in the nine months ended September 30, 2019. The following notable items were the primary drivers for the decrease in Operating earnings.</w:t>
      </w:r>
    </w:p>
    <w:p w:rsidR="00000000" w:rsidRDefault="000C147A">
      <w:pPr>
        <w:ind w:hanging="360"/>
        <w:jc w:val="both"/>
        <w:divId w:val="1403262073"/>
        <w:rPr>
          <w:rFonts w:eastAsia="Times New Roman"/>
        </w:rPr>
      </w:pPr>
      <w:r>
        <w:rPr>
          <w:rFonts w:eastAsia="Times New Roman"/>
          <w:color w:val="000000"/>
          <w:sz w:val="20"/>
          <w:szCs w:val="20"/>
        </w:rPr>
        <w:t>•Amortization of DAC increased $124 million mainly due to the $20 mil</w:t>
      </w:r>
      <w:r>
        <w:rPr>
          <w:rFonts w:eastAsia="Times New Roman"/>
          <w:color w:val="000000"/>
          <w:sz w:val="20"/>
          <w:szCs w:val="20"/>
        </w:rPr>
        <w:t>lion unfavorable impact of assumption updates in 2020 compared to the $92 million favorable impact of assumption updates in 2019.</w:t>
      </w:r>
    </w:p>
    <w:p w:rsidR="00000000" w:rsidRDefault="000C147A">
      <w:pPr>
        <w:ind w:hanging="360"/>
        <w:jc w:val="both"/>
        <w:divId w:val="1702439179"/>
        <w:rPr>
          <w:rFonts w:eastAsia="Times New Roman"/>
        </w:rPr>
      </w:pPr>
      <w:r>
        <w:rPr>
          <w:rFonts w:eastAsia="Times New Roman"/>
          <w:color w:val="000000"/>
          <w:sz w:val="20"/>
          <w:szCs w:val="20"/>
        </w:rPr>
        <w:t>•Fee-type revenue decreased $61 million due to lower average Separate Accounts AV primarily from outflows on our older fixed-r</w:t>
      </w:r>
      <w:r>
        <w:rPr>
          <w:rFonts w:eastAsia="Times New Roman"/>
          <w:color w:val="000000"/>
          <w:sz w:val="20"/>
          <w:szCs w:val="20"/>
        </w:rPr>
        <w:t>ate GMxB block.</w:t>
      </w:r>
    </w:p>
    <w:p w:rsidR="00000000" w:rsidRDefault="000C147A">
      <w:pPr>
        <w:ind w:hanging="360"/>
        <w:jc w:val="both"/>
        <w:divId w:val="395589833"/>
        <w:rPr>
          <w:rFonts w:eastAsia="Times New Roman"/>
        </w:rPr>
      </w:pPr>
      <w:r>
        <w:rPr>
          <w:rFonts w:eastAsia="Times New Roman"/>
          <w:color w:val="000000"/>
          <w:sz w:val="20"/>
          <w:szCs w:val="20"/>
        </w:rPr>
        <w:t>•Interest credited to policyholders’ account balances increased $12 million primarily driven by higher SCS AV due to new business growth.</w:t>
      </w:r>
    </w:p>
    <w:p w:rsidR="00000000" w:rsidRDefault="000C147A">
      <w:pPr>
        <w:ind w:hanging="360"/>
        <w:divId w:val="65803232"/>
        <w:rPr>
          <w:rFonts w:eastAsia="Times New Roman"/>
        </w:rPr>
      </w:pPr>
      <w:r>
        <w:rPr>
          <w:rFonts w:eastAsia="Times New Roman"/>
          <w:color w:val="000000"/>
          <w:sz w:val="20"/>
          <w:szCs w:val="20"/>
        </w:rPr>
        <w:t>•</w:t>
      </w:r>
      <w:r>
        <w:rPr>
          <w:rFonts w:eastAsia="Times New Roman"/>
          <w:color w:val="000000"/>
          <w:sz w:val="20"/>
          <w:szCs w:val="20"/>
        </w:rPr>
        <w:t>Net GMxB results decreased $49 million primarily due to higher interest and funding requirements from assumption updates and a growth in no lapse guarantee benefits, partially offset by higher rider fees.</w:t>
      </w:r>
    </w:p>
    <w:p w:rsidR="00000000" w:rsidRDefault="000C147A">
      <w:pPr>
        <w:ind w:firstLine="360"/>
        <w:divId w:val="74211739"/>
        <w:rPr>
          <w:rFonts w:eastAsia="Times New Roman"/>
        </w:rPr>
      </w:pPr>
      <w:r>
        <w:rPr>
          <w:rFonts w:eastAsia="Times New Roman"/>
          <w:color w:val="000000"/>
          <w:sz w:val="20"/>
          <w:szCs w:val="20"/>
        </w:rPr>
        <w:t>The decrease was partially offset by:</w:t>
      </w:r>
    </w:p>
    <w:p w:rsidR="00000000" w:rsidRDefault="000C147A">
      <w:pPr>
        <w:ind w:hanging="360"/>
        <w:jc w:val="both"/>
        <w:divId w:val="273754993"/>
        <w:rPr>
          <w:rFonts w:eastAsia="Times New Roman"/>
        </w:rPr>
      </w:pPr>
      <w:r>
        <w:rPr>
          <w:rFonts w:eastAsia="Times New Roman"/>
          <w:color w:val="000000"/>
          <w:sz w:val="20"/>
          <w:szCs w:val="20"/>
        </w:rPr>
        <w:t>•Net investme</w:t>
      </w:r>
      <w:r>
        <w:rPr>
          <w:rFonts w:eastAsia="Times New Roman"/>
          <w:color w:val="000000"/>
          <w:sz w:val="20"/>
          <w:szCs w:val="20"/>
        </w:rPr>
        <w:t>nt income increased $71 million mainly due to higher asset balances and the General Account investment portfolio optimization, partially offset by lower income from alternative investments.</w:t>
      </w:r>
    </w:p>
    <w:p w:rsidR="00000000" w:rsidRDefault="000C147A">
      <w:pPr>
        <w:ind w:hanging="360"/>
        <w:jc w:val="both"/>
        <w:divId w:val="773398226"/>
        <w:rPr>
          <w:rFonts w:eastAsia="Times New Roman"/>
        </w:rPr>
      </w:pPr>
      <w:r>
        <w:rPr>
          <w:rFonts w:eastAsia="Times New Roman"/>
          <w:color w:val="000000"/>
          <w:sz w:val="20"/>
          <w:szCs w:val="20"/>
        </w:rPr>
        <w:t>•</w:t>
      </w:r>
      <w:r>
        <w:rPr>
          <w:rFonts w:eastAsia="Times New Roman"/>
          <w:color w:val="000000"/>
          <w:sz w:val="20"/>
          <w:szCs w:val="20"/>
        </w:rPr>
        <w:t>Compensation benefits and other operating expenses decreased $39 million due to productivity initiatives and COVID-19 related expense saves.</w:t>
      </w:r>
    </w:p>
    <w:p w:rsidR="00000000" w:rsidRDefault="000C147A">
      <w:pPr>
        <w:ind w:hanging="360"/>
        <w:divId w:val="1571768418"/>
        <w:rPr>
          <w:rFonts w:eastAsia="Times New Roman"/>
        </w:rPr>
      </w:pPr>
      <w:r>
        <w:rPr>
          <w:rFonts w:eastAsia="Times New Roman"/>
          <w:color w:val="000000"/>
          <w:sz w:val="20"/>
          <w:szCs w:val="20"/>
        </w:rPr>
        <w:t>•Income tax expense decreased $22 million mainly driven by lower pre-tax earnings and a lower effective tax rate in</w:t>
      </w:r>
      <w:r>
        <w:rPr>
          <w:rFonts w:eastAsia="Times New Roman"/>
          <w:color w:val="000000"/>
          <w:sz w:val="20"/>
          <w:szCs w:val="20"/>
        </w:rPr>
        <w:t xml:space="preserve"> the nine months ended September 30, 2019.</w:t>
      </w:r>
    </w:p>
    <w:p w:rsidR="00000000" w:rsidRDefault="000C147A">
      <w:pPr>
        <w:ind w:firstLine="360"/>
        <w:divId w:val="8341853"/>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0C147A">
      <w:pPr>
        <w:jc w:val="both"/>
        <w:divId w:val="486358813"/>
        <w:rPr>
          <w:rFonts w:eastAsia="Times New Roman"/>
        </w:rPr>
      </w:pPr>
      <w:r>
        <w:rPr>
          <w:rFonts w:eastAsia="Times New Roman"/>
          <w:b/>
          <w:bCs/>
          <w:i/>
          <w:iCs/>
          <w:color w:val="000000"/>
          <w:sz w:val="20"/>
          <w:szCs w:val="20"/>
        </w:rPr>
        <w:t>Net Flows and AV</w:t>
      </w:r>
    </w:p>
    <w:p w:rsidR="00000000" w:rsidRDefault="000C147A">
      <w:pPr>
        <w:ind w:hanging="360"/>
        <w:jc w:val="both"/>
        <w:divId w:val="1272277379"/>
        <w:rPr>
          <w:rFonts w:eastAsia="Times New Roman"/>
        </w:rPr>
      </w:pPr>
      <w:r>
        <w:rPr>
          <w:rFonts w:eastAsia="Times New Roman"/>
          <w:color w:val="000000"/>
          <w:sz w:val="20"/>
          <w:szCs w:val="20"/>
        </w:rPr>
        <w:t>•The decline in AV of $1.1 billion in the nine months ende</w:t>
      </w:r>
      <w:r>
        <w:rPr>
          <w:rFonts w:eastAsia="Times New Roman"/>
          <w:color w:val="000000"/>
          <w:sz w:val="20"/>
          <w:szCs w:val="20"/>
        </w:rPr>
        <w:t>d September 30, 2020 was primarily due to net outflows of $800 million and declines in equity markets of $282 million .</w:t>
      </w:r>
    </w:p>
    <w:p w:rsidR="00000000" w:rsidRDefault="000C147A">
      <w:pPr>
        <w:ind w:hanging="360"/>
        <w:divId w:val="1576671628"/>
        <w:rPr>
          <w:rFonts w:eastAsia="Times New Roman"/>
        </w:rPr>
      </w:pPr>
      <w:r>
        <w:rPr>
          <w:rFonts w:eastAsia="Times New Roman"/>
          <w:color w:val="000000"/>
          <w:sz w:val="20"/>
          <w:szCs w:val="20"/>
        </w:rPr>
        <w:t>•Net outflows of $800 million were $497 million higher than in the nine months ended September 30, 2020, mainly driven by $2.4 billion o</w:t>
      </w:r>
      <w:r>
        <w:rPr>
          <w:rFonts w:eastAsia="Times New Roman"/>
          <w:color w:val="000000"/>
          <w:sz w:val="20"/>
          <w:szCs w:val="20"/>
        </w:rPr>
        <w:t>f outflows on our older fixed-rate GMxB block, partially offset by $1.6 billion of inflows on our newer, less capital-intensive products.</w:t>
      </w:r>
    </w:p>
    <w:p w:rsidR="00000000" w:rsidRDefault="000C147A">
      <w:pPr>
        <w:divId w:val="576136733"/>
        <w:rPr>
          <w:rFonts w:eastAsia="Times New Roman"/>
        </w:rPr>
      </w:pPr>
      <w:r>
        <w:rPr>
          <w:rFonts w:eastAsia="Times New Roman"/>
          <w:b/>
          <w:bCs/>
          <w:color w:val="000000"/>
          <w:sz w:val="20"/>
          <w:szCs w:val="20"/>
        </w:rPr>
        <w:t>Group Retirement</w:t>
      </w:r>
    </w:p>
    <w:p w:rsidR="00000000" w:rsidRDefault="000C147A">
      <w:pPr>
        <w:ind w:firstLine="360"/>
        <w:divId w:val="727994759"/>
        <w:rPr>
          <w:rFonts w:eastAsia="Times New Roman"/>
        </w:rPr>
      </w:pPr>
      <w:r>
        <w:rPr>
          <w:rFonts w:eastAsia="Times New Roman"/>
          <w:color w:val="000000"/>
          <w:sz w:val="20"/>
          <w:szCs w:val="20"/>
        </w:rPr>
        <w:t>The Group Retirement segment offers tax-deferred investment and retirement services or products to pl</w:t>
      </w:r>
      <w:r>
        <w:rPr>
          <w:rFonts w:eastAsia="Times New Roman"/>
          <w:color w:val="000000"/>
          <w:sz w:val="20"/>
          <w:szCs w:val="20"/>
        </w:rPr>
        <w:t>ans sponsored by educational entities, municipalities and not-for-profit entities, as well as small and medium-sized businesses.</w:t>
      </w:r>
    </w:p>
    <w:p w:rsidR="00000000" w:rsidRDefault="000C147A">
      <w:pPr>
        <w:ind w:firstLine="360"/>
        <w:divId w:val="1123575915"/>
        <w:rPr>
          <w:rFonts w:eastAsia="Times New Roman"/>
        </w:rPr>
      </w:pPr>
      <w:r>
        <w:rPr>
          <w:rFonts w:eastAsia="Times New Roman"/>
          <w:color w:val="000000"/>
          <w:sz w:val="20"/>
          <w:szCs w:val="20"/>
        </w:rPr>
        <w:t>The following table summarizes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578982013"/>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5789820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7898201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5789820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57898201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281 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7586407"/>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170368459"/>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703684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17036845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1703684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170368459"/>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7036845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7036845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divId w:val="130513813"/>
        <w:rPr>
          <w:rFonts w:eastAsia="Times New Roman"/>
        </w:rPr>
      </w:pPr>
      <w:r>
        <w:rPr>
          <w:rFonts w:eastAsia="Times New Roman"/>
          <w:color w:val="000000"/>
          <w:sz w:val="20"/>
          <w:szCs w:val="20"/>
        </w:rPr>
        <w:t>104</w:t>
      </w:r>
    </w:p>
    <w:p w:rsidR="00000000" w:rsidRDefault="000C147A">
      <w:pPr>
        <w:rPr>
          <w:rFonts w:eastAsia="Times New Roman"/>
        </w:rPr>
      </w:pPr>
      <w:r>
        <w:rPr>
          <w:rFonts w:eastAsia="Times New Roman"/>
        </w:rPr>
        <w:pict>
          <v:rect id="_x0000_i1130" style="width:0;height:1.5pt" o:hralign="center" o:hrstd="t" o:hr="t" fillcolor="#a0a0a0" stroked="f"/>
        </w:pict>
      </w:r>
    </w:p>
    <w:p w:rsidR="00000000" w:rsidRDefault="000C147A">
      <w:pPr>
        <w:divId w:val="9334433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59"/>
        <w:gridCol w:w="38"/>
        <w:gridCol w:w="120"/>
        <w:gridCol w:w="691"/>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768813540"/>
        </w:trPr>
        <w:tc>
          <w:tcPr>
            <w:tcW w:w="50" w:type="pct"/>
            <w:vAlign w:val="center"/>
            <w:hideMark/>
          </w:tcPr>
          <w:p w:rsidR="00000000" w:rsidRDefault="000C147A">
            <w:pPr>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6881354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68813540"/>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benefits and other deductions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496307801"/>
        <w:rPr>
          <w:rFonts w:eastAsia="Times New Roman"/>
        </w:rPr>
      </w:pPr>
      <w:r>
        <w:rPr>
          <w:rFonts w:eastAsia="Times New Roman"/>
          <w:color w:val="000000"/>
          <w:sz w:val="20"/>
          <w:szCs w:val="20"/>
        </w:rPr>
        <w:t>The following table summarizes AV for our Group Retirement segment as of the dates indicated:</w:t>
      </w:r>
    </w:p>
    <w:tbl>
      <w:tblPr>
        <w:tblW w:w="4992" w:type="pct"/>
        <w:tblCellMar>
          <w:top w:w="15" w:type="dxa"/>
          <w:left w:w="15" w:type="dxa"/>
          <w:bottom w:w="15" w:type="dxa"/>
          <w:right w:w="15" w:type="dxa"/>
        </w:tblCellMar>
        <w:tblLook w:val="04A0" w:firstRow="1" w:lastRow="0" w:firstColumn="1" w:lastColumn="0" w:noHBand="0" w:noVBand="1"/>
      </w:tblPr>
      <w:tblGrid>
        <w:gridCol w:w="39"/>
        <w:gridCol w:w="5383"/>
        <w:gridCol w:w="37"/>
        <w:gridCol w:w="121"/>
        <w:gridCol w:w="975"/>
        <w:gridCol w:w="36"/>
        <w:gridCol w:w="36"/>
        <w:gridCol w:w="36"/>
        <w:gridCol w:w="36"/>
        <w:gridCol w:w="120"/>
        <w:gridCol w:w="934"/>
        <w:gridCol w:w="36"/>
        <w:gridCol w:w="36"/>
        <w:gridCol w:w="36"/>
        <w:gridCol w:w="36"/>
        <w:gridCol w:w="36"/>
        <w:gridCol w:w="36"/>
        <w:gridCol w:w="36"/>
        <w:gridCol w:w="36"/>
        <w:gridCol w:w="36"/>
        <w:gridCol w:w="36"/>
        <w:gridCol w:w="36"/>
        <w:gridCol w:w="36"/>
        <w:gridCol w:w="36"/>
        <w:gridCol w:w="36"/>
        <w:gridCol w:w="36"/>
      </w:tblGrid>
      <w:tr w:rsidR="00000000">
        <w:trPr>
          <w:divId w:val="771438959"/>
        </w:trPr>
        <w:tc>
          <w:tcPr>
            <w:tcW w:w="50" w:type="pct"/>
            <w:vAlign w:val="center"/>
            <w:hideMark/>
          </w:tcPr>
          <w:p w:rsidR="00000000" w:rsidRDefault="000C147A">
            <w:pPr>
              <w:ind w:firstLine="360"/>
              <w:rPr>
                <w:rFonts w:eastAsia="Times New Roman"/>
              </w:rPr>
            </w:pPr>
          </w:p>
        </w:tc>
        <w:tc>
          <w:tcPr>
            <w:tcW w:w="3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714389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714389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7143895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jc w:val="center"/>
              <w:rPr>
                <w:rFonts w:eastAsia="Times New Roman"/>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771438959"/>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7143895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7143895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25,809 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771438959"/>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b/>
                <w:bCs/>
                <w:color w:val="000000"/>
                <w:sz w:val="20"/>
                <w:szCs w:val="20"/>
              </w:rPr>
              <w:t>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vAlign w:val="center"/>
            <w:hideMark/>
          </w:tcPr>
          <w:p w:rsidR="00000000" w:rsidRDefault="000C147A">
            <w:pPr>
              <w:jc w:val="right"/>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599825791"/>
        <w:rPr>
          <w:rFonts w:eastAsia="Times New Roman"/>
        </w:rPr>
      </w:pPr>
      <w:r>
        <w:rPr>
          <w:rFonts w:eastAsia="Times New Roman"/>
          <w:color w:val="000000"/>
          <w:sz w:val="20"/>
          <w:szCs w:val="20"/>
        </w:rPr>
        <w:t>The following table summarizes a roll-forward of AV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458"/>
        <w:gridCol w:w="39"/>
        <w:gridCol w:w="120"/>
        <w:gridCol w:w="691"/>
        <w:gridCol w:w="36"/>
        <w:gridCol w:w="36"/>
        <w:gridCol w:w="36"/>
        <w:gridCol w:w="36"/>
        <w:gridCol w:w="120"/>
        <w:gridCol w:w="691"/>
        <w:gridCol w:w="36"/>
        <w:gridCol w:w="120"/>
        <w:gridCol w:w="692"/>
        <w:gridCol w:w="36"/>
        <w:gridCol w:w="36"/>
        <w:gridCol w:w="36"/>
        <w:gridCol w:w="36"/>
        <w:gridCol w:w="120"/>
        <w:gridCol w:w="639"/>
        <w:gridCol w:w="36"/>
        <w:gridCol w:w="36"/>
        <w:gridCol w:w="36"/>
        <w:gridCol w:w="36"/>
        <w:gridCol w:w="36"/>
        <w:gridCol w:w="36"/>
        <w:gridCol w:w="36"/>
      </w:tblGrid>
      <w:tr w:rsidR="00000000">
        <w:trPr>
          <w:divId w:val="381365457"/>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8136545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81365457"/>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37,090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36,057 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37,880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32,401 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Gross premiums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Surrenders, withdrawals and benefits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(2,272)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Net flows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8136545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1909728581"/>
        <w:rPr>
          <w:rFonts w:eastAsia="Times New Roman"/>
        </w:rPr>
      </w:pPr>
    </w:p>
    <w:p w:rsidR="00000000" w:rsidRDefault="000C147A">
      <w:pPr>
        <w:divId w:val="1407922210"/>
        <w:rPr>
          <w:rFonts w:eastAsia="Times New Roman"/>
        </w:rPr>
      </w:pPr>
      <w:r>
        <w:rPr>
          <w:rFonts w:eastAsia="Times New Roman"/>
          <w:b/>
          <w:bCs/>
          <w:color w:val="000000"/>
          <w:sz w:val="20"/>
          <w:szCs w:val="20"/>
        </w:rPr>
        <w:t>Three Months Ended September 30, 2020 Compared to the Three Months Ended September 30, 2019 for the Group Retirement Segment</w:t>
      </w:r>
    </w:p>
    <w:p w:rsidR="00000000" w:rsidRDefault="000C147A">
      <w:pPr>
        <w:jc w:val="both"/>
        <w:divId w:val="754281343"/>
        <w:rPr>
          <w:rFonts w:eastAsia="Times New Roman"/>
        </w:rPr>
      </w:pPr>
      <w:r>
        <w:rPr>
          <w:rFonts w:eastAsia="Times New Roman"/>
          <w:b/>
          <w:bCs/>
          <w:i/>
          <w:iCs/>
          <w:color w:val="000000"/>
          <w:sz w:val="20"/>
          <w:szCs w:val="20"/>
        </w:rPr>
        <w:t>Operating earnings</w:t>
      </w:r>
    </w:p>
    <w:p w:rsidR="00000000" w:rsidRDefault="000C147A">
      <w:pPr>
        <w:ind w:firstLine="360"/>
        <w:divId w:val="360860689"/>
        <w:rPr>
          <w:rFonts w:eastAsia="Times New Roman"/>
        </w:rPr>
      </w:pPr>
      <w:r>
        <w:rPr>
          <w:rFonts w:eastAsia="Times New Roman"/>
          <w:color w:val="000000"/>
          <w:sz w:val="20"/>
          <w:szCs w:val="20"/>
        </w:rPr>
        <w:t xml:space="preserve">Operating earnings increased $24 million to $129 </w:t>
      </w:r>
      <w:r>
        <w:rPr>
          <w:rFonts w:eastAsia="Times New Roman"/>
          <w:color w:val="000000"/>
          <w:sz w:val="20"/>
          <w:szCs w:val="20"/>
        </w:rPr>
        <w:t>million during the three months ended September 30, 2020 from $105 million in the three months ended September 30, 2019. The increase is primarily attributable to the following:</w:t>
      </w:r>
    </w:p>
    <w:p w:rsidR="00000000" w:rsidRDefault="000C147A">
      <w:pPr>
        <w:ind w:hanging="360"/>
        <w:jc w:val="both"/>
        <w:divId w:val="905840539"/>
        <w:rPr>
          <w:rFonts w:eastAsia="Times New Roman"/>
        </w:rPr>
      </w:pPr>
      <w:r>
        <w:rPr>
          <w:rFonts w:eastAsia="Times New Roman"/>
          <w:color w:val="000000"/>
          <w:sz w:val="20"/>
          <w:szCs w:val="20"/>
        </w:rPr>
        <w:t>•Net investment income increased $26 million due to higher asset balances, the</w:t>
      </w:r>
      <w:r>
        <w:rPr>
          <w:rFonts w:eastAsia="Times New Roman"/>
          <w:color w:val="000000"/>
          <w:sz w:val="20"/>
          <w:szCs w:val="20"/>
        </w:rPr>
        <w:t xml:space="preserve"> General Account investment portfolio optimization and higher income from alternative investments.</w:t>
      </w:r>
    </w:p>
    <w:p w:rsidR="00000000" w:rsidRDefault="000C147A">
      <w:pPr>
        <w:ind w:hanging="360"/>
        <w:jc w:val="both"/>
        <w:divId w:val="1573199482"/>
        <w:rPr>
          <w:rFonts w:eastAsia="Times New Roman"/>
        </w:rPr>
      </w:pPr>
      <w:r>
        <w:rPr>
          <w:rFonts w:eastAsia="Times New Roman"/>
          <w:color w:val="000000"/>
          <w:sz w:val="20"/>
          <w:szCs w:val="20"/>
        </w:rPr>
        <w:t>•Fee-type revenues increased $6 million due to higher average Separate Accounts AV, driven by equity market performance.</w:t>
      </w:r>
    </w:p>
    <w:p w:rsidR="00000000" w:rsidRDefault="000C147A">
      <w:pPr>
        <w:ind w:hanging="360"/>
        <w:divId w:val="1356150621"/>
        <w:rPr>
          <w:rFonts w:eastAsia="Times New Roman"/>
        </w:rPr>
      </w:pPr>
      <w:r>
        <w:rPr>
          <w:rFonts w:eastAsia="Times New Roman"/>
          <w:color w:val="000000"/>
          <w:sz w:val="20"/>
          <w:szCs w:val="20"/>
        </w:rPr>
        <w:t>•</w:t>
      </w:r>
      <w:r>
        <w:rPr>
          <w:rFonts w:eastAsia="Times New Roman"/>
          <w:color w:val="000000"/>
          <w:sz w:val="20"/>
          <w:szCs w:val="20"/>
        </w:rPr>
        <w:t>Compensation and other operating expenses decreased $8 million due to productivity initiatives and COVID-19 related expense saves.</w:t>
      </w:r>
    </w:p>
    <w:p w:rsidR="00000000" w:rsidRDefault="000C147A">
      <w:pPr>
        <w:jc w:val="center"/>
        <w:divId w:val="4674019"/>
        <w:rPr>
          <w:rFonts w:eastAsia="Times New Roman"/>
        </w:rPr>
      </w:pPr>
      <w:r>
        <w:rPr>
          <w:rFonts w:eastAsia="Times New Roman"/>
          <w:color w:val="000000"/>
          <w:sz w:val="20"/>
          <w:szCs w:val="20"/>
        </w:rPr>
        <w:t>105</w:t>
      </w:r>
    </w:p>
    <w:p w:rsidR="00000000" w:rsidRDefault="000C147A">
      <w:pPr>
        <w:rPr>
          <w:rFonts w:eastAsia="Times New Roman"/>
        </w:rPr>
      </w:pPr>
      <w:r>
        <w:rPr>
          <w:rFonts w:eastAsia="Times New Roman"/>
        </w:rPr>
        <w:pict>
          <v:rect id="_x0000_i1131" style="width:0;height:1.5pt" o:hralign="center" o:hrstd="t" o:hr="t" fillcolor="#a0a0a0" stroked="f"/>
        </w:pict>
      </w:r>
    </w:p>
    <w:p w:rsidR="00000000" w:rsidRDefault="000C147A">
      <w:pPr>
        <w:divId w:val="1249117536"/>
        <w:rPr>
          <w:rFonts w:eastAsia="Times New Roman"/>
        </w:rPr>
      </w:pPr>
    </w:p>
    <w:p w:rsidR="00000000" w:rsidRDefault="000C147A">
      <w:pPr>
        <w:ind w:firstLine="360"/>
        <w:divId w:val="2046438712"/>
        <w:rPr>
          <w:rFonts w:eastAsia="Times New Roman"/>
        </w:rPr>
      </w:pPr>
      <w:r>
        <w:rPr>
          <w:rFonts w:eastAsia="Times New Roman"/>
          <w:color w:val="000000"/>
          <w:sz w:val="20"/>
          <w:szCs w:val="20"/>
        </w:rPr>
        <w:t>The increase was partially offset by the following:</w:t>
      </w:r>
    </w:p>
    <w:p w:rsidR="00000000" w:rsidRDefault="000C147A">
      <w:pPr>
        <w:ind w:hanging="360"/>
        <w:jc w:val="both"/>
        <w:divId w:val="1170095189"/>
        <w:rPr>
          <w:rFonts w:eastAsia="Times New Roman"/>
        </w:rPr>
      </w:pPr>
      <w:r>
        <w:rPr>
          <w:rFonts w:eastAsia="Times New Roman"/>
          <w:color w:val="000000"/>
          <w:sz w:val="20"/>
          <w:szCs w:val="20"/>
        </w:rPr>
        <w:t>•Amortization of DAC increased</w:t>
      </w:r>
      <w:r>
        <w:rPr>
          <w:rFonts w:eastAsia="Times New Roman"/>
          <w:color w:val="000000"/>
          <w:sz w:val="20"/>
          <w:szCs w:val="20"/>
        </w:rPr>
        <w:t xml:space="preserve"> $9 million mainly due to the $3 million unfavorable impact of assumption updates in 2020 compared to the $3 million favorable in 2019). </w:t>
      </w:r>
    </w:p>
    <w:p w:rsidR="00000000" w:rsidRDefault="000C147A">
      <w:pPr>
        <w:ind w:hanging="360"/>
        <w:divId w:val="566839953"/>
        <w:rPr>
          <w:rFonts w:eastAsia="Times New Roman"/>
        </w:rPr>
      </w:pPr>
      <w:r>
        <w:rPr>
          <w:rFonts w:eastAsia="Times New Roman"/>
          <w:color w:val="000000"/>
          <w:sz w:val="20"/>
          <w:szCs w:val="20"/>
        </w:rPr>
        <w:t>•Income tax expense increased $4 million due to higher pre-tax earnings.</w:t>
      </w:r>
    </w:p>
    <w:p w:rsidR="00000000" w:rsidRDefault="000C147A">
      <w:pPr>
        <w:ind w:firstLine="360"/>
        <w:divId w:val="810826153"/>
        <w:rPr>
          <w:rFonts w:eastAsia="Times New Roman"/>
        </w:rPr>
      </w:pPr>
      <w:r>
        <w:rPr>
          <w:rFonts w:eastAsia="Times New Roman"/>
          <w:color w:val="000000"/>
          <w:sz w:val="20"/>
          <w:szCs w:val="20"/>
        </w:rPr>
        <w:t>See “—Significant Factors Impacting Our Resul</w:t>
      </w:r>
      <w:r>
        <w:rPr>
          <w:rFonts w:eastAsia="Times New Roman"/>
          <w:color w:val="000000"/>
          <w:sz w:val="20"/>
          <w:szCs w:val="20"/>
        </w:rPr>
        <w:t xml:space="preserve">ts—Assumption Updates and Model Changes” for more information regarding assumption updates. </w:t>
      </w:r>
    </w:p>
    <w:p w:rsidR="00000000" w:rsidRDefault="000C147A">
      <w:pPr>
        <w:jc w:val="both"/>
        <w:divId w:val="474955550"/>
        <w:rPr>
          <w:rFonts w:eastAsia="Times New Roman"/>
        </w:rPr>
      </w:pPr>
      <w:r>
        <w:rPr>
          <w:rFonts w:eastAsia="Times New Roman"/>
          <w:b/>
          <w:bCs/>
          <w:i/>
          <w:iCs/>
          <w:color w:val="000000"/>
          <w:sz w:val="20"/>
          <w:szCs w:val="20"/>
        </w:rPr>
        <w:t>Net Flows and AV</w:t>
      </w:r>
    </w:p>
    <w:p w:rsidR="00000000" w:rsidRDefault="000C147A">
      <w:pPr>
        <w:ind w:hanging="360"/>
        <w:jc w:val="both"/>
        <w:divId w:val="1777753172"/>
        <w:rPr>
          <w:rFonts w:eastAsia="Times New Roman"/>
        </w:rPr>
      </w:pPr>
      <w:r>
        <w:rPr>
          <w:rFonts w:eastAsia="Times New Roman"/>
          <w:color w:val="000000"/>
          <w:sz w:val="20"/>
          <w:szCs w:val="20"/>
        </w:rPr>
        <w:t>•The increase in AV of $1.6 billion in the three months ended September 30, 2020 was driven by strong equity markets, partially offset by net outf</w:t>
      </w:r>
      <w:r>
        <w:rPr>
          <w:rFonts w:eastAsia="Times New Roman"/>
          <w:color w:val="000000"/>
          <w:sz w:val="20"/>
          <w:szCs w:val="20"/>
        </w:rPr>
        <w:t>lows of $93 million.</w:t>
      </w:r>
    </w:p>
    <w:p w:rsidR="00000000" w:rsidRDefault="000C147A">
      <w:pPr>
        <w:ind w:hanging="360"/>
        <w:divId w:val="879362164"/>
        <w:rPr>
          <w:rFonts w:eastAsia="Times New Roman"/>
        </w:rPr>
      </w:pPr>
      <w:r>
        <w:rPr>
          <w:rFonts w:eastAsia="Times New Roman"/>
          <w:color w:val="000000"/>
          <w:sz w:val="20"/>
          <w:szCs w:val="20"/>
        </w:rPr>
        <w:t>•Net outflows of $93 million increased $71 million, due to lower first year premiums due to the impact of COVID-19, partially offset by higher renewals.</w:t>
      </w:r>
    </w:p>
    <w:p w:rsidR="00000000" w:rsidRDefault="000C147A">
      <w:pPr>
        <w:divId w:val="1698963441"/>
        <w:rPr>
          <w:rFonts w:eastAsia="Times New Roman"/>
        </w:rPr>
      </w:pPr>
      <w:r>
        <w:rPr>
          <w:rFonts w:eastAsia="Times New Roman"/>
          <w:b/>
          <w:bCs/>
          <w:color w:val="000000"/>
          <w:sz w:val="20"/>
          <w:szCs w:val="20"/>
        </w:rPr>
        <w:t>Nine Months Ended September 30, 2020 Compared to the Nine Months Ended September 3</w:t>
      </w:r>
      <w:r>
        <w:rPr>
          <w:rFonts w:eastAsia="Times New Roman"/>
          <w:b/>
          <w:bCs/>
          <w:color w:val="000000"/>
          <w:sz w:val="20"/>
          <w:szCs w:val="20"/>
        </w:rPr>
        <w:t>0, 2019 for the Group Retirement Segment</w:t>
      </w:r>
    </w:p>
    <w:p w:rsidR="00000000" w:rsidRDefault="000C147A">
      <w:pPr>
        <w:jc w:val="both"/>
        <w:divId w:val="2074311417"/>
        <w:rPr>
          <w:rFonts w:eastAsia="Times New Roman"/>
        </w:rPr>
      </w:pPr>
      <w:r>
        <w:rPr>
          <w:rFonts w:eastAsia="Times New Roman"/>
          <w:b/>
          <w:bCs/>
          <w:i/>
          <w:iCs/>
          <w:color w:val="000000"/>
          <w:sz w:val="20"/>
          <w:szCs w:val="20"/>
        </w:rPr>
        <w:t>Operating earnings</w:t>
      </w:r>
    </w:p>
    <w:p w:rsidR="00000000" w:rsidRDefault="000C147A">
      <w:pPr>
        <w:ind w:firstLine="360"/>
        <w:divId w:val="1616017764"/>
        <w:rPr>
          <w:rFonts w:eastAsia="Times New Roman"/>
        </w:rPr>
      </w:pPr>
      <w:r>
        <w:rPr>
          <w:rFonts w:eastAsia="Times New Roman"/>
          <w:color w:val="000000"/>
          <w:sz w:val="20"/>
          <w:szCs w:val="20"/>
        </w:rPr>
        <w:t>Operating earnings increased $44 million to $325 million during the nine months ended September 30, 2020 from $281 million in the nine months ended September 30, 2019. The increase is primarily at</w:t>
      </w:r>
      <w:r>
        <w:rPr>
          <w:rFonts w:eastAsia="Times New Roman"/>
          <w:color w:val="000000"/>
          <w:sz w:val="20"/>
          <w:szCs w:val="20"/>
        </w:rPr>
        <w:t xml:space="preserve">tributable to the following: </w:t>
      </w:r>
    </w:p>
    <w:p w:rsidR="00000000" w:rsidRDefault="000C147A">
      <w:pPr>
        <w:ind w:hanging="360"/>
        <w:jc w:val="both"/>
        <w:divId w:val="644355809"/>
        <w:rPr>
          <w:rFonts w:eastAsia="Times New Roman"/>
        </w:rPr>
      </w:pPr>
      <w:r>
        <w:rPr>
          <w:rFonts w:eastAsia="Times New Roman"/>
          <w:color w:val="000000"/>
          <w:sz w:val="20"/>
          <w:szCs w:val="20"/>
        </w:rPr>
        <w:t>•Net investment income increased $28 million due to higher asset balances and our General Account investment portfolio optimization, partially offset by lower income from alternative investments.</w:t>
      </w:r>
    </w:p>
    <w:p w:rsidR="00000000" w:rsidRDefault="000C147A">
      <w:pPr>
        <w:ind w:hanging="360"/>
        <w:jc w:val="both"/>
        <w:divId w:val="1258712103"/>
        <w:rPr>
          <w:rFonts w:eastAsia="Times New Roman"/>
        </w:rPr>
      </w:pPr>
      <w:r>
        <w:rPr>
          <w:rFonts w:eastAsia="Times New Roman"/>
          <w:color w:val="000000"/>
          <w:sz w:val="20"/>
          <w:szCs w:val="20"/>
        </w:rPr>
        <w:t>•Compensation benefits and oth</w:t>
      </w:r>
      <w:r>
        <w:rPr>
          <w:rFonts w:eastAsia="Times New Roman"/>
          <w:color w:val="000000"/>
          <w:sz w:val="20"/>
          <w:szCs w:val="20"/>
        </w:rPr>
        <w:t>er operating expenses decreased $21 million due to productivity initiatives and COVID-19 related expense saves.</w:t>
      </w:r>
    </w:p>
    <w:p w:rsidR="00000000" w:rsidRDefault="000C147A">
      <w:pPr>
        <w:ind w:hanging="360"/>
        <w:divId w:val="1005091939"/>
        <w:rPr>
          <w:rFonts w:eastAsia="Times New Roman"/>
        </w:rPr>
      </w:pPr>
      <w:r>
        <w:rPr>
          <w:rFonts w:eastAsia="Times New Roman"/>
          <w:color w:val="000000"/>
          <w:sz w:val="20"/>
          <w:szCs w:val="20"/>
        </w:rPr>
        <w:t>•Fee-type revenues increased $12 million due to higher average Separate Account AV driven by higher equity market performance.</w:t>
      </w:r>
    </w:p>
    <w:p w:rsidR="00000000" w:rsidRDefault="000C147A">
      <w:pPr>
        <w:ind w:firstLine="360"/>
        <w:divId w:val="196430777"/>
        <w:rPr>
          <w:rFonts w:eastAsia="Times New Roman"/>
        </w:rPr>
      </w:pPr>
      <w:r>
        <w:rPr>
          <w:rFonts w:eastAsia="Times New Roman"/>
          <w:color w:val="000000"/>
          <w:sz w:val="20"/>
          <w:szCs w:val="20"/>
        </w:rPr>
        <w:t xml:space="preserve">The increase was </w:t>
      </w:r>
      <w:r>
        <w:rPr>
          <w:rFonts w:eastAsia="Times New Roman"/>
          <w:color w:val="000000"/>
          <w:sz w:val="20"/>
          <w:szCs w:val="20"/>
        </w:rPr>
        <w:t>partially offset by the following:</w:t>
      </w:r>
    </w:p>
    <w:p w:rsidR="00000000" w:rsidRDefault="000C147A">
      <w:pPr>
        <w:ind w:hanging="360"/>
        <w:jc w:val="both"/>
        <w:divId w:val="299850432"/>
        <w:rPr>
          <w:rFonts w:eastAsia="Times New Roman"/>
        </w:rPr>
      </w:pPr>
      <w:r>
        <w:rPr>
          <w:rFonts w:eastAsia="Times New Roman"/>
          <w:color w:val="000000"/>
          <w:sz w:val="20"/>
          <w:szCs w:val="20"/>
        </w:rPr>
        <w:t>•Commissions and distribution related payments increased $3 million due to higher asset base.</w:t>
      </w:r>
    </w:p>
    <w:p w:rsidR="00000000" w:rsidRDefault="000C147A">
      <w:pPr>
        <w:ind w:hanging="360"/>
        <w:divId w:val="753430892"/>
        <w:rPr>
          <w:rFonts w:eastAsia="Times New Roman"/>
        </w:rPr>
      </w:pPr>
      <w:r>
        <w:rPr>
          <w:rFonts w:eastAsia="Times New Roman"/>
          <w:color w:val="000000"/>
          <w:sz w:val="20"/>
          <w:szCs w:val="20"/>
        </w:rPr>
        <w:t>•Income tax expense increased $10 million due to higher pre-tax earnings.</w:t>
      </w:r>
    </w:p>
    <w:p w:rsidR="00000000" w:rsidRDefault="000C147A">
      <w:pPr>
        <w:ind w:firstLine="360"/>
        <w:divId w:val="1893803912"/>
        <w:rPr>
          <w:rFonts w:eastAsia="Times New Roman"/>
        </w:rPr>
      </w:pPr>
      <w:r>
        <w:rPr>
          <w:rFonts w:eastAsia="Times New Roman"/>
          <w:color w:val="000000"/>
          <w:sz w:val="20"/>
          <w:szCs w:val="20"/>
        </w:rPr>
        <w:t>See “—Significant Factors Impacting Our Results—Assum</w:t>
      </w:r>
      <w:r>
        <w:rPr>
          <w:rFonts w:eastAsia="Times New Roman"/>
          <w:color w:val="000000"/>
          <w:sz w:val="20"/>
          <w:szCs w:val="20"/>
        </w:rPr>
        <w:t xml:space="preserve">ption Updates and Model Changes” for more information regarding assumption updates. </w:t>
      </w:r>
    </w:p>
    <w:p w:rsidR="00000000" w:rsidRDefault="000C147A">
      <w:pPr>
        <w:jc w:val="both"/>
        <w:divId w:val="574511095"/>
        <w:rPr>
          <w:rFonts w:eastAsia="Times New Roman"/>
        </w:rPr>
      </w:pPr>
      <w:r>
        <w:rPr>
          <w:rFonts w:eastAsia="Times New Roman"/>
          <w:b/>
          <w:bCs/>
          <w:i/>
          <w:iCs/>
          <w:color w:val="000000"/>
          <w:sz w:val="20"/>
          <w:szCs w:val="20"/>
        </w:rPr>
        <w:t>Net Flows and AV</w:t>
      </w:r>
    </w:p>
    <w:p w:rsidR="00000000" w:rsidRDefault="000C147A">
      <w:pPr>
        <w:ind w:hanging="360"/>
        <w:divId w:val="788740211"/>
        <w:rPr>
          <w:rFonts w:eastAsia="Times New Roman"/>
        </w:rPr>
      </w:pPr>
      <w:r>
        <w:rPr>
          <w:rFonts w:eastAsia="Times New Roman"/>
          <w:color w:val="000000"/>
          <w:sz w:val="20"/>
          <w:szCs w:val="20"/>
        </w:rPr>
        <w:t>•The increase in AV of $835 million in the nine months ended September 30, 2020 was primarily due to equity market performance of $584 million and net inf</w:t>
      </w:r>
      <w:r>
        <w:rPr>
          <w:rFonts w:eastAsia="Times New Roman"/>
          <w:color w:val="000000"/>
          <w:sz w:val="20"/>
          <w:szCs w:val="20"/>
        </w:rPr>
        <w:t>lows of $251 million.</w:t>
      </w:r>
    </w:p>
    <w:p w:rsidR="00000000" w:rsidRDefault="000C147A">
      <w:pPr>
        <w:ind w:hanging="360"/>
        <w:divId w:val="710500472"/>
        <w:rPr>
          <w:rFonts w:eastAsia="Times New Roman"/>
        </w:rPr>
      </w:pPr>
      <w:r>
        <w:rPr>
          <w:rFonts w:eastAsia="Times New Roman"/>
          <w:color w:val="000000"/>
          <w:sz w:val="20"/>
          <w:szCs w:val="20"/>
        </w:rPr>
        <w:t>•Net inflows of $251 million increased $3 million, as lower surrenders and higher renewals reflect continuous client engagement were offset by lower first year premiums due to the impact of COVID-19.</w:t>
      </w:r>
    </w:p>
    <w:p w:rsidR="00000000" w:rsidRDefault="000C147A">
      <w:pPr>
        <w:divId w:val="1862433233"/>
        <w:rPr>
          <w:rFonts w:eastAsia="Times New Roman"/>
        </w:rPr>
      </w:pPr>
      <w:r>
        <w:rPr>
          <w:rFonts w:eastAsia="Times New Roman"/>
          <w:b/>
          <w:bCs/>
          <w:color w:val="000000"/>
          <w:sz w:val="20"/>
          <w:szCs w:val="20"/>
        </w:rPr>
        <w:t>Investment Management and Research</w:t>
      </w:r>
    </w:p>
    <w:p w:rsidR="00000000" w:rsidRDefault="000C147A">
      <w:pPr>
        <w:ind w:firstLine="360"/>
        <w:divId w:val="1867332645"/>
        <w:rPr>
          <w:rFonts w:eastAsia="Times New Roman"/>
        </w:rPr>
      </w:pPr>
      <w:r>
        <w:rPr>
          <w:rFonts w:eastAsia="Times New Roman"/>
          <w:color w:val="000000"/>
          <w:sz w:val="20"/>
          <w:szCs w:val="20"/>
        </w:rPr>
        <w:t>The Investment Management and Research segment provides diversified investment management, research and related services to a broad range of clients around the world. Operating earnings (loss), net of tax, presented here represents our economic interest in</w:t>
      </w:r>
      <w:r>
        <w:rPr>
          <w:rFonts w:eastAsia="Times New Roman"/>
          <w:color w:val="000000"/>
          <w:sz w:val="20"/>
          <w:szCs w:val="20"/>
        </w:rPr>
        <w:t xml:space="preserve"> AB of approximately 65% during three and nine months ended September 30,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456095296"/>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45609529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45609529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45609529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45609529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2144495452"/>
        <w:rPr>
          <w:rFonts w:eastAsia="Times New Roman"/>
        </w:rPr>
      </w:pPr>
      <w:r>
        <w:rPr>
          <w:rFonts w:eastAsia="Times New Roman"/>
          <w:color w:val="000000"/>
          <w:sz w:val="20"/>
          <w:szCs w:val="20"/>
        </w:rPr>
        <w:t>Key components of Operating earnings are:</w:t>
      </w:r>
    </w:p>
    <w:p w:rsidR="00000000" w:rsidRDefault="000C147A">
      <w:pPr>
        <w:jc w:val="center"/>
        <w:divId w:val="1727560465"/>
        <w:rPr>
          <w:rFonts w:eastAsia="Times New Roman"/>
        </w:rPr>
      </w:pPr>
      <w:r>
        <w:rPr>
          <w:rFonts w:eastAsia="Times New Roman"/>
          <w:color w:val="000000"/>
          <w:sz w:val="20"/>
          <w:szCs w:val="20"/>
        </w:rPr>
        <w:t>106</w:t>
      </w:r>
    </w:p>
    <w:p w:rsidR="00000000" w:rsidRDefault="000C147A">
      <w:pPr>
        <w:rPr>
          <w:rFonts w:eastAsia="Times New Roman"/>
        </w:rPr>
      </w:pPr>
      <w:r>
        <w:rPr>
          <w:rFonts w:eastAsia="Times New Roman"/>
        </w:rPr>
        <w:pict>
          <v:rect id="_x0000_i1132" style="width:0;height:1.5pt" o:hralign="center" o:hrstd="t" o:hr="t" fillcolor="#a0a0a0" stroked="f"/>
        </w:pict>
      </w:r>
    </w:p>
    <w:p w:rsidR="00000000" w:rsidRDefault="000C147A">
      <w:pPr>
        <w:divId w:val="1934273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460"/>
        <w:gridCol w:w="37"/>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1015957188"/>
        </w:trPr>
        <w:tc>
          <w:tcPr>
            <w:tcW w:w="50" w:type="pct"/>
            <w:vAlign w:val="center"/>
            <w:hideMark/>
          </w:tcPr>
          <w:p w:rsidR="00000000" w:rsidRDefault="000C147A">
            <w:pPr>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01595718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service fees and other income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867 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2,485 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Commissions and distribution related payments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015957188"/>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benefits and other deductions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2045401460"/>
        <w:rPr>
          <w:rFonts w:eastAsia="Times New Roman"/>
        </w:rPr>
      </w:pPr>
    </w:p>
    <w:p w:rsidR="00000000" w:rsidRDefault="000C147A">
      <w:pPr>
        <w:ind w:firstLine="360"/>
        <w:divId w:val="1443765526"/>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4514"/>
        <w:gridCol w:w="38"/>
        <w:gridCol w:w="120"/>
        <w:gridCol w:w="705"/>
        <w:gridCol w:w="36"/>
        <w:gridCol w:w="36"/>
        <w:gridCol w:w="36"/>
        <w:gridCol w:w="36"/>
        <w:gridCol w:w="120"/>
        <w:gridCol w:w="705"/>
        <w:gridCol w:w="36"/>
        <w:gridCol w:w="36"/>
        <w:gridCol w:w="36"/>
        <w:gridCol w:w="36"/>
        <w:gridCol w:w="120"/>
        <w:gridCol w:w="705"/>
        <w:gridCol w:w="36"/>
        <w:gridCol w:w="36"/>
        <w:gridCol w:w="36"/>
        <w:gridCol w:w="36"/>
        <w:gridCol w:w="120"/>
        <w:gridCol w:w="646"/>
        <w:gridCol w:w="36"/>
      </w:tblGrid>
      <w:tr w:rsidR="00000000">
        <w:trPr>
          <w:divId w:val="373966733"/>
        </w:trPr>
        <w:tc>
          <w:tcPr>
            <w:tcW w:w="50" w:type="pct"/>
            <w:vAlign w:val="center"/>
            <w:hideMark/>
          </w:tcPr>
          <w:p w:rsidR="00000000" w:rsidRDefault="000C147A">
            <w:pPr>
              <w:ind w:firstLine="360"/>
              <w:rPr>
                <w:rFonts w:eastAsia="Times New Roman"/>
              </w:rPr>
            </w:pPr>
          </w:p>
        </w:tc>
        <w:tc>
          <w:tcPr>
            <w:tcW w:w="27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37396673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37396673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373966733"/>
        </w:trPr>
        <w:tc>
          <w:tcPr>
            <w:tcW w:w="0" w:type="auto"/>
            <w:gridSpan w:val="3"/>
            <w:tcMar>
              <w:top w:w="30" w:type="dxa"/>
              <w:left w:w="20" w:type="dxa"/>
              <w:bottom w:w="30" w:type="dxa"/>
              <w:right w:w="20" w:type="dxa"/>
            </w:tcMar>
            <w:vAlign w:val="bottom"/>
            <w:hideMark/>
          </w:tcPr>
          <w:p w:rsidR="00000000" w:rsidRDefault="000C147A">
            <w:pPr>
              <w:divId w:val="1668096176"/>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billions)</w:t>
            </w:r>
          </w:p>
        </w:tc>
      </w:tr>
      <w:tr w:rsidR="00000000">
        <w:trPr>
          <w:divId w:val="373966733"/>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580.8 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622.9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516.4 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Long-term flows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37396673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Sales/new accounts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Redemptions/terminations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(87.3)</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Cash flow/unreinvested dividends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Net long-term (outflows) inflows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Acquisition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AUM adjustment (1)</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37396673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Balance as of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159855562"/>
        <w:rPr>
          <w:rFonts w:eastAsia="Times New Roman"/>
        </w:rPr>
      </w:pPr>
      <w:r>
        <w:rPr>
          <w:rFonts w:eastAsia="Times New Roman"/>
          <w:color w:val="000000"/>
          <w:sz w:val="18"/>
          <w:szCs w:val="18"/>
        </w:rPr>
        <w:t>______________</w:t>
      </w:r>
    </w:p>
    <w:p w:rsidR="00000000" w:rsidRDefault="000C147A">
      <w:pPr>
        <w:ind w:hanging="360"/>
        <w:divId w:val="1559902949"/>
        <w:rPr>
          <w:rFonts w:eastAsia="Times New Roman"/>
        </w:rPr>
      </w:pPr>
      <w:r>
        <w:rPr>
          <w:rFonts w:eastAsia="Times New Roman"/>
          <w:color w:val="000000"/>
          <w:sz w:val="18"/>
          <w:szCs w:val="18"/>
        </w:rPr>
        <w:t xml:space="preserve">(1) Approximately $900 million of non-investment management fee earning taxable and tax-exempt money market </w:t>
      </w:r>
      <w:r>
        <w:rPr>
          <w:rFonts w:eastAsia="Times New Roman"/>
          <w:color w:val="000000"/>
          <w:sz w:val="18"/>
          <w:szCs w:val="18"/>
        </w:rPr>
        <w:t>assets were removed from assets under management during the second quarter of 2019.</w:t>
      </w:r>
    </w:p>
    <w:p w:rsidR="00000000" w:rsidRDefault="000C147A">
      <w:pPr>
        <w:divId w:val="119691722"/>
        <w:rPr>
          <w:rFonts w:eastAsia="Times New Roman"/>
        </w:rPr>
      </w:pPr>
    </w:p>
    <w:p w:rsidR="00000000" w:rsidRDefault="000C147A">
      <w:pPr>
        <w:jc w:val="center"/>
        <w:divId w:val="1308513887"/>
        <w:rPr>
          <w:rFonts w:eastAsia="Times New Roman"/>
        </w:rPr>
      </w:pPr>
      <w:r>
        <w:rPr>
          <w:rFonts w:eastAsia="Times New Roman"/>
          <w:color w:val="000000"/>
          <w:sz w:val="20"/>
          <w:szCs w:val="20"/>
        </w:rPr>
        <w:t>107</w:t>
      </w:r>
    </w:p>
    <w:p w:rsidR="00000000" w:rsidRDefault="000C147A">
      <w:pPr>
        <w:rPr>
          <w:rFonts w:eastAsia="Times New Roman"/>
        </w:rPr>
      </w:pPr>
      <w:r>
        <w:rPr>
          <w:rFonts w:eastAsia="Times New Roman"/>
        </w:rPr>
        <w:pict>
          <v:rect id="_x0000_i1133" style="width:0;height:1.5pt" o:hralign="center" o:hrstd="t" o:hr="t" fillcolor="#a0a0a0" stroked="f"/>
        </w:pict>
      </w:r>
    </w:p>
    <w:p w:rsidR="00000000" w:rsidRDefault="000C147A">
      <w:pPr>
        <w:divId w:val="871111984"/>
        <w:rPr>
          <w:rFonts w:eastAsia="Times New Roman"/>
        </w:rPr>
      </w:pPr>
    </w:p>
    <w:p w:rsidR="00000000" w:rsidRDefault="000C147A">
      <w:pPr>
        <w:ind w:firstLine="360"/>
        <w:divId w:val="1497065619"/>
        <w:rPr>
          <w:rFonts w:eastAsia="Times New Roman"/>
        </w:rPr>
      </w:pPr>
      <w:r>
        <w:rPr>
          <w:rFonts w:eastAsia="Times New Roman"/>
          <w:color w:val="000000"/>
          <w:sz w:val="20"/>
          <w:szCs w:val="20"/>
        </w:rPr>
        <w:t>Average AUM in the Investment Management and Research segment for the periods presented by distribution channel and investment s</w:t>
      </w:r>
      <w:r>
        <w:rPr>
          <w:rFonts w:eastAsia="Times New Roman"/>
          <w:color w:val="000000"/>
          <w:sz w:val="20"/>
          <w:szCs w:val="20"/>
        </w:rPr>
        <w:t>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522"/>
        <w:gridCol w:w="36"/>
        <w:gridCol w:w="120"/>
        <w:gridCol w:w="705"/>
        <w:gridCol w:w="36"/>
        <w:gridCol w:w="36"/>
        <w:gridCol w:w="36"/>
        <w:gridCol w:w="36"/>
        <w:gridCol w:w="120"/>
        <w:gridCol w:w="705"/>
        <w:gridCol w:w="36"/>
        <w:gridCol w:w="36"/>
        <w:gridCol w:w="36"/>
        <w:gridCol w:w="36"/>
        <w:gridCol w:w="120"/>
        <w:gridCol w:w="705"/>
        <w:gridCol w:w="36"/>
        <w:gridCol w:w="36"/>
        <w:gridCol w:w="36"/>
        <w:gridCol w:w="36"/>
        <w:gridCol w:w="120"/>
        <w:gridCol w:w="648"/>
        <w:gridCol w:w="36"/>
      </w:tblGrid>
      <w:tr w:rsidR="00000000">
        <w:trPr>
          <w:divId w:val="1947348218"/>
        </w:trPr>
        <w:tc>
          <w:tcPr>
            <w:tcW w:w="50" w:type="pct"/>
            <w:vAlign w:val="center"/>
            <w:hideMark/>
          </w:tcPr>
          <w:p w:rsidR="00000000" w:rsidRDefault="000C147A">
            <w:pPr>
              <w:ind w:firstLine="360"/>
              <w:rPr>
                <w:rFonts w:eastAsia="Times New Roman"/>
              </w:rPr>
            </w:pPr>
          </w:p>
        </w:tc>
        <w:tc>
          <w:tcPr>
            <w:tcW w:w="27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947348218"/>
        </w:trPr>
        <w:tc>
          <w:tcPr>
            <w:tcW w:w="0" w:type="auto"/>
            <w:gridSpan w:val="3"/>
            <w:tcMar>
              <w:top w:w="30" w:type="dxa"/>
              <w:left w:w="20" w:type="dxa"/>
              <w:bottom w:w="30" w:type="dxa"/>
              <w:right w:w="20" w:type="dxa"/>
            </w:tcMar>
            <w:vAlign w:val="bottom"/>
            <w:hideMark/>
          </w:tcPr>
          <w:p w:rsidR="00000000" w:rsidRDefault="000C147A">
            <w:pPr>
              <w:divId w:val="188562928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r>
      <w:tr w:rsidR="00000000">
        <w:trPr>
          <w:divId w:val="1947348218"/>
        </w:trPr>
        <w:tc>
          <w:tcPr>
            <w:tcW w:w="0" w:type="auto"/>
            <w:gridSpan w:val="3"/>
            <w:tcMar>
              <w:top w:w="30" w:type="dxa"/>
              <w:left w:w="20" w:type="dxa"/>
              <w:bottom w:w="30" w:type="dxa"/>
              <w:right w:w="20" w:type="dxa"/>
            </w:tcMar>
            <w:vAlign w:val="bottom"/>
            <w:hideMark/>
          </w:tcPr>
          <w:p w:rsidR="00000000" w:rsidRDefault="000C147A">
            <w:pPr>
              <w:divId w:val="1297835695"/>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947348218"/>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billions)</w:t>
            </w:r>
          </w:p>
        </w:tc>
      </w:tr>
      <w:tr w:rsidR="00000000">
        <w:trPr>
          <w:divId w:val="1947348218"/>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4734821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287.4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218.5 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206.1 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Height w:val="24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4734821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4734821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160.3 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172.4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154.8 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246.9 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253.5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234.7 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Other (2)</w:t>
            </w: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71.5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0C147A">
            <w:pPr>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47348218"/>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586.3 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294411135"/>
        <w:rPr>
          <w:rFonts w:eastAsia="Times New Roman"/>
        </w:rPr>
      </w:pPr>
      <w:r>
        <w:rPr>
          <w:rFonts w:eastAsia="Times New Roman"/>
          <w:color w:val="000000"/>
          <w:sz w:val="18"/>
          <w:szCs w:val="18"/>
        </w:rPr>
        <w:t>___        ____________</w:t>
      </w:r>
    </w:p>
    <w:p w:rsidR="00000000" w:rsidRDefault="000C147A">
      <w:pPr>
        <w:ind w:hanging="540"/>
        <w:divId w:val="1064066146"/>
        <w:rPr>
          <w:rFonts w:eastAsia="Times New Roman"/>
        </w:rPr>
      </w:pPr>
      <w:r>
        <w:rPr>
          <w:rFonts w:eastAsia="Times New Roman"/>
          <w:color w:val="000000"/>
          <w:sz w:val="18"/>
          <w:szCs w:val="18"/>
        </w:rPr>
        <w:t>(1)Includes index and enhan</w:t>
      </w:r>
      <w:r>
        <w:rPr>
          <w:rFonts w:eastAsia="Times New Roman"/>
          <w:color w:val="000000"/>
          <w:sz w:val="18"/>
          <w:szCs w:val="18"/>
        </w:rPr>
        <w:t>ced index services.</w:t>
      </w:r>
    </w:p>
    <w:p w:rsidR="00000000" w:rsidRDefault="000C147A">
      <w:pPr>
        <w:ind w:hanging="540"/>
        <w:divId w:val="1284842777"/>
        <w:rPr>
          <w:rFonts w:eastAsia="Times New Roman"/>
        </w:rPr>
      </w:pPr>
      <w:r>
        <w:rPr>
          <w:rFonts w:eastAsia="Times New Roman"/>
          <w:color w:val="000000"/>
          <w:sz w:val="18"/>
          <w:szCs w:val="18"/>
        </w:rPr>
        <w:t>(2)Includes multi-asset solutions and services, and certain alternative investments.</w:t>
      </w:r>
    </w:p>
    <w:p w:rsidR="00000000" w:rsidRDefault="000C147A">
      <w:pPr>
        <w:divId w:val="1395009918"/>
        <w:rPr>
          <w:rFonts w:eastAsia="Times New Roman"/>
        </w:rPr>
      </w:pPr>
      <w:r>
        <w:rPr>
          <w:rFonts w:eastAsia="Times New Roman"/>
          <w:b/>
          <w:bCs/>
          <w:color w:val="000000"/>
          <w:sz w:val="20"/>
          <w:szCs w:val="20"/>
        </w:rPr>
        <w:t>Three Months Ended September 30, 2020 Compared to the Three Months Ended September 30, 2019 for the Investment Management and Research Segment</w:t>
      </w:r>
    </w:p>
    <w:p w:rsidR="00000000" w:rsidRDefault="000C147A">
      <w:pPr>
        <w:jc w:val="both"/>
        <w:divId w:val="1452823579"/>
        <w:rPr>
          <w:rFonts w:eastAsia="Times New Roman"/>
        </w:rPr>
      </w:pPr>
      <w:r>
        <w:rPr>
          <w:rFonts w:eastAsia="Times New Roman"/>
          <w:b/>
          <w:bCs/>
          <w:i/>
          <w:iCs/>
          <w:color w:val="000000"/>
          <w:sz w:val="20"/>
          <w:szCs w:val="20"/>
        </w:rPr>
        <w:t>Operating earnings</w:t>
      </w:r>
    </w:p>
    <w:p w:rsidR="00000000" w:rsidRDefault="000C147A">
      <w:pPr>
        <w:ind w:firstLine="360"/>
        <w:divId w:val="1051853553"/>
        <w:rPr>
          <w:rFonts w:eastAsia="Times New Roman"/>
        </w:rPr>
      </w:pPr>
      <w:r>
        <w:rPr>
          <w:rFonts w:eastAsia="Times New Roman"/>
          <w:color w:val="000000"/>
          <w:sz w:val="20"/>
          <w:szCs w:val="20"/>
        </w:rPr>
        <w:t>Operating earnings increased $11 million to $104 million during the three months ended Septemb</w:t>
      </w:r>
      <w:r>
        <w:rPr>
          <w:rFonts w:eastAsia="Times New Roman"/>
          <w:color w:val="000000"/>
          <w:sz w:val="20"/>
          <w:szCs w:val="20"/>
        </w:rPr>
        <w:t>er 30, 2020 from $93 million in three months ended September 30, 2019 primarily attributable to the following:</w:t>
      </w:r>
    </w:p>
    <w:p w:rsidR="00000000" w:rsidRDefault="000C147A">
      <w:pPr>
        <w:ind w:hanging="360"/>
        <w:jc w:val="both"/>
        <w:divId w:val="1513304518"/>
        <w:rPr>
          <w:rFonts w:eastAsia="Times New Roman"/>
        </w:rPr>
      </w:pPr>
      <w:r>
        <w:rPr>
          <w:rFonts w:eastAsia="Times New Roman"/>
          <w:color w:val="000000"/>
          <w:sz w:val="20"/>
          <w:szCs w:val="20"/>
        </w:rPr>
        <w:t>•Increase in fee-type revenues of $33 million primarily due to higher distribution revenues and base fees driven by higher average AUM.</w:t>
      </w:r>
    </w:p>
    <w:p w:rsidR="00000000" w:rsidRDefault="000C147A">
      <w:pPr>
        <w:ind w:hanging="360"/>
        <w:jc w:val="both"/>
        <w:divId w:val="24644791"/>
        <w:rPr>
          <w:rFonts w:eastAsia="Times New Roman"/>
        </w:rPr>
      </w:pPr>
      <w:r>
        <w:rPr>
          <w:rFonts w:eastAsia="Times New Roman"/>
          <w:color w:val="000000"/>
          <w:sz w:val="20"/>
          <w:szCs w:val="20"/>
        </w:rPr>
        <w:t>•Compensa</w:t>
      </w:r>
      <w:r>
        <w:rPr>
          <w:rFonts w:eastAsia="Times New Roman"/>
          <w:color w:val="000000"/>
          <w:sz w:val="20"/>
          <w:szCs w:val="20"/>
        </w:rPr>
        <w:t>tion, benefits and other operating costs and expenses decreased $11 million primarily due to lower compensation and COVID-19 related expense saves.</w:t>
      </w:r>
    </w:p>
    <w:p w:rsidR="00000000" w:rsidRDefault="000C147A">
      <w:pPr>
        <w:ind w:hanging="360"/>
        <w:divId w:val="1574392587"/>
        <w:rPr>
          <w:rFonts w:eastAsia="Times New Roman"/>
        </w:rPr>
      </w:pPr>
      <w:r>
        <w:rPr>
          <w:rFonts w:eastAsia="Times New Roman"/>
          <w:color w:val="000000"/>
          <w:sz w:val="20"/>
          <w:szCs w:val="20"/>
        </w:rPr>
        <w:t>•Net investment income increased $8 million mainly due to gains on seed capital investments, offset by Net d</w:t>
      </w:r>
      <w:r>
        <w:rPr>
          <w:rFonts w:eastAsia="Times New Roman"/>
          <w:color w:val="000000"/>
          <w:sz w:val="20"/>
          <w:szCs w:val="20"/>
        </w:rPr>
        <w:t>erivative losses.</w:t>
      </w:r>
    </w:p>
    <w:p w:rsidR="00000000" w:rsidRDefault="000C147A">
      <w:pPr>
        <w:ind w:firstLine="360"/>
        <w:divId w:val="2124304295"/>
        <w:rPr>
          <w:rFonts w:eastAsia="Times New Roman"/>
        </w:rPr>
      </w:pPr>
      <w:r>
        <w:rPr>
          <w:rFonts w:eastAsia="Times New Roman"/>
          <w:color w:val="000000"/>
          <w:sz w:val="20"/>
          <w:szCs w:val="20"/>
        </w:rPr>
        <w:t xml:space="preserve">The increase was partially offset by the following: </w:t>
      </w:r>
    </w:p>
    <w:p w:rsidR="00000000" w:rsidRDefault="000C147A">
      <w:pPr>
        <w:ind w:hanging="360"/>
        <w:jc w:val="both"/>
        <w:divId w:val="1262639574"/>
        <w:rPr>
          <w:rFonts w:eastAsia="Times New Roman"/>
        </w:rPr>
      </w:pPr>
      <w:r>
        <w:rPr>
          <w:rFonts w:eastAsia="Times New Roman"/>
          <w:color w:val="000000"/>
          <w:sz w:val="20"/>
          <w:szCs w:val="20"/>
        </w:rPr>
        <w:t>•Net derivative gains (losses) decreased $14 million offsetting the increase in Net investment income.</w:t>
      </w:r>
    </w:p>
    <w:p w:rsidR="00000000" w:rsidRDefault="000C147A">
      <w:pPr>
        <w:ind w:hanging="360"/>
        <w:divId w:val="173157619"/>
        <w:rPr>
          <w:rFonts w:eastAsia="Times New Roman"/>
        </w:rPr>
      </w:pPr>
      <w:r>
        <w:rPr>
          <w:rFonts w:eastAsia="Times New Roman"/>
          <w:color w:val="000000"/>
          <w:sz w:val="20"/>
          <w:szCs w:val="20"/>
        </w:rPr>
        <w:t>•Commissions and distribution-related payments increased $20 million due to higher</w:t>
      </w:r>
      <w:r>
        <w:rPr>
          <w:rFonts w:eastAsia="Times New Roman"/>
          <w:color w:val="000000"/>
          <w:sz w:val="20"/>
          <w:szCs w:val="20"/>
        </w:rPr>
        <w:t xml:space="preserve"> payments to financial intermediaries for the distribution of AB mutual funds. </w:t>
      </w:r>
    </w:p>
    <w:p w:rsidR="00000000" w:rsidRDefault="000C147A">
      <w:pPr>
        <w:ind w:firstLine="720"/>
        <w:jc w:val="both"/>
        <w:divId w:val="215699125"/>
        <w:rPr>
          <w:rFonts w:eastAsia="Times New Roman"/>
        </w:rPr>
      </w:pPr>
      <w:r>
        <w:rPr>
          <w:rFonts w:eastAsia="Times New Roman"/>
          <w:b/>
          <w:bCs/>
          <w:i/>
          <w:iCs/>
          <w:color w:val="000000"/>
          <w:sz w:val="20"/>
          <w:szCs w:val="20"/>
        </w:rPr>
        <w:t>Long-Term Net Flows and AUM</w:t>
      </w:r>
    </w:p>
    <w:p w:rsidR="00000000" w:rsidRDefault="000C147A">
      <w:pPr>
        <w:ind w:hanging="360"/>
        <w:divId w:val="234517643"/>
        <w:rPr>
          <w:rFonts w:eastAsia="Times New Roman"/>
        </w:rPr>
      </w:pPr>
      <w:r>
        <w:rPr>
          <w:rFonts w:eastAsia="Times New Roman"/>
          <w:color w:val="000000"/>
          <w:sz w:val="20"/>
          <w:szCs w:val="20"/>
        </w:rPr>
        <w:t xml:space="preserve">•Total AUM as of September 30, 2020 was $630.8 billion, up $30.8 billion, or 5.1%, compared to June 30, 2020. During the third quarter of 2020, AUM </w:t>
      </w:r>
      <w:r>
        <w:rPr>
          <w:rFonts w:eastAsia="Times New Roman"/>
          <w:color w:val="000000"/>
          <w:sz w:val="20"/>
          <w:szCs w:val="20"/>
        </w:rPr>
        <w:t>increased as a result of market appreciation of $27.7 billion and net inflows of $3.1 billion, primarily due to Institutional net inflows of $2.1 billion. Excluding AXA redemptions of $2.2 billion, net inflows were $5.3 billion in the third quarter.</w:t>
      </w:r>
    </w:p>
    <w:p w:rsidR="00000000" w:rsidRDefault="000C147A">
      <w:pPr>
        <w:divId w:val="397827588"/>
        <w:rPr>
          <w:rFonts w:eastAsia="Times New Roman"/>
        </w:rPr>
      </w:pPr>
      <w:r>
        <w:rPr>
          <w:rFonts w:eastAsia="Times New Roman"/>
          <w:b/>
          <w:bCs/>
          <w:color w:val="000000"/>
          <w:sz w:val="20"/>
          <w:szCs w:val="20"/>
        </w:rPr>
        <w:t>Nine M</w:t>
      </w:r>
      <w:r>
        <w:rPr>
          <w:rFonts w:eastAsia="Times New Roman"/>
          <w:b/>
          <w:bCs/>
          <w:color w:val="000000"/>
          <w:sz w:val="20"/>
          <w:szCs w:val="20"/>
        </w:rPr>
        <w:t>onths Ended September 30, 2020 Compared to the Nine Months Ended September 30, 2019 for the Investment Management and Research Segment</w:t>
      </w:r>
    </w:p>
    <w:p w:rsidR="00000000" w:rsidRDefault="000C147A">
      <w:pPr>
        <w:jc w:val="both"/>
        <w:divId w:val="1955481476"/>
        <w:rPr>
          <w:rFonts w:eastAsia="Times New Roman"/>
        </w:rPr>
      </w:pPr>
      <w:r>
        <w:rPr>
          <w:rFonts w:eastAsia="Times New Roman"/>
          <w:b/>
          <w:bCs/>
          <w:i/>
          <w:iCs/>
          <w:color w:val="000000"/>
          <w:sz w:val="20"/>
          <w:szCs w:val="20"/>
        </w:rPr>
        <w:t>Operating earnings</w:t>
      </w:r>
    </w:p>
    <w:p w:rsidR="00000000" w:rsidRDefault="000C147A">
      <w:pPr>
        <w:jc w:val="center"/>
        <w:divId w:val="550504743"/>
        <w:rPr>
          <w:rFonts w:eastAsia="Times New Roman"/>
        </w:rPr>
      </w:pPr>
      <w:r>
        <w:rPr>
          <w:rFonts w:eastAsia="Times New Roman"/>
          <w:color w:val="000000"/>
          <w:sz w:val="20"/>
          <w:szCs w:val="20"/>
        </w:rPr>
        <w:t>108</w:t>
      </w:r>
    </w:p>
    <w:p w:rsidR="00000000" w:rsidRDefault="000C147A">
      <w:pPr>
        <w:rPr>
          <w:rFonts w:eastAsia="Times New Roman"/>
        </w:rPr>
      </w:pPr>
      <w:r>
        <w:rPr>
          <w:rFonts w:eastAsia="Times New Roman"/>
        </w:rPr>
        <w:pict>
          <v:rect id="_x0000_i1134" style="width:0;height:1.5pt" o:hralign="center" o:hrstd="t" o:hr="t" fillcolor="#a0a0a0" stroked="f"/>
        </w:pict>
      </w:r>
    </w:p>
    <w:p w:rsidR="00000000" w:rsidRDefault="000C147A">
      <w:pPr>
        <w:divId w:val="1594705021"/>
        <w:rPr>
          <w:rFonts w:eastAsia="Times New Roman"/>
        </w:rPr>
      </w:pPr>
    </w:p>
    <w:p w:rsidR="00000000" w:rsidRDefault="000C147A">
      <w:pPr>
        <w:ind w:firstLine="360"/>
        <w:divId w:val="1127505389"/>
        <w:rPr>
          <w:rFonts w:eastAsia="Times New Roman"/>
        </w:rPr>
      </w:pPr>
      <w:r>
        <w:rPr>
          <w:rFonts w:eastAsia="Times New Roman"/>
          <w:color w:val="000000"/>
          <w:sz w:val="20"/>
          <w:szCs w:val="20"/>
        </w:rPr>
        <w:t>Operating earnings increased $41 million to $291 million dur</w:t>
      </w:r>
      <w:r>
        <w:rPr>
          <w:rFonts w:eastAsia="Times New Roman"/>
          <w:color w:val="000000"/>
          <w:sz w:val="20"/>
          <w:szCs w:val="20"/>
        </w:rPr>
        <w:t>ing the nine months ended September 30, 2020 from $250 million in nine months ended September 30, 2019 primarily attributable to the following:</w:t>
      </w:r>
    </w:p>
    <w:p w:rsidR="00000000" w:rsidRDefault="000C147A">
      <w:pPr>
        <w:ind w:hanging="360"/>
        <w:jc w:val="both"/>
        <w:divId w:val="1606770552"/>
        <w:rPr>
          <w:rFonts w:eastAsia="Times New Roman"/>
        </w:rPr>
      </w:pPr>
      <w:r>
        <w:rPr>
          <w:rFonts w:eastAsia="Times New Roman"/>
          <w:color w:val="000000"/>
          <w:sz w:val="20"/>
          <w:szCs w:val="20"/>
        </w:rPr>
        <w:t>•Increase in fee-type revenues of $168 million primarily due to higher base fees and distribution revenues drive</w:t>
      </w:r>
      <w:r>
        <w:rPr>
          <w:rFonts w:eastAsia="Times New Roman"/>
          <w:color w:val="000000"/>
          <w:sz w:val="20"/>
          <w:szCs w:val="20"/>
        </w:rPr>
        <w:t>n by higher average AUM, and higher Bernstein Research Services revenues.</w:t>
      </w:r>
    </w:p>
    <w:p w:rsidR="00000000" w:rsidRDefault="000C147A">
      <w:pPr>
        <w:ind w:hanging="360"/>
        <w:divId w:val="546071802"/>
        <w:rPr>
          <w:rFonts w:eastAsia="Times New Roman"/>
        </w:rPr>
      </w:pPr>
      <w:r>
        <w:rPr>
          <w:rFonts w:eastAsia="Times New Roman"/>
          <w:color w:val="000000"/>
          <w:sz w:val="20"/>
          <w:szCs w:val="20"/>
        </w:rPr>
        <w:t>•Net derivative losses decreased $14 million partially offsetting the decrease in Net investment income.</w:t>
      </w:r>
    </w:p>
    <w:p w:rsidR="00000000" w:rsidRDefault="000C147A">
      <w:pPr>
        <w:ind w:firstLine="360"/>
        <w:divId w:val="1973904957"/>
        <w:rPr>
          <w:rFonts w:eastAsia="Times New Roman"/>
        </w:rPr>
      </w:pPr>
      <w:r>
        <w:rPr>
          <w:rFonts w:eastAsia="Times New Roman"/>
          <w:color w:val="000000"/>
          <w:sz w:val="20"/>
          <w:szCs w:val="20"/>
        </w:rPr>
        <w:t xml:space="preserve">The increase was partially offset by the following: </w:t>
      </w:r>
    </w:p>
    <w:p w:rsidR="00000000" w:rsidRDefault="000C147A">
      <w:pPr>
        <w:ind w:hanging="360"/>
        <w:jc w:val="both"/>
        <w:divId w:val="1330132868"/>
        <w:rPr>
          <w:rFonts w:eastAsia="Times New Roman"/>
        </w:rPr>
      </w:pPr>
      <w:r>
        <w:rPr>
          <w:rFonts w:eastAsia="Times New Roman"/>
          <w:color w:val="000000"/>
          <w:sz w:val="20"/>
          <w:szCs w:val="20"/>
        </w:rPr>
        <w:t>•Decrease in Net investm</w:t>
      </w:r>
      <w:r>
        <w:rPr>
          <w:rFonts w:eastAsia="Times New Roman"/>
          <w:color w:val="000000"/>
          <w:sz w:val="20"/>
          <w:szCs w:val="20"/>
        </w:rPr>
        <w:t>ent income of $32 million mainly due to the seed capital investment subject to market risk, partially offset by lower Net derivative losses.</w:t>
      </w:r>
    </w:p>
    <w:p w:rsidR="00000000" w:rsidRDefault="000C147A">
      <w:pPr>
        <w:ind w:hanging="360"/>
        <w:jc w:val="both"/>
        <w:divId w:val="1851680373"/>
        <w:rPr>
          <w:rFonts w:eastAsia="Times New Roman"/>
        </w:rPr>
      </w:pPr>
      <w:r>
        <w:rPr>
          <w:rFonts w:eastAsia="Times New Roman"/>
          <w:color w:val="000000"/>
          <w:sz w:val="20"/>
          <w:szCs w:val="20"/>
        </w:rPr>
        <w:t>•Commissions and distribution-related payments increased $64 million due to higher payments to financial intermedia</w:t>
      </w:r>
      <w:r>
        <w:rPr>
          <w:rFonts w:eastAsia="Times New Roman"/>
          <w:color w:val="000000"/>
          <w:sz w:val="20"/>
          <w:szCs w:val="20"/>
        </w:rPr>
        <w:t xml:space="preserve">ries for the distribution of AB mutual funds. </w:t>
      </w:r>
    </w:p>
    <w:p w:rsidR="00000000" w:rsidRDefault="000C147A">
      <w:pPr>
        <w:ind w:hanging="360"/>
        <w:jc w:val="both"/>
        <w:divId w:val="1038891835"/>
        <w:rPr>
          <w:rFonts w:eastAsia="Times New Roman"/>
        </w:rPr>
      </w:pPr>
      <w:r>
        <w:rPr>
          <w:rFonts w:eastAsia="Times New Roman"/>
          <w:color w:val="000000"/>
          <w:sz w:val="20"/>
          <w:szCs w:val="20"/>
        </w:rPr>
        <w:t>•Compensation, benefits and other operating costs and expenses increased $14 million primarily due to higher employee compensation attributed to higher revenues.</w:t>
      </w:r>
    </w:p>
    <w:p w:rsidR="00000000" w:rsidRDefault="000C147A">
      <w:pPr>
        <w:ind w:hanging="360"/>
        <w:jc w:val="both"/>
        <w:divId w:val="1292370288"/>
        <w:rPr>
          <w:rFonts w:eastAsia="Times New Roman"/>
        </w:rPr>
      </w:pPr>
      <w:r>
        <w:rPr>
          <w:rFonts w:eastAsia="Times New Roman"/>
          <w:color w:val="000000"/>
          <w:sz w:val="20"/>
          <w:szCs w:val="20"/>
        </w:rPr>
        <w:t>•</w:t>
      </w:r>
      <w:r>
        <w:rPr>
          <w:rFonts w:eastAsia="Times New Roman"/>
          <w:color w:val="000000"/>
          <w:sz w:val="20"/>
          <w:szCs w:val="20"/>
        </w:rPr>
        <w:t>Earnings attributable to the noncontrolling interest increased by $26 million due to higher pre-tax earnings.</w:t>
      </w:r>
    </w:p>
    <w:p w:rsidR="00000000" w:rsidRDefault="000C147A">
      <w:pPr>
        <w:ind w:hanging="360"/>
        <w:divId w:val="792207807"/>
        <w:rPr>
          <w:rFonts w:eastAsia="Times New Roman"/>
        </w:rPr>
      </w:pPr>
      <w:r>
        <w:rPr>
          <w:rFonts w:eastAsia="Times New Roman"/>
          <w:color w:val="000000"/>
          <w:sz w:val="20"/>
          <w:szCs w:val="20"/>
        </w:rPr>
        <w:t>•Income tax expense increased $9 million due to higher pre-tax earnings, partially offset by a lower effective tax rate in the nine months ended S</w:t>
      </w:r>
      <w:r>
        <w:rPr>
          <w:rFonts w:eastAsia="Times New Roman"/>
          <w:color w:val="000000"/>
          <w:sz w:val="20"/>
          <w:szCs w:val="20"/>
        </w:rPr>
        <w:t>eptember 20,2020.</w:t>
      </w:r>
    </w:p>
    <w:p w:rsidR="00000000" w:rsidRDefault="000C147A">
      <w:pPr>
        <w:jc w:val="both"/>
        <w:divId w:val="937254555"/>
        <w:rPr>
          <w:rFonts w:eastAsia="Times New Roman"/>
        </w:rPr>
      </w:pPr>
      <w:r>
        <w:rPr>
          <w:rFonts w:eastAsia="Times New Roman"/>
          <w:b/>
          <w:bCs/>
          <w:i/>
          <w:iCs/>
          <w:color w:val="000000"/>
          <w:sz w:val="20"/>
          <w:szCs w:val="20"/>
        </w:rPr>
        <w:t>Long-Term Net Flows and AUM</w:t>
      </w:r>
    </w:p>
    <w:p w:rsidR="00000000" w:rsidRDefault="000C147A">
      <w:pPr>
        <w:ind w:hanging="360"/>
        <w:jc w:val="both"/>
        <w:divId w:val="334041382"/>
        <w:rPr>
          <w:rFonts w:eastAsia="Times New Roman"/>
        </w:rPr>
      </w:pPr>
      <w:r>
        <w:rPr>
          <w:rFonts w:eastAsia="Times New Roman"/>
          <w:color w:val="000000"/>
          <w:sz w:val="20"/>
          <w:szCs w:val="20"/>
        </w:rPr>
        <w:t>•Total AUM as of September 30, 2020 was $630.8 billion, up $38.4 billion, or 6.5%, compared to September 30, 2019. During the twelve months ended September 30, 2020, AUM increased as a result of market apprecia</w:t>
      </w:r>
      <w:r>
        <w:rPr>
          <w:rFonts w:eastAsia="Times New Roman"/>
          <w:color w:val="000000"/>
          <w:sz w:val="20"/>
          <w:szCs w:val="20"/>
        </w:rPr>
        <w:t>tion of $37.4 billion and net inflows of $0.8 billion (Retail net inflows of $4.3 billion were partially offset by Institutional net outflows of $2.5 billion and Private Wealth Management net outflows of $1.0 billion). Excluding AXA’s redemption of $11.1 b</w:t>
      </w:r>
      <w:r>
        <w:rPr>
          <w:rFonts w:eastAsia="Times New Roman"/>
          <w:color w:val="000000"/>
          <w:sz w:val="20"/>
          <w:szCs w:val="20"/>
        </w:rPr>
        <w:t>illion in the first nine months of 2020, net inflows were $11.9 billion during the twelve months ended September 30, 2020.</w:t>
      </w:r>
    </w:p>
    <w:p w:rsidR="00000000" w:rsidRDefault="000C147A">
      <w:pPr>
        <w:divId w:val="2023242435"/>
        <w:rPr>
          <w:rFonts w:eastAsia="Times New Roman"/>
        </w:rPr>
      </w:pPr>
      <w:r>
        <w:rPr>
          <w:rFonts w:eastAsia="Times New Roman"/>
          <w:b/>
          <w:bCs/>
          <w:color w:val="000000"/>
          <w:sz w:val="20"/>
          <w:szCs w:val="20"/>
        </w:rPr>
        <w:t>Protection Solutions</w:t>
      </w:r>
    </w:p>
    <w:p w:rsidR="00000000" w:rsidRDefault="000C147A">
      <w:pPr>
        <w:ind w:firstLine="360"/>
        <w:divId w:val="1601796189"/>
        <w:rPr>
          <w:rFonts w:eastAsia="Times New Roman"/>
        </w:rPr>
      </w:pPr>
      <w:r>
        <w:rPr>
          <w:rFonts w:eastAsia="Times New Roman"/>
          <w:color w:val="000000"/>
          <w:sz w:val="20"/>
          <w:szCs w:val="20"/>
        </w:rPr>
        <w:t>The Protection Solutions segment includes our life insurance and employee benefits businesses. We provide a targ</w:t>
      </w:r>
      <w:r>
        <w:rPr>
          <w:rFonts w:eastAsia="Times New Roman"/>
          <w:color w:val="000000"/>
          <w:sz w:val="20"/>
          <w:szCs w:val="20"/>
        </w:rPr>
        <w:t>eted range of products aimed at serving the financial needs of our clients throughout their lives, including VUL, IUL and term life products. In 2015, we entered the employee benefits market and currently offer a suite of dental, vision, life, as well as s</w:t>
      </w:r>
      <w:r>
        <w:rPr>
          <w:rFonts w:eastAsia="Times New Roman"/>
          <w:color w:val="000000"/>
          <w:sz w:val="20"/>
          <w:szCs w:val="20"/>
        </w:rPr>
        <w:t>hort- and long-term disability insurance products to small and medium-size businesses.</w:t>
      </w:r>
    </w:p>
    <w:p w:rsidR="00000000" w:rsidRDefault="000C147A">
      <w:pPr>
        <w:ind w:firstLine="360"/>
        <w:divId w:val="673066513"/>
        <w:rPr>
          <w:rFonts w:eastAsia="Times New Roman"/>
        </w:rPr>
      </w:pPr>
      <w:r>
        <w:rPr>
          <w:rFonts w:eastAsia="Times New Roman"/>
          <w:color w:val="000000"/>
          <w:sz w:val="20"/>
          <w:szCs w:val="20"/>
        </w:rPr>
        <w:t>In recent years, we have refocused our product offering and distribution towards less capital intensive, higher return accumulation and protection products. We plan to i</w:t>
      </w:r>
      <w:r>
        <w:rPr>
          <w:rFonts w:eastAsia="Times New Roman"/>
          <w:color w:val="000000"/>
          <w:sz w:val="20"/>
          <w:szCs w:val="20"/>
        </w:rPr>
        <w:t>mprove our Operating earnings over time through earnings generated from sales of our repositioned product portfolio and by proactively managing and optimizing our in-force book.</w:t>
      </w:r>
    </w:p>
    <w:p w:rsidR="00000000" w:rsidRDefault="000C147A">
      <w:pPr>
        <w:ind w:firstLine="360"/>
        <w:divId w:val="1256668540"/>
        <w:rPr>
          <w:rFonts w:eastAsia="Times New Roman"/>
        </w:rPr>
      </w:pPr>
      <w:r>
        <w:rPr>
          <w:rFonts w:eastAsia="Times New Roman"/>
          <w:color w:val="000000"/>
          <w:sz w:val="20"/>
          <w:szCs w:val="20"/>
        </w:rPr>
        <w:t>The following table summarizes Operating earnings (loss) of our Protection Sol</w:t>
      </w:r>
      <w:r>
        <w:rPr>
          <w:rFonts w:eastAsia="Times New Roman"/>
          <w:color w:val="000000"/>
          <w:sz w:val="20"/>
          <w:szCs w:val="20"/>
        </w:rPr>
        <w:t>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356392712"/>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35639271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56392712"/>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35639271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35639271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jc w:val="center"/>
        <w:divId w:val="71586319"/>
        <w:rPr>
          <w:rFonts w:eastAsia="Times New Roman"/>
        </w:rPr>
      </w:pPr>
      <w:r>
        <w:rPr>
          <w:rFonts w:eastAsia="Times New Roman"/>
          <w:color w:val="000000"/>
          <w:sz w:val="20"/>
          <w:szCs w:val="20"/>
        </w:rPr>
        <w:t>109</w:t>
      </w:r>
    </w:p>
    <w:p w:rsidR="00000000" w:rsidRDefault="000C147A">
      <w:pPr>
        <w:rPr>
          <w:rFonts w:eastAsia="Times New Roman"/>
        </w:rPr>
      </w:pPr>
      <w:r>
        <w:rPr>
          <w:rFonts w:eastAsia="Times New Roman"/>
        </w:rPr>
        <w:pict>
          <v:rect id="_x0000_i1135" style="width:0;height:1.5pt" o:hralign="center" o:hrstd="t" o:hr="t" fillcolor="#a0a0a0" stroked="f"/>
        </w:pict>
      </w:r>
    </w:p>
    <w:p w:rsidR="00000000" w:rsidRDefault="000C147A">
      <w:pPr>
        <w:divId w:val="2131438570"/>
        <w:rPr>
          <w:rFonts w:eastAsia="Times New Roman"/>
        </w:rPr>
      </w:pPr>
    </w:p>
    <w:p w:rsidR="00000000" w:rsidRDefault="000C147A">
      <w:pPr>
        <w:ind w:firstLine="360"/>
        <w:divId w:val="1364478001"/>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460"/>
        <w:gridCol w:w="37"/>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218323746"/>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1832374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Compensation, benef</w:t>
            </w:r>
            <w:r>
              <w:rPr>
                <w:rFonts w:eastAsia="Times New Roman"/>
                <w:color w:val="000000"/>
                <w:sz w:val="20"/>
                <w:szCs w:val="20"/>
              </w:rPr>
              <w:t>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8323746"/>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b/>
                <w:bCs/>
                <w:color w:val="000000"/>
                <w:sz w:val="20"/>
                <w:szCs w:val="20"/>
              </w:rPr>
              <w:t>Segment benefits and other deductions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firstLine="360"/>
        <w:divId w:val="1493567769"/>
        <w:rPr>
          <w:rFonts w:eastAsia="Times New Roman"/>
        </w:rPr>
      </w:pPr>
      <w:r>
        <w:rPr>
          <w:rFonts w:eastAsia="Times New Roman"/>
          <w:color w:val="000000"/>
          <w:sz w:val="20"/>
          <w:szCs w:val="20"/>
        </w:rPr>
        <w:t>The following table summarizes Protection Solutions Reserves for our Protection Solutions segment as of the dates presen</w:t>
      </w:r>
      <w:r>
        <w:rPr>
          <w:rFonts w:eastAsia="Times New Roman"/>
          <w:color w:val="000000"/>
          <w:sz w:val="20"/>
          <w:szCs w:val="20"/>
        </w:rPr>
        <w:t>ted:</w:t>
      </w:r>
    </w:p>
    <w:tbl>
      <w:tblPr>
        <w:tblW w:w="4992" w:type="pct"/>
        <w:tblCellMar>
          <w:top w:w="15" w:type="dxa"/>
          <w:left w:w="15" w:type="dxa"/>
          <w:bottom w:w="15" w:type="dxa"/>
          <w:right w:w="15" w:type="dxa"/>
        </w:tblCellMar>
        <w:tblLook w:val="04A0" w:firstRow="1" w:lastRow="0" w:firstColumn="1" w:lastColumn="0" w:noHBand="0" w:noVBand="1"/>
      </w:tblPr>
      <w:tblGrid>
        <w:gridCol w:w="37"/>
        <w:gridCol w:w="5592"/>
        <w:gridCol w:w="36"/>
        <w:gridCol w:w="121"/>
        <w:gridCol w:w="1014"/>
        <w:gridCol w:w="36"/>
        <w:gridCol w:w="36"/>
        <w:gridCol w:w="36"/>
        <w:gridCol w:w="36"/>
        <w:gridCol w:w="120"/>
        <w:gridCol w:w="977"/>
        <w:gridCol w:w="36"/>
        <w:gridCol w:w="36"/>
        <w:gridCol w:w="36"/>
        <w:gridCol w:w="36"/>
        <w:gridCol w:w="36"/>
        <w:gridCol w:w="36"/>
        <w:gridCol w:w="36"/>
      </w:tblGrid>
      <w:tr w:rsidR="00000000">
        <w:trPr>
          <w:divId w:val="1749031340"/>
        </w:trPr>
        <w:tc>
          <w:tcPr>
            <w:tcW w:w="50" w:type="pct"/>
            <w:vAlign w:val="center"/>
            <w:hideMark/>
          </w:tcPr>
          <w:p w:rsidR="00000000" w:rsidRDefault="000C147A">
            <w:pPr>
              <w:ind w:firstLine="360"/>
              <w:rPr>
                <w:rFonts w:eastAsia="Times New Roman"/>
              </w:rPr>
            </w:pPr>
          </w:p>
        </w:tc>
        <w:tc>
          <w:tcPr>
            <w:tcW w:w="3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490313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49031340"/>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7490313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749031340"/>
        </w:trPr>
        <w:tc>
          <w:tcPr>
            <w:tcW w:w="0" w:type="auto"/>
            <w:gridSpan w:val="3"/>
            <w:tcMar>
              <w:top w:w="30" w:type="dxa"/>
              <w:left w:w="20" w:type="dxa"/>
              <w:bottom w:w="30" w:type="dxa"/>
              <w:right w:w="20" w:type="dxa"/>
            </w:tcMar>
            <w:hideMark/>
          </w:tcPr>
          <w:p w:rsidR="00000000" w:rsidRDefault="000C147A">
            <w:pPr>
              <w:ind w:firstLine="360"/>
              <w:rPr>
                <w:rFonts w:eastAsia="Times New Roman"/>
              </w:rPr>
            </w:pPr>
            <w:r>
              <w:rPr>
                <w:rFonts w:eastAsia="Times New Roman"/>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0C147A">
            <w:pPr>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49031340"/>
        </w:trPr>
        <w:tc>
          <w:tcPr>
            <w:tcW w:w="0" w:type="auto"/>
            <w:gridSpan w:val="3"/>
            <w:shd w:val="clear" w:color="auto" w:fill="CCEEFF"/>
            <w:tcMar>
              <w:top w:w="30" w:type="dxa"/>
              <w:left w:w="20" w:type="dxa"/>
              <w:bottom w:w="30" w:type="dxa"/>
              <w:right w:w="20" w:type="dxa"/>
            </w:tcMar>
            <w:hideMark/>
          </w:tcPr>
          <w:p w:rsidR="00000000" w:rsidRDefault="000C147A">
            <w:pPr>
              <w:ind w:firstLine="36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17,300 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49031340"/>
        </w:trPr>
        <w:tc>
          <w:tcPr>
            <w:tcW w:w="0" w:type="auto"/>
            <w:gridSpan w:val="3"/>
            <w:shd w:val="clear" w:color="auto" w:fill="FFFFFF"/>
            <w:tcMar>
              <w:top w:w="30" w:type="dxa"/>
              <w:left w:w="20" w:type="dxa"/>
              <w:bottom w:w="30" w:type="dxa"/>
              <w:right w:w="20" w:type="dxa"/>
            </w:tcMar>
            <w:hideMark/>
          </w:tcPr>
          <w:p w:rsidR="00000000" w:rsidRDefault="000C147A">
            <w:pPr>
              <w:ind w:firstLine="36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13,616 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749031340"/>
        </w:trPr>
        <w:tc>
          <w:tcPr>
            <w:tcW w:w="0" w:type="auto"/>
            <w:gridSpan w:val="3"/>
            <w:shd w:val="clear" w:color="auto" w:fill="CCEEFF"/>
            <w:tcMar>
              <w:top w:w="30" w:type="dxa"/>
              <w:left w:w="20" w:type="dxa"/>
              <w:bottom w:w="30" w:type="dxa"/>
              <w:right w:w="20" w:type="dxa"/>
            </w:tcMar>
            <w:hideMark/>
          </w:tcPr>
          <w:p w:rsidR="00000000" w:rsidRDefault="000C147A">
            <w:pPr>
              <w:ind w:firstLine="360"/>
              <w:rPr>
                <w:rFonts w:eastAsia="Times New Roman"/>
              </w:rPr>
            </w:pPr>
            <w:r>
              <w:rPr>
                <w:rFonts w:eastAsia="Times New Roman"/>
                <w:color w:val="000000"/>
                <w:sz w:val="20"/>
                <w:szCs w:val="20"/>
              </w:rPr>
              <w:t>Total Protection Solutions Reserves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31,881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30,916 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1826119415"/>
        <w:rPr>
          <w:rFonts w:eastAsia="Times New Roman"/>
        </w:rPr>
      </w:pPr>
      <w:r>
        <w:rPr>
          <w:rFonts w:eastAsia="Times New Roman"/>
          <w:color w:val="000000"/>
          <w:sz w:val="18"/>
          <w:szCs w:val="18"/>
        </w:rPr>
        <w:t>_______________</w:t>
      </w:r>
    </w:p>
    <w:p w:rsidR="00000000" w:rsidRDefault="000C147A">
      <w:pPr>
        <w:ind w:hanging="360"/>
        <w:divId w:val="1197426298"/>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0C147A">
      <w:pPr>
        <w:ind w:firstLine="360"/>
        <w:divId w:val="1630359298"/>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tbl>
      <w:tblPr>
        <w:tblW w:w="4992" w:type="pct"/>
        <w:tblCellMar>
          <w:top w:w="15" w:type="dxa"/>
          <w:left w:w="15" w:type="dxa"/>
          <w:bottom w:w="15" w:type="dxa"/>
          <w:right w:w="15" w:type="dxa"/>
        </w:tblCellMar>
        <w:tblLook w:val="04A0" w:firstRow="1" w:lastRow="0" w:firstColumn="1" w:lastColumn="0" w:noHBand="0" w:noVBand="1"/>
      </w:tblPr>
      <w:tblGrid>
        <w:gridCol w:w="38"/>
        <w:gridCol w:w="5591"/>
        <w:gridCol w:w="37"/>
        <w:gridCol w:w="121"/>
        <w:gridCol w:w="1014"/>
        <w:gridCol w:w="36"/>
        <w:gridCol w:w="36"/>
        <w:gridCol w:w="36"/>
        <w:gridCol w:w="36"/>
        <w:gridCol w:w="121"/>
        <w:gridCol w:w="975"/>
        <w:gridCol w:w="36"/>
        <w:gridCol w:w="36"/>
        <w:gridCol w:w="36"/>
        <w:gridCol w:w="36"/>
        <w:gridCol w:w="36"/>
        <w:gridCol w:w="36"/>
        <w:gridCol w:w="36"/>
      </w:tblGrid>
      <w:tr w:rsidR="00000000">
        <w:trPr>
          <w:divId w:val="1220477813"/>
        </w:trPr>
        <w:tc>
          <w:tcPr>
            <w:tcW w:w="50" w:type="pct"/>
            <w:vAlign w:val="center"/>
            <w:hideMark/>
          </w:tcPr>
          <w:p w:rsidR="00000000" w:rsidRDefault="000C147A">
            <w:pPr>
              <w:ind w:firstLine="360"/>
              <w:rPr>
                <w:rFonts w:eastAsia="Times New Roman"/>
              </w:rPr>
            </w:pPr>
          </w:p>
        </w:tc>
        <w:tc>
          <w:tcPr>
            <w:tcW w:w="34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22047781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122047781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127.5 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22047781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in-force face amount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ind w:hanging="360"/>
        <w:divId w:val="588268691"/>
        <w:rPr>
          <w:rFonts w:eastAsia="Times New Roman"/>
        </w:rPr>
      </w:pPr>
      <w:r>
        <w:rPr>
          <w:rFonts w:eastAsia="Times New Roman"/>
          <w:color w:val="000000"/>
          <w:sz w:val="18"/>
          <w:szCs w:val="18"/>
        </w:rPr>
        <w:t>_______________</w:t>
      </w:r>
    </w:p>
    <w:p w:rsidR="00000000" w:rsidRDefault="000C147A">
      <w:pPr>
        <w:ind w:hanging="360"/>
        <w:divId w:val="1644652073"/>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0C147A">
      <w:pPr>
        <w:ind w:hanging="360"/>
        <w:divId w:val="1770080246"/>
        <w:rPr>
          <w:rFonts w:eastAsia="Times New Roman"/>
        </w:rPr>
      </w:pPr>
      <w:r>
        <w:rPr>
          <w:rFonts w:eastAsia="Times New Roman"/>
          <w:color w:val="000000"/>
          <w:sz w:val="18"/>
          <w:szCs w:val="18"/>
        </w:rPr>
        <w:t>(2)Universal Life includes Guaranteed Universal Life.</w:t>
      </w:r>
    </w:p>
    <w:p w:rsidR="00000000" w:rsidRDefault="000C147A">
      <w:pPr>
        <w:ind w:hanging="360"/>
        <w:divId w:val="1159539243"/>
        <w:rPr>
          <w:rFonts w:eastAsia="Times New Roman"/>
        </w:rPr>
      </w:pPr>
      <w:r>
        <w:rPr>
          <w:rFonts w:eastAsia="Times New Roman"/>
          <w:color w:val="000000"/>
          <w:sz w:val="18"/>
          <w:szCs w:val="18"/>
        </w:rPr>
        <w:t>(3)Variable Universal Life includes VL and COLI.</w:t>
      </w:r>
    </w:p>
    <w:p w:rsidR="00000000" w:rsidRDefault="000C147A">
      <w:pPr>
        <w:jc w:val="center"/>
        <w:divId w:val="1458254980"/>
        <w:rPr>
          <w:rFonts w:eastAsia="Times New Roman"/>
        </w:rPr>
      </w:pPr>
      <w:r>
        <w:rPr>
          <w:rFonts w:eastAsia="Times New Roman"/>
          <w:color w:val="000000"/>
          <w:sz w:val="20"/>
          <w:szCs w:val="20"/>
        </w:rPr>
        <w:t>11</w:t>
      </w:r>
      <w:r>
        <w:rPr>
          <w:rFonts w:eastAsia="Times New Roman"/>
          <w:color w:val="000000"/>
          <w:sz w:val="20"/>
          <w:szCs w:val="20"/>
        </w:rPr>
        <w:t>0</w:t>
      </w:r>
    </w:p>
    <w:p w:rsidR="00000000" w:rsidRDefault="000C147A">
      <w:pPr>
        <w:rPr>
          <w:rFonts w:eastAsia="Times New Roman"/>
        </w:rPr>
      </w:pPr>
      <w:r>
        <w:rPr>
          <w:rFonts w:eastAsia="Times New Roman"/>
        </w:rPr>
        <w:pict>
          <v:rect id="_x0000_i1136" style="width:0;height:1.5pt" o:hralign="center" o:hrstd="t" o:hr="t" fillcolor="#a0a0a0" stroked="f"/>
        </w:pict>
      </w:r>
    </w:p>
    <w:p w:rsidR="00000000" w:rsidRDefault="000C147A">
      <w:pPr>
        <w:divId w:val="1917518892"/>
        <w:rPr>
          <w:rFonts w:eastAsia="Times New Roman"/>
        </w:rPr>
      </w:pPr>
    </w:p>
    <w:p w:rsidR="00000000" w:rsidRDefault="000C147A">
      <w:pPr>
        <w:divId w:val="939335246"/>
        <w:rPr>
          <w:rFonts w:eastAsia="Times New Roman"/>
        </w:rPr>
      </w:pPr>
      <w:r>
        <w:rPr>
          <w:rFonts w:eastAsia="Times New Roman"/>
          <w:b/>
          <w:bCs/>
          <w:color w:val="000000"/>
          <w:sz w:val="20"/>
          <w:szCs w:val="20"/>
        </w:rPr>
        <w:t>Three Months Ended September 30, 2020 Compared to the Three Months Ended September 30, 2019 for the Protection Solutions Segment</w:t>
      </w:r>
    </w:p>
    <w:p w:rsidR="00000000" w:rsidRDefault="000C147A">
      <w:pPr>
        <w:jc w:val="both"/>
        <w:divId w:val="627711568"/>
        <w:rPr>
          <w:rFonts w:eastAsia="Times New Roman"/>
        </w:rPr>
      </w:pPr>
      <w:r>
        <w:rPr>
          <w:rFonts w:eastAsia="Times New Roman"/>
          <w:b/>
          <w:bCs/>
          <w:i/>
          <w:iCs/>
          <w:color w:val="000000"/>
          <w:sz w:val="20"/>
          <w:szCs w:val="20"/>
        </w:rPr>
        <w:t>Operating earnings (loss)</w:t>
      </w:r>
    </w:p>
    <w:p w:rsidR="00000000" w:rsidRDefault="000C147A">
      <w:pPr>
        <w:ind w:firstLine="360"/>
        <w:divId w:val="1723216440"/>
        <w:rPr>
          <w:rFonts w:eastAsia="Times New Roman"/>
        </w:rPr>
      </w:pPr>
      <w:r>
        <w:rPr>
          <w:rFonts w:eastAsia="Times New Roman"/>
          <w:color w:val="000000"/>
          <w:sz w:val="20"/>
          <w:szCs w:val="20"/>
        </w:rPr>
        <w:t>Operating earnings decreased $49 million to $51 million during the three months ended September 30, 2020 from $100 million in the three months ended September 30, 2019 primarily attributable to the following:</w:t>
      </w:r>
    </w:p>
    <w:p w:rsidR="00000000" w:rsidRDefault="000C147A">
      <w:pPr>
        <w:ind w:hanging="270"/>
        <w:jc w:val="both"/>
        <w:divId w:val="394668712"/>
        <w:rPr>
          <w:rFonts w:eastAsia="Times New Roman"/>
        </w:rPr>
      </w:pPr>
      <w:r>
        <w:rPr>
          <w:rFonts w:eastAsia="Times New Roman"/>
          <w:color w:val="000000"/>
          <w:sz w:val="20"/>
          <w:szCs w:val="20"/>
        </w:rPr>
        <w:t>•Fee-type revenue decreased $106 million mainly</w:t>
      </w:r>
      <w:r>
        <w:rPr>
          <w:rFonts w:eastAsia="Times New Roman"/>
          <w:color w:val="000000"/>
          <w:sz w:val="20"/>
          <w:szCs w:val="20"/>
        </w:rPr>
        <w:t xml:space="preserve"> driven by the $24 million unfavorable impact of assumption updates in 2020 compared to $3 million favorable impact of assumption updates in 2019, lower premiums reflecting the impact of the sale of USFL and MLICA, lower premiums on traditional products, a</w:t>
      </w:r>
      <w:r>
        <w:rPr>
          <w:rFonts w:eastAsia="Times New Roman"/>
          <w:color w:val="000000"/>
          <w:sz w:val="20"/>
          <w:szCs w:val="20"/>
        </w:rPr>
        <w:t xml:space="preserve">s well as higher ceded premiums. </w:t>
      </w:r>
    </w:p>
    <w:p w:rsidR="00000000" w:rsidRDefault="000C147A">
      <w:pPr>
        <w:ind w:hanging="270"/>
        <w:divId w:val="75901586"/>
        <w:rPr>
          <w:rFonts w:eastAsia="Times New Roman"/>
        </w:rPr>
      </w:pPr>
      <w:r>
        <w:rPr>
          <w:rFonts w:eastAsia="Times New Roman"/>
          <w:color w:val="000000"/>
          <w:sz w:val="20"/>
          <w:szCs w:val="20"/>
        </w:rPr>
        <w:t xml:space="preserve">•Policyholders’ benefits increased $96 million mainly driven by the $31 million unfavorable impact of assumption updates in 2020 compared to the $42 million favorable impact of assumption updates in 2019 and the favorable </w:t>
      </w:r>
      <w:r>
        <w:rPr>
          <w:rFonts w:eastAsia="Times New Roman"/>
          <w:color w:val="000000"/>
          <w:sz w:val="20"/>
          <w:szCs w:val="20"/>
        </w:rPr>
        <w:t>2019 reserve adjustment on our disability deduction waiver rider reserves, the re-establishment of PFBL reserve upon exiting loss recognition and an increase in term and employee benefits product reserves. The increase in Policyholders’ benefits was partia</w:t>
      </w:r>
      <w:r>
        <w:rPr>
          <w:rFonts w:eastAsia="Times New Roman"/>
          <w:color w:val="000000"/>
          <w:sz w:val="20"/>
          <w:szCs w:val="20"/>
        </w:rPr>
        <w:t>lly offset by favorable net mortality and lower policyholders’ benefits reflecting the impact of the sale of USFL and MLICA.</w:t>
      </w:r>
    </w:p>
    <w:p w:rsidR="00000000" w:rsidRDefault="000C147A">
      <w:pPr>
        <w:ind w:hanging="360"/>
        <w:jc w:val="both"/>
        <w:divId w:val="653265143"/>
        <w:rPr>
          <w:rFonts w:eastAsia="Times New Roman"/>
        </w:rPr>
      </w:pPr>
      <w:r>
        <w:rPr>
          <w:rFonts w:eastAsia="Times New Roman"/>
          <w:color w:val="000000"/>
          <w:sz w:val="20"/>
          <w:szCs w:val="20"/>
        </w:rPr>
        <w:t>This decrease was partially offset by the following:</w:t>
      </w:r>
    </w:p>
    <w:p w:rsidR="00000000" w:rsidRDefault="000C147A">
      <w:pPr>
        <w:ind w:hanging="270"/>
        <w:jc w:val="both"/>
        <w:divId w:val="1942493357"/>
        <w:rPr>
          <w:rFonts w:eastAsia="Times New Roman"/>
        </w:rPr>
      </w:pPr>
      <w:r>
        <w:rPr>
          <w:rFonts w:eastAsia="Times New Roman"/>
          <w:color w:val="000000"/>
          <w:sz w:val="20"/>
          <w:szCs w:val="20"/>
        </w:rPr>
        <w:t>•Amortization of DAC decreased $136 million mainly due to the $58 million favo</w:t>
      </w:r>
      <w:r>
        <w:rPr>
          <w:rFonts w:eastAsia="Times New Roman"/>
          <w:color w:val="000000"/>
          <w:sz w:val="20"/>
          <w:szCs w:val="20"/>
        </w:rPr>
        <w:t xml:space="preserve">rable impact of assumption updates in 2020 compared to the $49 million unfavorable impact of assumption updates in 2019 and the unfavorable impact of the update to reinsurance projections in 2019. Baseline amortization in 2020 is lower than 2019, post the </w:t>
      </w:r>
      <w:r>
        <w:rPr>
          <w:rFonts w:eastAsia="Times New Roman"/>
          <w:color w:val="000000"/>
          <w:sz w:val="20"/>
          <w:szCs w:val="20"/>
        </w:rPr>
        <w:t>2020 assumption updates.</w:t>
      </w:r>
    </w:p>
    <w:p w:rsidR="00000000" w:rsidRDefault="000C147A">
      <w:pPr>
        <w:ind w:hanging="270"/>
        <w:divId w:val="792753940"/>
        <w:rPr>
          <w:rFonts w:eastAsia="Times New Roman"/>
        </w:rPr>
      </w:pPr>
      <w:r>
        <w:rPr>
          <w:rFonts w:eastAsia="Times New Roman"/>
          <w:color w:val="000000"/>
          <w:sz w:val="20"/>
          <w:szCs w:val="20"/>
        </w:rPr>
        <w:t>•Income tax expense decreased $11 million due to lower pre-tax earnings.</w:t>
      </w:r>
    </w:p>
    <w:p w:rsidR="00000000" w:rsidRDefault="000C147A">
      <w:pPr>
        <w:ind w:firstLine="360"/>
        <w:divId w:val="1795169466"/>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0C147A">
      <w:pPr>
        <w:divId w:val="521240330"/>
        <w:rPr>
          <w:rFonts w:eastAsia="Times New Roman"/>
        </w:rPr>
      </w:pPr>
      <w:r>
        <w:rPr>
          <w:rFonts w:eastAsia="Times New Roman"/>
          <w:b/>
          <w:bCs/>
          <w:color w:val="000000"/>
          <w:sz w:val="20"/>
          <w:szCs w:val="20"/>
        </w:rPr>
        <w:t>Nine Months Ended Se</w:t>
      </w:r>
      <w:r>
        <w:rPr>
          <w:rFonts w:eastAsia="Times New Roman"/>
          <w:b/>
          <w:bCs/>
          <w:color w:val="000000"/>
          <w:sz w:val="20"/>
          <w:szCs w:val="20"/>
        </w:rPr>
        <w:t>ptember 30, 2020 Compared to the Nine Months Ended September 30, 2019 for the Protection Solutions Segment</w:t>
      </w:r>
    </w:p>
    <w:p w:rsidR="00000000" w:rsidRDefault="000C147A">
      <w:pPr>
        <w:jc w:val="both"/>
        <w:divId w:val="1357538091"/>
        <w:rPr>
          <w:rFonts w:eastAsia="Times New Roman"/>
        </w:rPr>
      </w:pPr>
      <w:r>
        <w:rPr>
          <w:rFonts w:eastAsia="Times New Roman"/>
          <w:b/>
          <w:bCs/>
          <w:i/>
          <w:iCs/>
          <w:color w:val="000000"/>
          <w:sz w:val="20"/>
          <w:szCs w:val="20"/>
        </w:rPr>
        <w:t>Operating earnings</w:t>
      </w:r>
    </w:p>
    <w:p w:rsidR="00000000" w:rsidRDefault="000C147A">
      <w:pPr>
        <w:ind w:firstLine="360"/>
        <w:divId w:val="240913507"/>
        <w:rPr>
          <w:rFonts w:eastAsia="Times New Roman"/>
        </w:rPr>
      </w:pPr>
      <w:r>
        <w:rPr>
          <w:rFonts w:eastAsia="Times New Roman"/>
          <w:color w:val="000000"/>
          <w:sz w:val="20"/>
          <w:szCs w:val="20"/>
        </w:rPr>
        <w:t xml:space="preserve">Operating earnings decreased $119 million to $88 million during the nine months ended September 30, 2020 from $207 million in the </w:t>
      </w:r>
      <w:r>
        <w:rPr>
          <w:rFonts w:eastAsia="Times New Roman"/>
          <w:color w:val="000000"/>
          <w:sz w:val="20"/>
          <w:szCs w:val="20"/>
        </w:rPr>
        <w:t>nine months ended September 30, 2019 primarily attributable to the following:</w:t>
      </w:r>
    </w:p>
    <w:p w:rsidR="00000000" w:rsidRDefault="000C147A">
      <w:pPr>
        <w:ind w:hanging="270"/>
        <w:jc w:val="both"/>
        <w:divId w:val="718550202"/>
        <w:rPr>
          <w:rFonts w:eastAsia="Times New Roman"/>
        </w:rPr>
      </w:pPr>
      <w:r>
        <w:rPr>
          <w:rFonts w:eastAsia="Times New Roman"/>
          <w:color w:val="000000"/>
          <w:sz w:val="20"/>
          <w:szCs w:val="20"/>
        </w:rPr>
        <w:t>•Fee-type revenue decreased $154 million mainly driven by the premium impact of the USFL and MLICA sale, lower premiums on traditional products (offset in Policyholders’ benefits</w:t>
      </w:r>
      <w:r>
        <w:rPr>
          <w:rFonts w:eastAsia="Times New Roman"/>
          <w:color w:val="000000"/>
          <w:sz w:val="20"/>
          <w:szCs w:val="20"/>
        </w:rPr>
        <w:t>) as well as higher ceded premiums and the $24 million unfavorable impact of assumption updates in 2020 compared to the $3 million favorable impact of assumption updates in 2019.</w:t>
      </w:r>
    </w:p>
    <w:p w:rsidR="00000000" w:rsidRDefault="000C147A">
      <w:pPr>
        <w:ind w:hanging="270"/>
        <w:jc w:val="both"/>
        <w:divId w:val="1625649139"/>
        <w:rPr>
          <w:rFonts w:eastAsia="Times New Roman"/>
        </w:rPr>
      </w:pPr>
      <w:r>
        <w:rPr>
          <w:rFonts w:eastAsia="Times New Roman"/>
          <w:color w:val="000000"/>
          <w:sz w:val="20"/>
          <w:szCs w:val="20"/>
        </w:rPr>
        <w:t>•Policyholders’ benefits increased $138 million mainly driven by the $31 mill</w:t>
      </w:r>
      <w:r>
        <w:rPr>
          <w:rFonts w:eastAsia="Times New Roman"/>
          <w:color w:val="000000"/>
          <w:sz w:val="20"/>
          <w:szCs w:val="20"/>
        </w:rPr>
        <w:t>ion unfavorable impact of assumption updates in 2020 compared to the $42 million favorable impact of assumption updates in 2019 and the favorable 2019 reserve adjustment on our disability deduction waiver rider reserves, the re-establishment of PFBL reserv</w:t>
      </w:r>
      <w:r>
        <w:rPr>
          <w:rFonts w:eastAsia="Times New Roman"/>
          <w:color w:val="000000"/>
          <w:sz w:val="20"/>
          <w:szCs w:val="20"/>
        </w:rPr>
        <w:t>e upon exiting loss recognition and an increase in term and employee benefits product reserves. The increase in Policyholders’ benefits was partially offset by favorable net mortality and lower policyholders’ benefits reflecting the impact of the sale of U</w:t>
      </w:r>
      <w:r>
        <w:rPr>
          <w:rFonts w:eastAsia="Times New Roman"/>
          <w:color w:val="000000"/>
          <w:sz w:val="20"/>
          <w:szCs w:val="20"/>
        </w:rPr>
        <w:t>SFL and MLICA.</w:t>
      </w:r>
    </w:p>
    <w:p w:rsidR="00000000" w:rsidRDefault="000C147A">
      <w:pPr>
        <w:ind w:hanging="270"/>
        <w:jc w:val="both"/>
        <w:divId w:val="1869295742"/>
        <w:rPr>
          <w:rFonts w:eastAsia="Times New Roman"/>
        </w:rPr>
      </w:pPr>
      <w:r>
        <w:rPr>
          <w:rFonts w:eastAsia="Times New Roman"/>
          <w:color w:val="000000"/>
          <w:sz w:val="20"/>
          <w:szCs w:val="20"/>
        </w:rPr>
        <w:t>•Net investment income decreased $26 million primarily due to lower income from alternative investments and the impact of lower assets as a result of the USFL and MLICA sale, partly offset by the General Account investment portfolio optimiza</w:t>
      </w:r>
      <w:r>
        <w:rPr>
          <w:rFonts w:eastAsia="Times New Roman"/>
          <w:color w:val="000000"/>
          <w:sz w:val="20"/>
          <w:szCs w:val="20"/>
        </w:rPr>
        <w:t>tion and higher assets.</w:t>
      </w:r>
    </w:p>
    <w:p w:rsidR="00000000" w:rsidRDefault="000C147A">
      <w:pPr>
        <w:ind w:hanging="360"/>
        <w:jc w:val="both"/>
        <w:divId w:val="1529299716"/>
        <w:rPr>
          <w:rFonts w:eastAsia="Times New Roman"/>
        </w:rPr>
      </w:pPr>
      <w:r>
        <w:rPr>
          <w:rFonts w:eastAsia="Times New Roman"/>
          <w:color w:val="000000"/>
          <w:sz w:val="20"/>
          <w:szCs w:val="20"/>
        </w:rPr>
        <w:t>This decrease was partially offset by the following:</w:t>
      </w:r>
    </w:p>
    <w:p w:rsidR="00000000" w:rsidRDefault="000C147A">
      <w:pPr>
        <w:ind w:hanging="270"/>
        <w:jc w:val="both"/>
        <w:divId w:val="2083290386"/>
        <w:rPr>
          <w:rFonts w:eastAsia="Times New Roman"/>
        </w:rPr>
      </w:pPr>
      <w:r>
        <w:rPr>
          <w:rFonts w:eastAsia="Times New Roman"/>
          <w:color w:val="000000"/>
          <w:sz w:val="20"/>
          <w:szCs w:val="20"/>
        </w:rPr>
        <w:t>•Amortization of DAC decreased $166 million mainly due to the $58 million favorable impact of assumption updates in 2020 compared to the $49 million unfavorable impact of assumpti</w:t>
      </w:r>
      <w:r>
        <w:rPr>
          <w:rFonts w:eastAsia="Times New Roman"/>
          <w:color w:val="000000"/>
          <w:sz w:val="20"/>
          <w:szCs w:val="20"/>
        </w:rPr>
        <w:t>on updates in 2019 and the unfavorable impact of the update to reinsurance projections in 2019. Baseline amortization in 2020 is lower than 2019, post the 2020 assumption updates.</w:t>
      </w:r>
    </w:p>
    <w:p w:rsidR="00000000" w:rsidRDefault="000C147A">
      <w:pPr>
        <w:ind w:hanging="270"/>
        <w:divId w:val="1304191857"/>
        <w:rPr>
          <w:rFonts w:eastAsia="Times New Roman"/>
        </w:rPr>
      </w:pPr>
      <w:r>
        <w:rPr>
          <w:rFonts w:eastAsia="Times New Roman"/>
          <w:color w:val="000000"/>
          <w:sz w:val="20"/>
          <w:szCs w:val="20"/>
        </w:rPr>
        <w:t>•Income tax expense decreased $21 million due to lower pre-tax earnings.</w:t>
      </w:r>
    </w:p>
    <w:p w:rsidR="00000000" w:rsidRDefault="000C147A">
      <w:pPr>
        <w:jc w:val="center"/>
        <w:divId w:val="347952064"/>
        <w:rPr>
          <w:rFonts w:eastAsia="Times New Roman"/>
        </w:rPr>
      </w:pPr>
      <w:r>
        <w:rPr>
          <w:rFonts w:eastAsia="Times New Roman"/>
          <w:color w:val="000000"/>
          <w:sz w:val="20"/>
          <w:szCs w:val="20"/>
        </w:rPr>
        <w:t>111</w:t>
      </w:r>
    </w:p>
    <w:p w:rsidR="00000000" w:rsidRDefault="000C147A">
      <w:pPr>
        <w:rPr>
          <w:rFonts w:eastAsia="Times New Roman"/>
        </w:rPr>
      </w:pPr>
      <w:r>
        <w:rPr>
          <w:rFonts w:eastAsia="Times New Roman"/>
        </w:rPr>
        <w:pict>
          <v:rect id="_x0000_i1137" style="width:0;height:1.5pt" o:hralign="center" o:hrstd="t" o:hr="t" fillcolor="#a0a0a0" stroked="f"/>
        </w:pict>
      </w:r>
    </w:p>
    <w:p w:rsidR="00000000" w:rsidRDefault="000C147A">
      <w:pPr>
        <w:divId w:val="335151606"/>
        <w:rPr>
          <w:rFonts w:eastAsia="Times New Roman"/>
        </w:rPr>
      </w:pPr>
    </w:p>
    <w:p w:rsidR="00000000" w:rsidRDefault="000C147A">
      <w:pPr>
        <w:ind w:firstLine="360"/>
        <w:divId w:val="1791779015"/>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0C147A">
      <w:pPr>
        <w:divId w:val="1193542091"/>
        <w:rPr>
          <w:rFonts w:eastAsia="Times New Roman"/>
        </w:rPr>
      </w:pPr>
      <w:r>
        <w:rPr>
          <w:rFonts w:eastAsia="Times New Roman"/>
          <w:b/>
          <w:bCs/>
          <w:color w:val="000000"/>
          <w:sz w:val="20"/>
          <w:szCs w:val="20"/>
        </w:rPr>
        <w:t>Corporate and Other</w:t>
      </w:r>
    </w:p>
    <w:p w:rsidR="00000000" w:rsidRDefault="000C147A">
      <w:pPr>
        <w:ind w:firstLine="360"/>
        <w:divId w:val="1052658933"/>
        <w:rPr>
          <w:rFonts w:eastAsia="Times New Roman"/>
        </w:rPr>
      </w:pPr>
      <w:r>
        <w:rPr>
          <w:rFonts w:eastAsia="Times New Roman"/>
          <w:color w:val="000000"/>
          <w:sz w:val="20"/>
          <w:szCs w:val="20"/>
        </w:rPr>
        <w:t>Corporate and Other includes some of our financing and i</w:t>
      </w:r>
      <w:r>
        <w:rPr>
          <w:rFonts w:eastAsia="Times New Roman"/>
          <w:color w:val="000000"/>
          <w:sz w:val="20"/>
          <w:szCs w:val="20"/>
        </w:rPr>
        <w:t>nvestment expenses. It also includes: Equitable Advisors broker-dealer business, the Closed Block, run-off variable annuity reinsurance business, run-off group pension business, run-off health business, benefit plans for our employees, certain strategic in</w:t>
      </w:r>
      <w:r>
        <w:rPr>
          <w:rFonts w:eastAsia="Times New Roman"/>
          <w:color w:val="000000"/>
          <w:sz w:val="20"/>
          <w:szCs w:val="20"/>
        </w:rPr>
        <w:t>vestments and certain unallocated items, including capital and related investments, interest expense and financing fees and corporate expense. AB’s results of operations are reflected in the Investment Management and Research segment. Accordingly, Corporat</w:t>
      </w:r>
      <w:r>
        <w:rPr>
          <w:rFonts w:eastAsia="Times New Roman"/>
          <w:color w:val="000000"/>
          <w:sz w:val="20"/>
          <w:szCs w:val="20"/>
        </w:rPr>
        <w:t>e and Other does not include any items applicable to AB.</w:t>
      </w:r>
    </w:p>
    <w:p w:rsidR="00000000" w:rsidRDefault="000C147A">
      <w:pPr>
        <w:ind w:firstLine="360"/>
        <w:divId w:val="1759597608"/>
        <w:rPr>
          <w:rFonts w:eastAsia="Times New Roman"/>
        </w:rPr>
      </w:pPr>
      <w:r>
        <w:rPr>
          <w:rFonts w:eastAsia="Times New Roman"/>
          <w:color w:val="000000"/>
          <w:sz w:val="20"/>
          <w:szCs w:val="20"/>
        </w:rPr>
        <w:t>The following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62"/>
        <w:gridCol w:w="36"/>
        <w:gridCol w:w="120"/>
        <w:gridCol w:w="692"/>
        <w:gridCol w:w="36"/>
        <w:gridCol w:w="36"/>
        <w:gridCol w:w="36"/>
        <w:gridCol w:w="36"/>
        <w:gridCol w:w="120"/>
        <w:gridCol w:w="692"/>
        <w:gridCol w:w="36"/>
        <w:gridCol w:w="120"/>
        <w:gridCol w:w="692"/>
        <w:gridCol w:w="36"/>
        <w:gridCol w:w="36"/>
        <w:gridCol w:w="36"/>
        <w:gridCol w:w="36"/>
        <w:gridCol w:w="120"/>
        <w:gridCol w:w="639"/>
        <w:gridCol w:w="36"/>
        <w:gridCol w:w="36"/>
        <w:gridCol w:w="36"/>
        <w:gridCol w:w="36"/>
        <w:gridCol w:w="36"/>
        <w:gridCol w:w="36"/>
        <w:gridCol w:w="36"/>
      </w:tblGrid>
      <w:tr w:rsidR="00000000">
        <w:trPr>
          <w:divId w:val="2010136333"/>
        </w:trPr>
        <w:tc>
          <w:tcPr>
            <w:tcW w:w="50" w:type="pct"/>
            <w:vAlign w:val="center"/>
            <w:hideMark/>
          </w:tcPr>
          <w:p w:rsidR="00000000" w:rsidRDefault="000C147A">
            <w:pPr>
              <w:ind w:firstLine="360"/>
              <w:rPr>
                <w:rFonts w:eastAsia="Times New Roman"/>
              </w:rPr>
            </w:pPr>
          </w:p>
        </w:tc>
        <w:tc>
          <w:tcPr>
            <w:tcW w:w="280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1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6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01013633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1013633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r>
      <w:tr w:rsidR="00000000">
        <w:trPr>
          <w:divId w:val="201013633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c>
          <w:tcPr>
            <w:tcW w:w="0" w:type="auto"/>
            <w:vAlign w:val="center"/>
            <w:hideMark/>
          </w:tcPr>
          <w:p w:rsidR="00000000" w:rsidRDefault="000C147A">
            <w:pPr>
              <w:rPr>
                <w:rFonts w:eastAsia="Times New Roman"/>
                <w:sz w:val="20"/>
                <w:szCs w:val="20"/>
              </w:rPr>
            </w:pPr>
          </w:p>
        </w:tc>
      </w:tr>
      <w:tr w:rsidR="00000000">
        <w:trPr>
          <w:divId w:val="2010136333"/>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(244)</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(240)</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bl>
    <w:p w:rsidR="00000000" w:rsidRDefault="000C147A">
      <w:pPr>
        <w:divId w:val="29230348"/>
        <w:rPr>
          <w:rFonts w:eastAsia="Times New Roman"/>
        </w:rPr>
      </w:pPr>
    </w:p>
    <w:p w:rsidR="00000000" w:rsidRDefault="000C147A">
      <w:pPr>
        <w:divId w:val="940338938"/>
        <w:rPr>
          <w:rFonts w:eastAsia="Times New Roman"/>
        </w:rPr>
      </w:pPr>
      <w:r>
        <w:rPr>
          <w:rFonts w:eastAsia="Times New Roman"/>
          <w:b/>
          <w:bCs/>
          <w:color w:val="000000"/>
          <w:sz w:val="20"/>
          <w:szCs w:val="20"/>
        </w:rPr>
        <w:t>General Account Investment Portfolio</w:t>
      </w:r>
    </w:p>
    <w:p w:rsidR="00000000" w:rsidRDefault="000C147A">
      <w:pPr>
        <w:ind w:firstLine="360"/>
        <w:divId w:val="666321138"/>
        <w:rPr>
          <w:rFonts w:eastAsia="Times New Roman"/>
        </w:rPr>
      </w:pPr>
      <w:r>
        <w:rPr>
          <w:rFonts w:eastAsia="Times New Roman"/>
          <w:color w:val="000000"/>
          <w:sz w:val="20"/>
          <w:szCs w:val="20"/>
        </w:rPr>
        <w:t>The General Account investment portfolio supports the insurance and annuity liabilities of our Indivi</w:t>
      </w:r>
      <w:r>
        <w:rPr>
          <w:rFonts w:eastAsia="Times New Roman"/>
          <w:color w:val="000000"/>
          <w:sz w:val="20"/>
          <w:szCs w:val="20"/>
        </w:rPr>
        <w:t>dual Retirement, Group Retirement and Protection Solutions businesses. Our General Account investment portfolio investment strategy seeks to achieve sustainable risk-adjusted returns by focusing on principal preservation, investment return, duration and li</w:t>
      </w:r>
      <w:r>
        <w:rPr>
          <w:rFonts w:eastAsia="Times New Roman"/>
          <w:color w:val="000000"/>
          <w:sz w:val="20"/>
          <w:szCs w:val="20"/>
        </w:rPr>
        <w:t>quidity requirements by product class and the diversification of risks. Investment activities are undertaken according to investment policy statements that contain internally established guidelines and are required to comply with applicable laws and insura</w:t>
      </w:r>
      <w:r>
        <w:rPr>
          <w:rFonts w:eastAsia="Times New Roman"/>
          <w:color w:val="000000"/>
          <w:sz w:val="20"/>
          <w:szCs w:val="20"/>
        </w:rPr>
        <w:t>nce regulations. Risk tolerances are established for credit risk, market risk, liquidity risk and concentration risk across types of issuers and asset classes that seek to mitigate the impact of cash flow variability arising from these risks. The impact of</w:t>
      </w:r>
      <w:r>
        <w:rPr>
          <w:rFonts w:eastAsia="Times New Roman"/>
          <w:color w:val="000000"/>
          <w:sz w:val="20"/>
          <w:szCs w:val="20"/>
        </w:rPr>
        <w:t xml:space="preserve"> COVID-19 continues to be assessed for potential negative impacts to the performance of mortgage loans and fixed maturities.</w:t>
      </w:r>
    </w:p>
    <w:p w:rsidR="00000000" w:rsidRDefault="000C147A">
      <w:pPr>
        <w:ind w:firstLine="360"/>
        <w:divId w:val="375399737"/>
        <w:rPr>
          <w:rFonts w:eastAsia="Times New Roman"/>
        </w:rPr>
      </w:pPr>
      <w:r>
        <w:rPr>
          <w:rFonts w:eastAsia="Times New Roman"/>
          <w:color w:val="000000"/>
          <w:sz w:val="20"/>
          <w:szCs w:val="20"/>
        </w:rPr>
        <w:t xml:space="preserve">The General Account investment portfolio consists largely of investment grade fixed maturities, short-term investments, commercial </w:t>
      </w:r>
      <w:r>
        <w:rPr>
          <w:rFonts w:eastAsia="Times New Roman"/>
          <w:color w:val="000000"/>
          <w:sz w:val="20"/>
          <w:szCs w:val="20"/>
        </w:rPr>
        <w:t>and agricultural mortgage loans, alternative investments and other financial instruments. Fixed maturities include publicly issued corporate bonds, government bonds, privately placed notes and bonds, bonds issued by states and municipalities, mortgage-back</w:t>
      </w:r>
      <w:r>
        <w:rPr>
          <w:rFonts w:eastAsia="Times New Roman"/>
          <w:color w:val="000000"/>
          <w:sz w:val="20"/>
          <w:szCs w:val="20"/>
        </w:rPr>
        <w:t>ed securities and asset-backed securities. The General Account investment portfolio also includes credit derivatives to replicate exposure to individual securities or pools of securities as a means of achieving credit exposure similar to bonds of the under</w:t>
      </w:r>
      <w:r>
        <w:rPr>
          <w:rFonts w:eastAsia="Times New Roman"/>
          <w:color w:val="000000"/>
          <w:sz w:val="20"/>
          <w:szCs w:val="20"/>
        </w:rPr>
        <w:t>lying issuer(s) more efficiently. In addition, from time to time we use derivatives for hedging purposes to reduce our exposure to equity markets, interest rates and credit spreads.</w:t>
      </w:r>
    </w:p>
    <w:p w:rsidR="00000000" w:rsidRDefault="000C147A">
      <w:pPr>
        <w:ind w:firstLine="360"/>
        <w:divId w:val="281152837"/>
        <w:rPr>
          <w:rFonts w:eastAsia="Times New Roman"/>
        </w:rPr>
      </w:pPr>
      <w:r>
        <w:rPr>
          <w:rFonts w:eastAsia="Times New Roman"/>
          <w:color w:val="000000"/>
          <w:sz w:val="20"/>
          <w:szCs w:val="20"/>
        </w:rPr>
        <w:t>As part of our asset and liability management strategies, we maintain a we</w:t>
      </w:r>
      <w:r>
        <w:rPr>
          <w:rFonts w:eastAsia="Times New Roman"/>
          <w:color w:val="000000"/>
          <w:sz w:val="20"/>
          <w:szCs w:val="20"/>
        </w:rPr>
        <w:t xml:space="preserve">ighted average duration for our General Account investment portfolio that is within an acceptable range of the estimated duration of our liabilities given our risk appetite and hedging programs. Our asset and liability management strategies are applied to </w:t>
      </w:r>
      <w:r>
        <w:rPr>
          <w:rFonts w:eastAsia="Times New Roman"/>
          <w:color w:val="000000"/>
          <w:sz w:val="20"/>
          <w:szCs w:val="20"/>
        </w:rPr>
        <w:t>portfolio duration groups within the General Account investment portfolio. For example, we maintain a “short duration” group comprised primarily of investment grade fixed maturity securities that are aligned with the duration of product liabilities with an</w:t>
      </w:r>
      <w:r>
        <w:rPr>
          <w:rFonts w:eastAsia="Times New Roman"/>
          <w:color w:val="000000"/>
          <w:sz w:val="20"/>
          <w:szCs w:val="20"/>
        </w:rPr>
        <w:t xml:space="preserve"> average duration of less than six years (e.g., our SCS product). As of September 30, 2020 and December 31, 2019, 60% and 62% of the fixed maturities in the short duration group were rated NAIC 1, and 39% and 38% were rated NAIC 2, respectively. During the</w:t>
      </w:r>
      <w:r>
        <w:rPr>
          <w:rFonts w:eastAsia="Times New Roman"/>
          <w:color w:val="000000"/>
          <w:sz w:val="20"/>
          <w:szCs w:val="20"/>
        </w:rPr>
        <w:t xml:space="preserve"> third quarter of 2020, new purchases from both new money flows and portfolio rebalancing activity were designated as AFS included in fixed maturities. The remaining trading securities in the short duration VA portfolio will be opportunistically rebalanced</w:t>
      </w:r>
      <w:r>
        <w:rPr>
          <w:rFonts w:eastAsia="Times New Roman"/>
          <w:color w:val="000000"/>
          <w:sz w:val="20"/>
          <w:szCs w:val="20"/>
        </w:rPr>
        <w:t xml:space="preserve"> to AFS and shown with fixed maturities, which is consistent with other portfolios in our General Account. New AFS assets included in fixed maturities had an amortized cost of $15.6 billion as of September 30, 2020.</w:t>
      </w:r>
    </w:p>
    <w:p w:rsidR="00000000" w:rsidRDefault="000C147A">
      <w:pPr>
        <w:ind w:firstLine="360"/>
        <w:divId w:val="342704881"/>
        <w:rPr>
          <w:rFonts w:eastAsia="Times New Roman"/>
        </w:rPr>
      </w:pPr>
      <w:r>
        <w:rPr>
          <w:rFonts w:eastAsia="Times New Roman"/>
          <w:color w:val="000000"/>
          <w:sz w:val="20"/>
          <w:szCs w:val="20"/>
        </w:rPr>
        <w:t>The General Account invests in commercia</w:t>
      </w:r>
      <w:r>
        <w:rPr>
          <w:rFonts w:eastAsia="Times New Roman"/>
          <w:color w:val="000000"/>
          <w:sz w:val="20"/>
          <w:szCs w:val="20"/>
        </w:rPr>
        <w:t>l and agricultural mortgage loans, included in the balance sheet as Mortgage loans on real estate, and privately negotiated fixed maturities, included in the balance sheet as fixed maturities AFS. Under certain circumstances, modifications are granted to t</w:t>
      </w:r>
      <w:r>
        <w:rPr>
          <w:rFonts w:eastAsia="Times New Roman"/>
          <w:color w:val="000000"/>
          <w:sz w:val="20"/>
          <w:szCs w:val="20"/>
        </w:rPr>
        <w:t>hese contracts. These modifications were determined not to be Troubled Debt Restructurings. At September 30, 2020, the General Account had twenty commercial mortgage loans with a carrying value of $835 million in which short term modifications were granted</w:t>
      </w:r>
      <w:r>
        <w:rPr>
          <w:rFonts w:eastAsia="Times New Roman"/>
          <w:color w:val="000000"/>
          <w:sz w:val="20"/>
          <w:szCs w:val="20"/>
        </w:rPr>
        <w:t>. Forbearance agreements reduced mortgage payments for a set time period. The commercial mortgage modifications were a result of the COVID-19 pandemic’s impact on the underlying real estate operations. The General Account did not have any agricultural mort</w:t>
      </w:r>
      <w:r>
        <w:rPr>
          <w:rFonts w:eastAsia="Times New Roman"/>
          <w:color w:val="000000"/>
          <w:sz w:val="20"/>
          <w:szCs w:val="20"/>
        </w:rPr>
        <w:t xml:space="preserve">gage loans for which modifications were granted at September 30, 2020. At September 30, 2020, the General Account had seven privately negotiated fixed maturity modifications </w:t>
      </w:r>
    </w:p>
    <w:p w:rsidR="00000000" w:rsidRDefault="000C147A">
      <w:pPr>
        <w:jc w:val="center"/>
        <w:divId w:val="1107384396"/>
        <w:rPr>
          <w:rFonts w:eastAsia="Times New Roman"/>
        </w:rPr>
      </w:pPr>
      <w:r>
        <w:rPr>
          <w:rFonts w:eastAsia="Times New Roman"/>
          <w:color w:val="000000"/>
          <w:sz w:val="20"/>
          <w:szCs w:val="20"/>
        </w:rPr>
        <w:t>112</w:t>
      </w:r>
    </w:p>
    <w:p w:rsidR="00000000" w:rsidRDefault="000C147A">
      <w:pPr>
        <w:rPr>
          <w:rFonts w:eastAsia="Times New Roman"/>
        </w:rPr>
      </w:pPr>
      <w:r>
        <w:rPr>
          <w:rFonts w:eastAsia="Times New Roman"/>
        </w:rPr>
        <w:pict>
          <v:rect id="_x0000_i1138" style="width:0;height:1.5pt" o:hralign="center" o:hrstd="t" o:hr="t" fillcolor="#a0a0a0" stroked="f"/>
        </w:pict>
      </w:r>
    </w:p>
    <w:p w:rsidR="00000000" w:rsidRDefault="000C147A">
      <w:pPr>
        <w:divId w:val="322201071"/>
        <w:rPr>
          <w:rFonts w:eastAsia="Times New Roman"/>
        </w:rPr>
      </w:pPr>
    </w:p>
    <w:p w:rsidR="00000000" w:rsidRDefault="000C147A">
      <w:pPr>
        <w:divId w:val="1900246606"/>
        <w:rPr>
          <w:rFonts w:eastAsia="Times New Roman"/>
        </w:rPr>
      </w:pPr>
      <w:r>
        <w:rPr>
          <w:rFonts w:eastAsia="Times New Roman"/>
          <w:color w:val="000000"/>
          <w:sz w:val="20"/>
          <w:szCs w:val="20"/>
        </w:rPr>
        <w:t xml:space="preserve">with a carrying value of $67 million. </w:t>
      </w:r>
      <w:r>
        <w:rPr>
          <w:rFonts w:eastAsia="Times New Roman"/>
          <w:color w:val="000000"/>
          <w:sz w:val="20"/>
          <w:szCs w:val="20"/>
        </w:rPr>
        <w:t>The modifications to privately negotiated fixed maturities were to allow for the postponement or reduction in interest or principal payments for a defined period. The modifications were agreed upon to support several investments that had operations decline</w:t>
      </w:r>
      <w:r>
        <w:rPr>
          <w:rFonts w:eastAsia="Times New Roman"/>
          <w:color w:val="000000"/>
          <w:sz w:val="20"/>
          <w:szCs w:val="20"/>
        </w:rPr>
        <w:t xml:space="preserve"> primarily due to the COVID-19 pandemic. The commercial mortgage loans and privately negotiated fixed maturities modifications are 1% of the General Account’s total invested assets. </w:t>
      </w:r>
    </w:p>
    <w:p w:rsidR="00000000" w:rsidRDefault="000C147A">
      <w:pPr>
        <w:ind w:firstLine="360"/>
        <w:divId w:val="668170493"/>
        <w:rPr>
          <w:rFonts w:eastAsia="Times New Roman"/>
        </w:rPr>
      </w:pPr>
      <w:r>
        <w:rPr>
          <w:rFonts w:eastAsia="Times New Roman"/>
          <w:color w:val="000000"/>
          <w:sz w:val="20"/>
          <w:szCs w:val="20"/>
        </w:rPr>
        <w:t>Investment portfolios are primarily managed by legal entity with dedicate</w:t>
      </w:r>
      <w:r>
        <w:rPr>
          <w:rFonts w:eastAsia="Times New Roman"/>
          <w:color w:val="000000"/>
          <w:sz w:val="20"/>
          <w:szCs w:val="20"/>
        </w:rPr>
        <w:t>d portfolios for certain blocks of business. For portfolios that back multiple product groups, investment results are allocated to business segments.</w:t>
      </w:r>
    </w:p>
    <w:p w:rsidR="00000000" w:rsidRDefault="000C147A">
      <w:pPr>
        <w:ind w:firstLine="360"/>
        <w:divId w:val="871109231"/>
        <w:rPr>
          <w:rFonts w:eastAsia="Times New Roman"/>
        </w:rPr>
      </w:pPr>
      <w:r>
        <w:rPr>
          <w:rFonts w:eastAsia="Times New Roman"/>
          <w:color w:val="000000"/>
          <w:sz w:val="20"/>
          <w:szCs w:val="20"/>
        </w:rPr>
        <w:t>The General Account investment portfolio reflects certain differences from the presentation of the U.S. GA</w:t>
      </w:r>
      <w:r>
        <w:rPr>
          <w:rFonts w:eastAsia="Times New Roman"/>
          <w:color w:val="000000"/>
          <w:sz w:val="20"/>
          <w:szCs w:val="20"/>
        </w:rPr>
        <w:t>AP Consolidated Financial Statements. This presentation is consistent with how we manage the General Account investment portfolio. For further investment information, please refer to Note 3 and Note 4 of the Notes to the Consolidated Financial Statements.</w:t>
      </w:r>
    </w:p>
    <w:p w:rsidR="00000000" w:rsidRDefault="000C147A">
      <w:pPr>
        <w:ind w:firstLine="360"/>
        <w:divId w:val="1196773750"/>
        <w:rPr>
          <w:rFonts w:eastAsia="Times New Roman"/>
        </w:rPr>
      </w:pPr>
      <w:r>
        <w:rPr>
          <w:rFonts w:eastAsia="Times New Roman"/>
          <w:color w:val="000000"/>
          <w:sz w:val="20"/>
          <w:szCs w:val="20"/>
        </w:rPr>
        <w:t xml:space="preserve">The General Account adopted CECL effective January 1, 2020. For further information regarding the adoption of CECL, please refer to Note 2 in the Notes to the Consolidated Financial Statements. </w:t>
      </w:r>
    </w:p>
    <w:p w:rsidR="00000000" w:rsidRDefault="000C147A">
      <w:pPr>
        <w:jc w:val="both"/>
        <w:divId w:val="1326973530"/>
        <w:rPr>
          <w:rFonts w:eastAsia="Times New Roman"/>
        </w:rPr>
      </w:pPr>
      <w:r>
        <w:rPr>
          <w:rFonts w:eastAsia="Times New Roman"/>
          <w:b/>
          <w:bCs/>
          <w:i/>
          <w:iCs/>
          <w:color w:val="000000"/>
          <w:sz w:val="20"/>
          <w:szCs w:val="20"/>
        </w:rPr>
        <w:t>Investment Results of the General Account Investment Portfoli</w:t>
      </w:r>
      <w:r>
        <w:rPr>
          <w:rFonts w:eastAsia="Times New Roman"/>
          <w:b/>
          <w:bCs/>
          <w:i/>
          <w:iCs/>
          <w:color w:val="000000"/>
          <w:sz w:val="20"/>
          <w:szCs w:val="20"/>
        </w:rPr>
        <w:t>o</w:t>
      </w:r>
    </w:p>
    <w:p w:rsidR="00000000" w:rsidRDefault="000C147A">
      <w:pPr>
        <w:ind w:firstLine="360"/>
        <w:divId w:val="767775344"/>
        <w:rPr>
          <w:rFonts w:eastAsia="Times New Roman"/>
        </w:rPr>
      </w:pPr>
      <w:r>
        <w:rPr>
          <w:rFonts w:eastAsia="Times New Roman"/>
          <w:color w:val="000000"/>
          <w:sz w:val="20"/>
          <w:szCs w:val="20"/>
        </w:rPr>
        <w:t>The following table summarizes the General Account investment portfolio results with Non-GAAP Operating Earnings adjustments by asset category for the periods indicated. This presentation is consistent with how we measure investment performance for managem</w:t>
      </w:r>
      <w:r>
        <w:rPr>
          <w:rFonts w:eastAsia="Times New Roman"/>
          <w:color w:val="000000"/>
          <w:sz w:val="20"/>
          <w:szCs w:val="20"/>
        </w:rPr>
        <w:t>ent purposes.</w:t>
      </w:r>
    </w:p>
    <w:p w:rsidR="00000000" w:rsidRDefault="000C147A">
      <w:pPr>
        <w:jc w:val="center"/>
        <w:divId w:val="1035934631"/>
        <w:rPr>
          <w:rFonts w:eastAsia="Times New Roman"/>
        </w:rPr>
      </w:pPr>
      <w:r>
        <w:rPr>
          <w:rFonts w:eastAsia="Times New Roman"/>
          <w:color w:val="000000"/>
          <w:sz w:val="20"/>
          <w:szCs w:val="20"/>
        </w:rPr>
        <w:t>113</w:t>
      </w:r>
    </w:p>
    <w:p w:rsidR="00000000" w:rsidRDefault="000C147A">
      <w:pPr>
        <w:rPr>
          <w:rFonts w:eastAsia="Times New Roman"/>
        </w:rPr>
      </w:pPr>
      <w:r>
        <w:rPr>
          <w:rFonts w:eastAsia="Times New Roman"/>
        </w:rPr>
        <w:pict>
          <v:rect id="_x0000_i1139" style="width:0;height:1.5pt" o:hralign="center" o:hrstd="t" o:hr="t" fillcolor="#a0a0a0" stroked="f"/>
        </w:pict>
      </w:r>
    </w:p>
    <w:p w:rsidR="00000000" w:rsidRDefault="000C147A">
      <w:pPr>
        <w:divId w:val="1182282754"/>
        <w:rPr>
          <w:rFonts w:eastAsia="Times New Roman"/>
        </w:rPr>
      </w:pPr>
    </w:p>
    <w:tbl>
      <w:tblPr>
        <w:tblW w:w="4576" w:type="pct"/>
        <w:tblCellMar>
          <w:top w:w="15" w:type="dxa"/>
          <w:left w:w="15" w:type="dxa"/>
          <w:bottom w:w="15" w:type="dxa"/>
          <w:right w:w="15" w:type="dxa"/>
        </w:tblCellMar>
        <w:tblLook w:val="04A0" w:firstRow="1" w:lastRow="0" w:firstColumn="1" w:lastColumn="0" w:noHBand="0" w:noVBand="1"/>
      </w:tblPr>
      <w:tblGrid>
        <w:gridCol w:w="40"/>
        <w:gridCol w:w="3209"/>
        <w:gridCol w:w="39"/>
        <w:gridCol w:w="40"/>
        <w:gridCol w:w="826"/>
        <w:gridCol w:w="220"/>
        <w:gridCol w:w="36"/>
        <w:gridCol w:w="36"/>
        <w:gridCol w:w="36"/>
        <w:gridCol w:w="120"/>
        <w:gridCol w:w="798"/>
        <w:gridCol w:w="36"/>
        <w:gridCol w:w="36"/>
        <w:gridCol w:w="36"/>
        <w:gridCol w:w="36"/>
        <w:gridCol w:w="39"/>
        <w:gridCol w:w="768"/>
        <w:gridCol w:w="187"/>
        <w:gridCol w:w="36"/>
        <w:gridCol w:w="36"/>
        <w:gridCol w:w="36"/>
        <w:gridCol w:w="120"/>
        <w:gridCol w:w="800"/>
        <w:gridCol w:w="36"/>
      </w:tblGrid>
      <w:tr w:rsidR="00000000">
        <w:trPr>
          <w:divId w:val="1991129219"/>
        </w:trPr>
        <w:tc>
          <w:tcPr>
            <w:tcW w:w="50" w:type="pct"/>
            <w:vAlign w:val="center"/>
            <w:hideMark/>
          </w:tcPr>
          <w:p w:rsidR="00000000" w:rsidRDefault="000C147A">
            <w:pPr>
              <w:rPr>
                <w:rFonts w:eastAsia="Times New Roman"/>
              </w:rPr>
            </w:pPr>
          </w:p>
        </w:tc>
        <w:tc>
          <w:tcPr>
            <w:tcW w:w="217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0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991129219"/>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Three Months Ended September 30,</w:t>
            </w:r>
          </w:p>
        </w:tc>
      </w:tr>
      <w:tr w:rsidR="00000000">
        <w:trPr>
          <w:divId w:val="199112921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99112921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Amount (2)</w:t>
            </w:r>
          </w:p>
        </w:tc>
      </w:tr>
      <w:tr w:rsidR="00000000">
        <w:trPr>
          <w:divId w:val="1991129219"/>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(Dollars in millions)</w:t>
            </w:r>
          </w:p>
        </w:tc>
      </w:tr>
      <w:tr w:rsidR="00000000">
        <w:trPr>
          <w:divId w:val="1991129219"/>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61,684 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(6,848)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(6,510)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85,731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74,505 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8,030 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Less: investment fees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991129219"/>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91,179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82,535 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2143845816"/>
        <w:rPr>
          <w:rFonts w:eastAsia="Times New Roman"/>
        </w:rPr>
      </w:pPr>
      <w:r>
        <w:rPr>
          <w:rFonts w:eastAsia="Times New Roman"/>
          <w:color w:val="000000"/>
          <w:sz w:val="20"/>
          <w:szCs w:val="20"/>
        </w:rPr>
        <w:t>114</w:t>
      </w:r>
    </w:p>
    <w:p w:rsidR="00000000" w:rsidRDefault="000C147A">
      <w:pPr>
        <w:rPr>
          <w:rFonts w:eastAsia="Times New Roman"/>
        </w:rPr>
      </w:pPr>
      <w:r>
        <w:rPr>
          <w:rFonts w:eastAsia="Times New Roman"/>
        </w:rPr>
        <w:pict>
          <v:rect id="_x0000_i1140" style="width:0;height:1.5pt" o:hralign="center" o:hrstd="t" o:hr="t" fillcolor="#a0a0a0" stroked="f"/>
        </w:pict>
      </w:r>
    </w:p>
    <w:p w:rsidR="00000000" w:rsidRDefault="000C147A">
      <w:pPr>
        <w:divId w:val="1389185439"/>
        <w:rPr>
          <w:rFonts w:eastAsia="Times New Roman"/>
        </w:rPr>
      </w:pPr>
    </w:p>
    <w:tbl>
      <w:tblPr>
        <w:tblW w:w="4605" w:type="pct"/>
        <w:tblCellMar>
          <w:top w:w="15" w:type="dxa"/>
          <w:left w:w="15" w:type="dxa"/>
          <w:bottom w:w="15" w:type="dxa"/>
          <w:right w:w="15" w:type="dxa"/>
        </w:tblCellMar>
        <w:tblLook w:val="04A0" w:firstRow="1" w:lastRow="0" w:firstColumn="1" w:lastColumn="0" w:noHBand="0" w:noVBand="1"/>
      </w:tblPr>
      <w:tblGrid>
        <w:gridCol w:w="40"/>
        <w:gridCol w:w="3379"/>
        <w:gridCol w:w="39"/>
        <w:gridCol w:w="55"/>
        <w:gridCol w:w="520"/>
        <w:gridCol w:w="220"/>
        <w:gridCol w:w="36"/>
        <w:gridCol w:w="36"/>
        <w:gridCol w:w="36"/>
        <w:gridCol w:w="120"/>
        <w:gridCol w:w="600"/>
        <w:gridCol w:w="36"/>
        <w:gridCol w:w="36"/>
        <w:gridCol w:w="36"/>
        <w:gridCol w:w="36"/>
        <w:gridCol w:w="57"/>
        <w:gridCol w:w="447"/>
        <w:gridCol w:w="187"/>
        <w:gridCol w:w="36"/>
        <w:gridCol w:w="36"/>
        <w:gridCol w:w="36"/>
        <w:gridCol w:w="120"/>
        <w:gridCol w:w="600"/>
        <w:gridCol w:w="36"/>
        <w:gridCol w:w="36"/>
        <w:gridCol w:w="36"/>
        <w:gridCol w:w="36"/>
        <w:gridCol w:w="120"/>
        <w:gridCol w:w="606"/>
        <w:gridCol w:w="36"/>
      </w:tblGrid>
      <w:tr w:rsidR="00000000">
        <w:trPr>
          <w:divId w:val="1007640123"/>
        </w:trPr>
        <w:tc>
          <w:tcPr>
            <w:tcW w:w="50" w:type="pct"/>
            <w:vAlign w:val="center"/>
            <w:hideMark/>
          </w:tcPr>
          <w:p w:rsidR="00000000" w:rsidRDefault="000C147A">
            <w:pPr>
              <w:rPr>
                <w:rFonts w:eastAsia="Times New Roman"/>
              </w:rPr>
            </w:pPr>
          </w:p>
        </w:tc>
        <w:tc>
          <w:tcPr>
            <w:tcW w:w="227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39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13"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007640123"/>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Year Ended December 31</w:t>
            </w:r>
          </w:p>
        </w:tc>
      </w:tr>
      <w:tr w:rsidR="00000000">
        <w:trPr>
          <w:divId w:val="100764012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2019</w:t>
            </w:r>
          </w:p>
        </w:tc>
      </w:tr>
      <w:tr w:rsidR="00000000">
        <w:trPr>
          <w:divId w:val="1007640123"/>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Amount (2)</w:t>
            </w:r>
          </w:p>
        </w:tc>
      </w:tr>
      <w:tr w:rsidR="00000000">
        <w:trPr>
          <w:divId w:val="1007640123"/>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(Dollars in millions)</w:t>
            </w:r>
          </w:p>
        </w:tc>
      </w:tr>
      <w:tr w:rsidR="00000000">
        <w:trPr>
          <w:divId w:val="1007640123"/>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2,019 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61,684 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62,687 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12,022 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3,750 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2,071 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1,856 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(6,848)</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(6,510)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(6,909)</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85,731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74,505 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74,983 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8,030 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6,173 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2,345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Less: investment fees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07640123"/>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91,179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82,535 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81,156 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firstLine="270"/>
        <w:divId w:val="437411068"/>
        <w:rPr>
          <w:rFonts w:eastAsia="Times New Roman"/>
        </w:rPr>
      </w:pPr>
      <w:r>
        <w:rPr>
          <w:rFonts w:eastAsia="Times New Roman"/>
          <w:color w:val="000000"/>
          <w:sz w:val="18"/>
          <w:szCs w:val="18"/>
        </w:rPr>
        <w:t>______________</w:t>
      </w:r>
    </w:p>
    <w:p w:rsidR="00000000" w:rsidRDefault="000C147A">
      <w:pPr>
        <w:ind w:hanging="450"/>
        <w:divId w:val="1355303145"/>
        <w:rPr>
          <w:rFonts w:eastAsia="Times New Roman"/>
        </w:rPr>
      </w:pPr>
      <w:r>
        <w:rPr>
          <w:rFonts w:eastAsia="Times New Roman"/>
          <w:color w:val="000000"/>
          <w:sz w:val="18"/>
          <w:szCs w:val="18"/>
        </w:rPr>
        <w:t>(1)Includes, as of September 30, 2020, September 30, 2019 and December 31, 2019 respectively, $359 million, $347 million and $365 million of other invested assets.</w:t>
      </w:r>
    </w:p>
    <w:p w:rsidR="00000000" w:rsidRDefault="000C147A">
      <w:pPr>
        <w:ind w:hanging="450"/>
        <w:divId w:val="807474426"/>
        <w:rPr>
          <w:rFonts w:eastAsia="Times New Roman"/>
        </w:rPr>
      </w:pPr>
      <w:r>
        <w:rPr>
          <w:rFonts w:eastAsia="Times New Roman"/>
          <w:color w:val="000000"/>
          <w:sz w:val="18"/>
          <w:szCs w:val="18"/>
        </w:rPr>
        <w:t>(2)Amount for fixed maturities and mortgages represents o</w:t>
      </w:r>
      <w:r>
        <w:rPr>
          <w:rFonts w:eastAsia="Times New Roman"/>
          <w:color w:val="000000"/>
          <w:sz w:val="18"/>
          <w:szCs w:val="18"/>
        </w:rPr>
        <w:t>riginal cost, reduced by repayments, write-downs, adjusted amortization of premiums, accretion of discount and allowances. Cost for equity securities represents original cost reduced by write-downs; cost for other limited partnership interests represents o</w:t>
      </w:r>
      <w:r>
        <w:rPr>
          <w:rFonts w:eastAsia="Times New Roman"/>
          <w:color w:val="000000"/>
          <w:sz w:val="18"/>
          <w:szCs w:val="18"/>
        </w:rPr>
        <w:t>riginal cost adjusted for equity in earnings and reduced by distributions.</w:t>
      </w:r>
    </w:p>
    <w:p w:rsidR="00000000" w:rsidRDefault="000C147A">
      <w:pPr>
        <w:jc w:val="both"/>
        <w:divId w:val="1032536354"/>
        <w:rPr>
          <w:rFonts w:eastAsia="Times New Roman"/>
        </w:rPr>
      </w:pPr>
      <w:r>
        <w:rPr>
          <w:rFonts w:eastAsia="Times New Roman"/>
          <w:b/>
          <w:bCs/>
          <w:i/>
          <w:iCs/>
          <w:color w:val="000000"/>
          <w:sz w:val="20"/>
          <w:szCs w:val="20"/>
        </w:rPr>
        <w:t>Fixed Maturities</w:t>
      </w:r>
    </w:p>
    <w:p w:rsidR="00000000" w:rsidRDefault="000C147A">
      <w:pPr>
        <w:ind w:firstLine="360"/>
        <w:divId w:val="1452285208"/>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p>
    <w:p w:rsidR="00000000" w:rsidRDefault="000C147A">
      <w:pPr>
        <w:jc w:val="both"/>
        <w:divId w:val="1145511063"/>
        <w:rPr>
          <w:rFonts w:eastAsia="Times New Roman"/>
        </w:rPr>
      </w:pPr>
      <w:r>
        <w:rPr>
          <w:rFonts w:eastAsia="Times New Roman"/>
          <w:b/>
          <w:bCs/>
          <w:i/>
          <w:iCs/>
          <w:color w:val="000000"/>
          <w:sz w:val="20"/>
          <w:szCs w:val="20"/>
        </w:rPr>
        <w:t>Fixed Maturities by Industry</w:t>
      </w:r>
    </w:p>
    <w:p w:rsidR="00000000" w:rsidRDefault="000C147A">
      <w:pPr>
        <w:ind w:firstLine="360"/>
        <w:divId w:val="1580208804"/>
        <w:rPr>
          <w:rFonts w:eastAsia="Times New Roman"/>
        </w:rPr>
      </w:pPr>
      <w:r>
        <w:rPr>
          <w:rFonts w:eastAsia="Times New Roman"/>
          <w:color w:val="000000"/>
          <w:sz w:val="20"/>
          <w:szCs w:val="20"/>
        </w:rPr>
        <w:t>The following table sets forth these fixed maturities by indus</w:t>
      </w:r>
      <w:r>
        <w:rPr>
          <w:rFonts w:eastAsia="Times New Roman"/>
          <w:color w:val="000000"/>
          <w:sz w:val="20"/>
          <w:szCs w:val="20"/>
        </w:rPr>
        <w:t>try category as of the dates indicated along with their associated gross unrealized gains and losses.</w:t>
      </w:r>
    </w:p>
    <w:p w:rsidR="00000000" w:rsidRDefault="000C147A">
      <w:pPr>
        <w:jc w:val="center"/>
        <w:divId w:val="671837482"/>
        <w:rPr>
          <w:rFonts w:eastAsia="Times New Roman"/>
        </w:rPr>
      </w:pPr>
      <w:r>
        <w:rPr>
          <w:rFonts w:eastAsia="Times New Roman"/>
          <w:color w:val="000000"/>
          <w:sz w:val="20"/>
          <w:szCs w:val="20"/>
        </w:rPr>
        <w:t>115</w:t>
      </w:r>
    </w:p>
    <w:p w:rsidR="00000000" w:rsidRDefault="000C147A">
      <w:pPr>
        <w:rPr>
          <w:rFonts w:eastAsia="Times New Roman"/>
        </w:rPr>
      </w:pPr>
      <w:r>
        <w:rPr>
          <w:rFonts w:eastAsia="Times New Roman"/>
        </w:rPr>
        <w:pict>
          <v:rect id="_x0000_i1141" style="width:0;height:1.5pt" o:hralign="center" o:hrstd="t" o:hr="t" fillcolor="#a0a0a0" stroked="f"/>
        </w:pict>
      </w:r>
    </w:p>
    <w:p w:rsidR="00000000" w:rsidRDefault="000C147A">
      <w:pPr>
        <w:divId w:val="1342469396"/>
        <w:rPr>
          <w:rFonts w:eastAsia="Times New Roman"/>
        </w:rPr>
      </w:pPr>
    </w:p>
    <w:p w:rsidR="00000000" w:rsidRDefault="000C147A">
      <w:pPr>
        <w:jc w:val="center"/>
        <w:rPr>
          <w:rFonts w:eastAsia="Times New Roman"/>
        </w:rPr>
      </w:pPr>
      <w:r>
        <w:rPr>
          <w:rFonts w:eastAsia="Times New Roman"/>
          <w:b/>
          <w:bCs/>
          <w:color w:val="000000"/>
          <w:sz w:val="20"/>
          <w:szCs w:val="20"/>
        </w:rPr>
        <w:t>Fixed Maturities by Industry (1)</w:t>
      </w:r>
    </w:p>
    <w:tbl>
      <w:tblPr>
        <w:tblW w:w="4758" w:type="pct"/>
        <w:tblCellMar>
          <w:top w:w="15" w:type="dxa"/>
          <w:left w:w="15" w:type="dxa"/>
          <w:bottom w:w="15" w:type="dxa"/>
          <w:right w:w="15" w:type="dxa"/>
        </w:tblCellMar>
        <w:tblLook w:val="04A0" w:firstRow="1" w:lastRow="0" w:firstColumn="1" w:lastColumn="0" w:noHBand="0" w:noVBand="1"/>
      </w:tblPr>
      <w:tblGrid>
        <w:gridCol w:w="40"/>
        <w:gridCol w:w="2038"/>
        <w:gridCol w:w="37"/>
        <w:gridCol w:w="121"/>
        <w:gridCol w:w="687"/>
        <w:gridCol w:w="36"/>
        <w:gridCol w:w="36"/>
        <w:gridCol w:w="36"/>
        <w:gridCol w:w="36"/>
        <w:gridCol w:w="121"/>
        <w:gridCol w:w="671"/>
        <w:gridCol w:w="36"/>
        <w:gridCol w:w="36"/>
        <w:gridCol w:w="36"/>
        <w:gridCol w:w="36"/>
        <w:gridCol w:w="121"/>
        <w:gridCol w:w="703"/>
        <w:gridCol w:w="36"/>
        <w:gridCol w:w="36"/>
        <w:gridCol w:w="36"/>
        <w:gridCol w:w="36"/>
        <w:gridCol w:w="121"/>
        <w:gridCol w:w="703"/>
        <w:gridCol w:w="36"/>
        <w:gridCol w:w="36"/>
        <w:gridCol w:w="36"/>
        <w:gridCol w:w="36"/>
        <w:gridCol w:w="121"/>
        <w:gridCol w:w="691"/>
        <w:gridCol w:w="36"/>
        <w:gridCol w:w="36"/>
        <w:gridCol w:w="36"/>
        <w:gridCol w:w="36"/>
        <w:gridCol w:w="78"/>
        <w:gridCol w:w="711"/>
        <w:gridCol w:w="220"/>
      </w:tblGrid>
      <w:tr w:rsidR="00000000">
        <w:trPr>
          <w:divId w:val="146409297"/>
        </w:trPr>
        <w:tc>
          <w:tcPr>
            <w:tcW w:w="50" w:type="pct"/>
            <w:vAlign w:val="center"/>
            <w:hideMark/>
          </w:tcPr>
          <w:p w:rsidR="00000000" w:rsidRDefault="000C147A">
            <w:pPr>
              <w:jc w:val="center"/>
              <w:rPr>
                <w:rFonts w:eastAsia="Times New Roman"/>
              </w:rPr>
            </w:pPr>
          </w:p>
        </w:tc>
        <w:tc>
          <w:tcPr>
            <w:tcW w:w="166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5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46409297"/>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Percentage of Total (%)</w:t>
            </w:r>
          </w:p>
        </w:tc>
      </w:tr>
      <w:tr w:rsidR="00000000">
        <w:trPr>
          <w:divId w:val="146409297"/>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tcMar>
              <w:top w:w="30" w:type="dxa"/>
              <w:left w:w="20" w:type="dxa"/>
              <w:bottom w:w="30" w:type="dxa"/>
              <w:right w:w="20" w:type="dxa"/>
            </w:tcMar>
            <w:hideMark/>
          </w:tcPr>
          <w:p w:rsidR="00000000" w:rsidRDefault="000C147A">
            <w:pPr>
              <w:divId w:val="559942096"/>
              <w:rPr>
                <w:rFonts w:eastAsia="Times New Roman"/>
              </w:rPr>
            </w:pPr>
            <w:r>
              <w:rPr>
                <w:rFonts w:eastAsia="Times New Roman"/>
                <w:b/>
                <w:bCs/>
                <w:color w:val="000000"/>
                <w:sz w:val="20"/>
                <w:szCs w:val="20"/>
              </w:rPr>
              <w:t>As of 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Corporate Securities: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Finance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Manufacturing</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13,629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Utilities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6,075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Services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Energy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Retail and wholesale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3,771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Transportation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51,196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55,667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U.S. government</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17,453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 xml:space="preserve">State &amp; </w:t>
            </w:r>
            <w:r>
              <w:rPr>
                <w:rFonts w:eastAsia="Times New Roman"/>
                <w:color w:val="000000"/>
                <w:sz w:val="20"/>
                <w:szCs w:val="20"/>
              </w:rPr>
              <w:t>political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Asset-backed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70,148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79,219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r>
      <w:tr w:rsidR="00000000">
        <w:trPr>
          <w:divId w:val="146409297"/>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As of December 31, 2019 (3)</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Corporate Securities: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Finance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12,015 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12,480 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Manufacturing</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12,643 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13,340 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Utilities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4,999 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5,293 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Services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6,730 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7,099 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Energy</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3,772 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3,947 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Retail and wholesale</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3,515 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3,691 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Transportation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1,793 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47,961 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U.S.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14,395 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1,289 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15,379 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Preferred stock</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State &amp; political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705 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Asset-backed securities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46409297"/>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bl>
    <w:p w:rsidR="00000000" w:rsidRDefault="000C147A">
      <w:pPr>
        <w:ind w:hanging="360"/>
        <w:divId w:val="1001160669"/>
        <w:rPr>
          <w:rFonts w:eastAsia="Times New Roman"/>
        </w:rPr>
      </w:pPr>
      <w:r>
        <w:rPr>
          <w:rFonts w:eastAsia="Times New Roman"/>
          <w:color w:val="000000"/>
          <w:sz w:val="18"/>
          <w:szCs w:val="18"/>
        </w:rPr>
        <w:t>______________</w:t>
      </w:r>
    </w:p>
    <w:p w:rsidR="00000000" w:rsidRDefault="000C147A">
      <w:pPr>
        <w:ind w:hanging="360"/>
        <w:divId w:val="2048413004"/>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0C147A">
      <w:pPr>
        <w:ind w:hanging="360"/>
        <w:divId w:val="2096004765"/>
        <w:rPr>
          <w:rFonts w:eastAsia="Times New Roman"/>
        </w:rPr>
      </w:pPr>
      <w:r>
        <w:rPr>
          <w:rFonts w:eastAsia="Times New Roman"/>
          <w:color w:val="000000"/>
          <w:sz w:val="18"/>
          <w:szCs w:val="18"/>
        </w:rPr>
        <w:t>(2)Includes publicly traded agency pass-through securities and collateralized obligations.</w:t>
      </w:r>
    </w:p>
    <w:p w:rsidR="00000000" w:rsidRDefault="000C147A">
      <w:pPr>
        <w:ind w:hanging="360"/>
        <w:divId w:val="1885215656"/>
        <w:rPr>
          <w:rFonts w:eastAsia="Times New Roman"/>
        </w:rPr>
      </w:pPr>
      <w:r>
        <w:rPr>
          <w:rFonts w:eastAsia="Times New Roman"/>
          <w:color w:val="000000"/>
          <w:sz w:val="18"/>
          <w:szCs w:val="18"/>
        </w:rPr>
        <w:t>(3)Excludes amounts reclassified a</w:t>
      </w:r>
      <w:r>
        <w:rPr>
          <w:rFonts w:eastAsia="Times New Roman"/>
          <w:color w:val="000000"/>
          <w:sz w:val="18"/>
          <w:szCs w:val="18"/>
        </w:rPr>
        <w:t>s Held-for-Sale.</w:t>
      </w:r>
    </w:p>
    <w:p w:rsidR="00000000" w:rsidRDefault="000C147A">
      <w:pPr>
        <w:jc w:val="center"/>
        <w:divId w:val="2131238410"/>
        <w:rPr>
          <w:rFonts w:eastAsia="Times New Roman"/>
        </w:rPr>
      </w:pPr>
      <w:r>
        <w:rPr>
          <w:rFonts w:eastAsia="Times New Roman"/>
          <w:color w:val="000000"/>
          <w:sz w:val="20"/>
          <w:szCs w:val="20"/>
        </w:rPr>
        <w:t>116</w:t>
      </w:r>
    </w:p>
    <w:p w:rsidR="00000000" w:rsidRDefault="000C147A">
      <w:pPr>
        <w:rPr>
          <w:rFonts w:eastAsia="Times New Roman"/>
        </w:rPr>
      </w:pPr>
      <w:r>
        <w:rPr>
          <w:rFonts w:eastAsia="Times New Roman"/>
        </w:rPr>
        <w:pict>
          <v:rect id="_x0000_i1142" style="width:0;height:1.5pt" o:hralign="center" o:hrstd="t" o:hr="t" fillcolor="#a0a0a0" stroked="f"/>
        </w:pict>
      </w:r>
    </w:p>
    <w:p w:rsidR="00000000" w:rsidRDefault="000C147A">
      <w:pPr>
        <w:divId w:val="1044981295"/>
        <w:rPr>
          <w:rFonts w:eastAsia="Times New Roman"/>
        </w:rPr>
      </w:pPr>
    </w:p>
    <w:p w:rsidR="00000000" w:rsidRDefault="000C147A">
      <w:pPr>
        <w:jc w:val="both"/>
        <w:divId w:val="1514148249"/>
        <w:rPr>
          <w:rFonts w:eastAsia="Times New Roman"/>
        </w:rPr>
      </w:pPr>
      <w:r>
        <w:rPr>
          <w:rFonts w:eastAsia="Times New Roman"/>
          <w:b/>
          <w:bCs/>
          <w:i/>
          <w:iCs/>
          <w:color w:val="000000"/>
          <w:sz w:val="20"/>
          <w:szCs w:val="20"/>
          <w:shd w:val="clear" w:color="auto" w:fill="FFFFFF"/>
        </w:rPr>
        <w:t>Fixed Maturities Credit Quality</w:t>
      </w:r>
    </w:p>
    <w:p w:rsidR="00000000" w:rsidRDefault="000C147A">
      <w:pPr>
        <w:ind w:firstLine="360"/>
        <w:divId w:val="937830951"/>
        <w:rPr>
          <w:rFonts w:eastAsia="Times New Roman"/>
        </w:rPr>
      </w:pPr>
      <w:r>
        <w:rPr>
          <w:rFonts w:eastAsia="Times New Roman"/>
          <w:color w:val="000000"/>
          <w:sz w:val="20"/>
          <w:szCs w:val="20"/>
        </w:rPr>
        <w:t>The Securities Valuation Office (“SVO”) of the National Association of Insurance Commissioners (“NAIC”</w:t>
      </w:r>
      <w:r>
        <w:rPr>
          <w:rFonts w:eastAsia="Times New Roman"/>
          <w:color w:val="000000"/>
          <w:sz w:val="20"/>
          <w:szCs w:val="20"/>
        </w:rPr>
        <w:t>), evaluates the investments of insurers for regulatory reporting purposes and assigns fixed maturities to one of six categories (“NAIC Designations”). NAIC Designations of “1” or “2” include fixed maturities considered investment grade, which include secu</w:t>
      </w:r>
      <w:r>
        <w:rPr>
          <w:rFonts w:eastAsia="Times New Roman"/>
          <w:color w:val="000000"/>
          <w:sz w:val="20"/>
          <w:szCs w:val="20"/>
        </w:rPr>
        <w:t xml:space="preserve">rities rated Baa3 or higher by Moody’s or BBB- or higher by Standard &amp; Poor’s. NAIC Designations of “3” through “6” are referred to as below investment grade, which include securities rated Ba1 or lower by Moody’s and BB+ or lower by Standard &amp; Poor’s. As </w:t>
      </w:r>
      <w:r>
        <w:rPr>
          <w:rFonts w:eastAsia="Times New Roman"/>
          <w:color w:val="000000"/>
          <w:sz w:val="20"/>
          <w:szCs w:val="20"/>
        </w:rPr>
        <w:t xml:space="preserve">a result of time lags between the funding of investments and the completion of the SVO filing process, the fixed maturity portfolio typically includes securities that have not yet been rated by the SVO as of each balance sheet date. Pending receipt of SVO </w:t>
      </w:r>
      <w:r>
        <w:rPr>
          <w:rFonts w:eastAsia="Times New Roman"/>
          <w:color w:val="000000"/>
          <w:sz w:val="20"/>
          <w:szCs w:val="20"/>
        </w:rPr>
        <w:t>ratings, the categorization of these securities by NAIC designation is based on the expected ratings indicated by internal analysis.</w:t>
      </w:r>
    </w:p>
    <w:p w:rsidR="00000000" w:rsidRDefault="000C147A">
      <w:pPr>
        <w:ind w:firstLine="360"/>
        <w:divId w:val="1054505843"/>
        <w:rPr>
          <w:rFonts w:eastAsia="Times New Roman"/>
        </w:rPr>
      </w:pPr>
      <w:r>
        <w:rPr>
          <w:rFonts w:eastAsia="Times New Roman"/>
          <w:color w:val="000000"/>
          <w:sz w:val="20"/>
          <w:szCs w:val="20"/>
        </w:rPr>
        <w:t>The following table sets forth the General Account’s fixed maturities portfolio by NAIC rating at the dates indicated.</w:t>
      </w:r>
    </w:p>
    <w:p w:rsidR="00000000" w:rsidRDefault="000C147A">
      <w:pPr>
        <w:jc w:val="center"/>
        <w:rPr>
          <w:rFonts w:eastAsia="Times New Roman"/>
        </w:rPr>
      </w:pPr>
      <w:r>
        <w:rPr>
          <w:rFonts w:eastAsia="Times New Roman"/>
          <w:b/>
          <w:bCs/>
          <w:color w:val="000000"/>
          <w:sz w:val="20"/>
          <w:szCs w:val="20"/>
        </w:rPr>
        <w:t>Fixed Maturities</w:t>
      </w:r>
    </w:p>
    <w:tbl>
      <w:tblPr>
        <w:tblW w:w="4671" w:type="pct"/>
        <w:tblCellMar>
          <w:top w:w="15" w:type="dxa"/>
          <w:left w:w="15" w:type="dxa"/>
          <w:bottom w:w="15" w:type="dxa"/>
          <w:right w:w="15" w:type="dxa"/>
        </w:tblCellMar>
        <w:tblLook w:val="04A0" w:firstRow="1" w:lastRow="0" w:firstColumn="1" w:lastColumn="0" w:noHBand="0" w:noVBand="1"/>
      </w:tblPr>
      <w:tblGrid>
        <w:gridCol w:w="68"/>
        <w:gridCol w:w="1702"/>
        <w:gridCol w:w="38"/>
        <w:gridCol w:w="36"/>
        <w:gridCol w:w="36"/>
        <w:gridCol w:w="36"/>
        <w:gridCol w:w="57"/>
        <w:gridCol w:w="955"/>
        <w:gridCol w:w="37"/>
        <w:gridCol w:w="36"/>
        <w:gridCol w:w="36"/>
        <w:gridCol w:w="36"/>
        <w:gridCol w:w="121"/>
        <w:gridCol w:w="689"/>
        <w:gridCol w:w="36"/>
        <w:gridCol w:w="36"/>
        <w:gridCol w:w="36"/>
        <w:gridCol w:w="36"/>
        <w:gridCol w:w="121"/>
        <w:gridCol w:w="674"/>
        <w:gridCol w:w="36"/>
        <w:gridCol w:w="36"/>
        <w:gridCol w:w="36"/>
        <w:gridCol w:w="36"/>
        <w:gridCol w:w="121"/>
        <w:gridCol w:w="706"/>
        <w:gridCol w:w="36"/>
        <w:gridCol w:w="36"/>
        <w:gridCol w:w="36"/>
        <w:gridCol w:w="36"/>
        <w:gridCol w:w="121"/>
        <w:gridCol w:w="706"/>
        <w:gridCol w:w="36"/>
        <w:gridCol w:w="36"/>
        <w:gridCol w:w="36"/>
        <w:gridCol w:w="36"/>
        <w:gridCol w:w="121"/>
        <w:gridCol w:w="694"/>
        <w:gridCol w:w="36"/>
      </w:tblGrid>
      <w:tr w:rsidR="00000000">
        <w:trPr>
          <w:divId w:val="1052391432"/>
        </w:trPr>
        <w:tc>
          <w:tcPr>
            <w:tcW w:w="50" w:type="pct"/>
            <w:vAlign w:val="center"/>
            <w:hideMark/>
          </w:tcPr>
          <w:p w:rsidR="00000000" w:rsidRDefault="000C147A">
            <w:pPr>
              <w:jc w:val="center"/>
              <w:rPr>
                <w:rFonts w:eastAsia="Times New Roman"/>
              </w:rPr>
            </w:pPr>
          </w:p>
        </w:tc>
        <w:tc>
          <w:tcPr>
            <w:tcW w:w="122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76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7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05239143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Rating Agency Equivalent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w:t>
            </w:r>
          </w:p>
          <w:p w:rsidR="00000000" w:rsidRDefault="000C147A">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w:t>
            </w:r>
          </w:p>
          <w:p w:rsidR="00000000" w:rsidRDefault="000C147A">
            <w:pPr>
              <w:jc w:val="center"/>
              <w:rPr>
                <w:rFonts w:eastAsia="Times New Roman"/>
              </w:rPr>
            </w:pPr>
            <w:r>
              <w:rPr>
                <w:rFonts w:eastAsia="Times New Roman"/>
                <w:b/>
                <w:bCs/>
                <w:color w:val="000000"/>
                <w:sz w:val="16"/>
                <w:szCs w:val="16"/>
              </w:rPr>
              <w:t>Unrealized</w:t>
            </w:r>
          </w:p>
          <w:p w:rsidR="00000000" w:rsidRDefault="000C147A">
            <w:pPr>
              <w:jc w:val="center"/>
              <w:rPr>
                <w:rFonts w:eastAsia="Times New Roman"/>
              </w:rPr>
            </w:pPr>
            <w:r>
              <w:rPr>
                <w:rFonts w:eastAsia="Times New Roman"/>
                <w:b/>
                <w:bCs/>
                <w:color w:val="000000"/>
                <w:sz w:val="16"/>
                <w:szCs w:val="16"/>
              </w:rP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Gross</w:t>
            </w:r>
          </w:p>
          <w:p w:rsidR="00000000" w:rsidRDefault="000C147A">
            <w:pPr>
              <w:jc w:val="center"/>
              <w:rPr>
                <w:rFonts w:eastAsia="Times New Roman"/>
              </w:rPr>
            </w:pPr>
            <w:r>
              <w:rPr>
                <w:rFonts w:eastAsia="Times New Roman"/>
                <w:b/>
                <w:bCs/>
                <w:color w:val="000000"/>
                <w:sz w:val="16"/>
                <w:szCs w:val="16"/>
              </w:rPr>
              <w:t>Unrealized</w:t>
            </w:r>
          </w:p>
          <w:p w:rsidR="00000000" w:rsidRDefault="000C147A">
            <w:pPr>
              <w:jc w:val="center"/>
              <w:rPr>
                <w:rFonts w:eastAsia="Times New Roman"/>
              </w:rPr>
            </w:pPr>
            <w:r>
              <w:rPr>
                <w:rFonts w:eastAsia="Times New Roman"/>
                <w:b/>
                <w:bCs/>
                <w:color w:val="000000"/>
                <w:sz w:val="16"/>
                <w:szCs w:val="16"/>
              </w:rP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Fair Value</w:t>
            </w:r>
          </w:p>
        </w:tc>
      </w:tr>
      <w:tr w:rsidR="00000000">
        <w:trPr>
          <w:divId w:val="105239143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05239143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As of September 30, 2020</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45,448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52,450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22,752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24,901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68,200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77,351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1,129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9"/>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70,148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79,219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As of December 31, 2019 (1)</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42,770 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2,666 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45,094 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18,605 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1,105 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19,692 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61,375 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64,786 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FFFFFF"/>
            <w:tcMar>
              <w:top w:w="30" w:type="dxa"/>
              <w:left w:w="20" w:type="dxa"/>
              <w:bottom w:w="30" w:type="dxa"/>
              <w:right w:w="20" w:type="dxa"/>
            </w:tcMar>
            <w:hideMark/>
          </w:tcPr>
          <w:p w:rsidR="00000000" w:rsidRDefault="000C147A">
            <w:pPr>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52391432"/>
        </w:trPr>
        <w:tc>
          <w:tcPr>
            <w:tcW w:w="0" w:type="auto"/>
            <w:gridSpan w:val="9"/>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Fixed Maturities</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62,687 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ind w:hanging="360"/>
        <w:divId w:val="534462135"/>
        <w:rPr>
          <w:rFonts w:eastAsia="Times New Roman"/>
        </w:rPr>
      </w:pPr>
      <w:r>
        <w:rPr>
          <w:rFonts w:eastAsia="Times New Roman"/>
          <w:color w:val="000000"/>
          <w:sz w:val="18"/>
          <w:szCs w:val="18"/>
        </w:rPr>
        <w:t>______________</w:t>
      </w:r>
    </w:p>
    <w:p w:rsidR="00000000" w:rsidRDefault="000C147A">
      <w:pPr>
        <w:ind w:hanging="270"/>
        <w:divId w:val="428359049"/>
        <w:rPr>
          <w:rFonts w:eastAsia="Times New Roman"/>
        </w:rPr>
      </w:pPr>
      <w:r>
        <w:rPr>
          <w:rFonts w:eastAsia="Times New Roman"/>
          <w:color w:val="000000"/>
          <w:sz w:val="18"/>
          <w:szCs w:val="18"/>
        </w:rPr>
        <w:t>(1)Excludes amounts reclassified as Held-for-Sale.</w:t>
      </w:r>
    </w:p>
    <w:p w:rsidR="00000000" w:rsidRDefault="000C147A">
      <w:pPr>
        <w:jc w:val="center"/>
        <w:divId w:val="948464500"/>
        <w:rPr>
          <w:rFonts w:eastAsia="Times New Roman"/>
        </w:rPr>
      </w:pPr>
      <w:r>
        <w:rPr>
          <w:rFonts w:eastAsia="Times New Roman"/>
          <w:color w:val="000000"/>
          <w:sz w:val="20"/>
          <w:szCs w:val="20"/>
        </w:rPr>
        <w:t>117</w:t>
      </w:r>
    </w:p>
    <w:p w:rsidR="00000000" w:rsidRDefault="000C147A">
      <w:pPr>
        <w:rPr>
          <w:rFonts w:eastAsia="Times New Roman"/>
        </w:rPr>
      </w:pPr>
      <w:r>
        <w:rPr>
          <w:rFonts w:eastAsia="Times New Roman"/>
        </w:rPr>
        <w:pict>
          <v:rect id="_x0000_i1143" style="width:0;height:1.5pt" o:hralign="center" o:hrstd="t" o:hr="t" fillcolor="#a0a0a0" stroked="f"/>
        </w:pict>
      </w:r>
    </w:p>
    <w:p w:rsidR="00000000" w:rsidRDefault="000C147A">
      <w:pPr>
        <w:divId w:val="1786654760"/>
        <w:rPr>
          <w:rFonts w:eastAsia="Times New Roman"/>
        </w:rPr>
      </w:pPr>
    </w:p>
    <w:p w:rsidR="00000000" w:rsidRDefault="000C147A">
      <w:pPr>
        <w:jc w:val="both"/>
        <w:divId w:val="96415517"/>
        <w:rPr>
          <w:rFonts w:eastAsia="Times New Roman"/>
        </w:rPr>
      </w:pPr>
      <w:r>
        <w:rPr>
          <w:rFonts w:eastAsia="Times New Roman"/>
          <w:b/>
          <w:bCs/>
          <w:i/>
          <w:iCs/>
          <w:color w:val="000000"/>
          <w:sz w:val="20"/>
          <w:szCs w:val="20"/>
        </w:rPr>
        <w:t>Mortgage Loans</w:t>
      </w:r>
      <w:r>
        <w:rPr>
          <w:rFonts w:eastAsia="Times New Roman"/>
          <w:b/>
          <w:bCs/>
          <w:i/>
          <w:iCs/>
          <w:color w:val="000000"/>
          <w:sz w:val="20"/>
          <w:szCs w:val="20"/>
        </w:rPr>
        <w:t xml:space="preserve"> </w:t>
      </w:r>
    </w:p>
    <w:p w:rsidR="00000000" w:rsidRDefault="000C147A">
      <w:pPr>
        <w:ind w:firstLine="360"/>
        <w:divId w:val="306131127"/>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0C147A">
      <w:pPr>
        <w:jc w:val="center"/>
        <w:rPr>
          <w:rFonts w:eastAsia="Times New Roman"/>
        </w:rPr>
      </w:pPr>
      <w:r>
        <w:rPr>
          <w:rFonts w:eastAsia="Times New Roman"/>
          <w:b/>
          <w:bCs/>
          <w:color w:val="000000"/>
          <w:sz w:val="20"/>
          <w:szCs w:val="20"/>
        </w:rPr>
        <w:t>Mortgage Loans by Region and Property Type</w:t>
      </w:r>
    </w:p>
    <w:tbl>
      <w:tblPr>
        <w:tblW w:w="4839" w:type="pct"/>
        <w:tblCellMar>
          <w:top w:w="15" w:type="dxa"/>
          <w:left w:w="15" w:type="dxa"/>
          <w:bottom w:w="15" w:type="dxa"/>
          <w:right w:w="15" w:type="dxa"/>
        </w:tblCellMar>
        <w:tblLook w:val="04A0" w:firstRow="1" w:lastRow="0" w:firstColumn="1" w:lastColumn="0" w:noHBand="0" w:noVBand="1"/>
      </w:tblPr>
      <w:tblGrid>
        <w:gridCol w:w="40"/>
        <w:gridCol w:w="3842"/>
        <w:gridCol w:w="39"/>
        <w:gridCol w:w="121"/>
        <w:gridCol w:w="805"/>
        <w:gridCol w:w="37"/>
        <w:gridCol w:w="36"/>
        <w:gridCol w:w="36"/>
        <w:gridCol w:w="36"/>
        <w:gridCol w:w="66"/>
        <w:gridCol w:w="706"/>
        <w:gridCol w:w="220"/>
        <w:gridCol w:w="36"/>
        <w:gridCol w:w="36"/>
        <w:gridCol w:w="36"/>
        <w:gridCol w:w="120"/>
        <w:gridCol w:w="734"/>
        <w:gridCol w:w="36"/>
        <w:gridCol w:w="36"/>
        <w:gridCol w:w="36"/>
        <w:gridCol w:w="36"/>
        <w:gridCol w:w="61"/>
        <w:gridCol w:w="701"/>
        <w:gridCol w:w="187"/>
      </w:tblGrid>
      <w:tr w:rsidR="00000000">
        <w:trPr>
          <w:divId w:val="1205020094"/>
        </w:trPr>
        <w:tc>
          <w:tcPr>
            <w:tcW w:w="50" w:type="pct"/>
            <w:vAlign w:val="center"/>
            <w:hideMark/>
          </w:tcPr>
          <w:p w:rsidR="00000000" w:rsidRDefault="000C147A">
            <w:pPr>
              <w:jc w:val="center"/>
              <w:rPr>
                <w:rFonts w:eastAsia="Times New Roman"/>
              </w:rPr>
            </w:pPr>
          </w:p>
        </w:tc>
        <w:tc>
          <w:tcPr>
            <w:tcW w:w="244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4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20502009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December 31, 2019</w:t>
            </w:r>
          </w:p>
        </w:tc>
      </w:tr>
      <w:tr w:rsidR="00000000">
        <w:trPr>
          <w:divId w:val="1205020094"/>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Amortized</w:t>
            </w:r>
          </w:p>
          <w:p w:rsidR="00000000" w:rsidRDefault="000C147A">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Amortized</w:t>
            </w:r>
          </w:p>
          <w:p w:rsidR="00000000" w:rsidRDefault="000C147A">
            <w:pPr>
              <w:jc w:val="center"/>
              <w:rPr>
                <w:rFonts w:eastAsia="Times New Roman"/>
              </w:rPr>
            </w:pPr>
            <w:r>
              <w:rPr>
                <w:rFonts w:eastAsia="Times New Roman"/>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 of Total</w:t>
            </w:r>
          </w:p>
        </w:tc>
      </w:tr>
      <w:tr w:rsidR="00000000">
        <w:trPr>
          <w:divId w:val="1205020094"/>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205020094"/>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U.S. Regions:</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0502009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Pacific</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3,468 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20502009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Middle Atlantic</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3,665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3,220 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South Atlantic</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East North Central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922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Mountain</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1,012 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West North Central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883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896 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West South Central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New England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135" w:type="dxa"/>
              <w:bottom w:w="30" w:type="dxa"/>
              <w:right w:w="20" w:type="dxa"/>
            </w:tcMar>
            <w:hideMark/>
          </w:tcPr>
          <w:p w:rsidR="00000000" w:rsidRDefault="000C147A">
            <w:pPr>
              <w:rPr>
                <w:rFonts w:eastAsia="Times New Roman"/>
              </w:rPr>
            </w:pPr>
            <w:r>
              <w:rPr>
                <w:rFonts w:eastAsia="Times New Roman"/>
                <w:color w:val="000000"/>
                <w:sz w:val="20"/>
                <w:szCs w:val="20"/>
              </w:rPr>
              <w:t>East South Central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205020094"/>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By Property Type:</w:t>
            </w: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20502009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Office</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3,794 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3,768 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Agricultural loans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694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Industrial</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205020094"/>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12,872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bl>
    <w:p w:rsidR="00000000" w:rsidRDefault="000C147A">
      <w:pPr>
        <w:jc w:val="center"/>
        <w:divId w:val="106391857"/>
        <w:rPr>
          <w:rFonts w:eastAsia="Times New Roman"/>
        </w:rPr>
      </w:pPr>
      <w:r>
        <w:rPr>
          <w:rFonts w:eastAsia="Times New Roman"/>
          <w:color w:val="000000"/>
          <w:sz w:val="20"/>
          <w:szCs w:val="20"/>
        </w:rPr>
        <w:t>118</w:t>
      </w:r>
    </w:p>
    <w:p w:rsidR="00000000" w:rsidRDefault="000C147A">
      <w:pPr>
        <w:rPr>
          <w:rFonts w:eastAsia="Times New Roman"/>
        </w:rPr>
      </w:pPr>
      <w:r>
        <w:rPr>
          <w:rFonts w:eastAsia="Times New Roman"/>
        </w:rPr>
        <w:pict>
          <v:rect id="_x0000_i1144" style="width:0;height:1.5pt" o:hralign="center" o:hrstd="t" o:hr="t" fillcolor="#a0a0a0" stroked="f"/>
        </w:pict>
      </w:r>
    </w:p>
    <w:p w:rsidR="00000000" w:rsidRDefault="000C147A">
      <w:pPr>
        <w:divId w:val="1798718472"/>
        <w:rPr>
          <w:rFonts w:eastAsia="Times New Roman"/>
        </w:rPr>
      </w:pPr>
    </w:p>
    <w:p w:rsidR="00000000" w:rsidRDefault="000C147A">
      <w:pPr>
        <w:divId w:val="417093230"/>
        <w:rPr>
          <w:rFonts w:eastAsia="Times New Roman"/>
        </w:rPr>
      </w:pPr>
      <w:r>
        <w:rPr>
          <w:rFonts w:eastAsia="Times New Roman"/>
          <w:b/>
          <w:bCs/>
          <w:color w:val="000000"/>
          <w:sz w:val="20"/>
          <w:szCs w:val="20"/>
        </w:rPr>
        <w:t>Liquidity and Capital Resources</w:t>
      </w:r>
    </w:p>
    <w:p w:rsidR="00000000" w:rsidRDefault="000C147A">
      <w:pPr>
        <w:ind w:firstLine="360"/>
        <w:divId w:val="1366830089"/>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w:t>
      </w:r>
      <w:r>
        <w:rPr>
          <w:rFonts w:eastAsia="Times New Roman"/>
          <w:color w:val="000000"/>
          <w:sz w:val="20"/>
          <w:szCs w:val="20"/>
        </w:rPr>
        <w:t>. Capital refers to our long-term financial resources available to support business operations and future growth. Our ability to generate and maintain sufficient liquidity and capital is dependent on the profitability of our businesses, timing of cash flow</w:t>
      </w:r>
      <w:r>
        <w:rPr>
          <w:rFonts w:eastAsia="Times New Roman"/>
          <w:color w:val="000000"/>
          <w:sz w:val="20"/>
          <w:szCs w:val="20"/>
        </w:rPr>
        <w:t>s related to our investments and products, our ability to access the capital markets, general economic conditions and the alternative sources of liquidity and capital described herein. When considering our liquidity and cash flows, it is important to disti</w:t>
      </w:r>
      <w:r>
        <w:rPr>
          <w:rFonts w:eastAsia="Times New Roman"/>
          <w:color w:val="000000"/>
          <w:sz w:val="20"/>
          <w:szCs w:val="20"/>
        </w:rPr>
        <w:t>nguish between the needs of Holdings and the needs of our insurance and non-insurance subsidiaries. We also distinguish and separately manage the liquidity and capital resources of our retirement and protection businesses, including our Individual Retireme</w:t>
      </w:r>
      <w:r>
        <w:rPr>
          <w:rFonts w:eastAsia="Times New Roman"/>
          <w:color w:val="000000"/>
          <w:sz w:val="20"/>
          <w:szCs w:val="20"/>
        </w:rPr>
        <w:t>nt, Group Retirement and Protection Solutions segments, and our Investment Management and Research segment.</w:t>
      </w:r>
    </w:p>
    <w:p w:rsidR="00000000" w:rsidRDefault="000C147A">
      <w:pPr>
        <w:jc w:val="both"/>
        <w:divId w:val="1899434592"/>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0C147A">
      <w:pPr>
        <w:ind w:firstLine="360"/>
        <w:divId w:val="46030902"/>
        <w:rPr>
          <w:rFonts w:eastAsia="Times New Roman"/>
        </w:rPr>
      </w:pPr>
      <w:r>
        <w:rPr>
          <w:rFonts w:eastAsia="Times New Roman"/>
          <w:color w:val="000000"/>
          <w:sz w:val="20"/>
          <w:szCs w:val="20"/>
        </w:rPr>
        <w:t>The Company had sufficient cash flows from operations to satisfy liquidity requirements.</w:t>
      </w:r>
    </w:p>
    <w:p w:rsidR="00000000" w:rsidRDefault="000C147A">
      <w:pPr>
        <w:divId w:val="437145776"/>
        <w:rPr>
          <w:rFonts w:eastAsia="Times New Roman"/>
        </w:rPr>
      </w:pPr>
      <w:r>
        <w:rPr>
          <w:rFonts w:eastAsia="Times New Roman"/>
          <w:i/>
          <w:iCs/>
          <w:color w:val="000000"/>
          <w:sz w:val="20"/>
          <w:szCs w:val="20"/>
          <w:u w:val="single"/>
        </w:rPr>
        <w:t>Cash Flows of Holdings</w:t>
      </w:r>
    </w:p>
    <w:p w:rsidR="00000000" w:rsidRDefault="000C147A">
      <w:pPr>
        <w:ind w:firstLine="360"/>
        <w:divId w:val="2126583271"/>
        <w:rPr>
          <w:rFonts w:eastAsia="Times New Roman"/>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nearly all of which is currently held outside our insurance co</w:t>
      </w:r>
      <w:r>
        <w:rPr>
          <w:rFonts w:eastAsia="Times New Roman"/>
          <w:color w:val="000000"/>
          <w:sz w:val="20"/>
          <w:szCs w:val="20"/>
        </w:rPr>
        <w:t>mpany subsidiaries. These principal sources of liquidity are augmented by cash and short-term investments held by Holdings and access to bank lines of credit and the capital markets. The main uses of liquidity for Holdings are interest payments and debt re</w:t>
      </w:r>
      <w:r>
        <w:rPr>
          <w:rFonts w:eastAsia="Times New Roman"/>
          <w:color w:val="000000"/>
          <w:sz w:val="20"/>
          <w:szCs w:val="20"/>
        </w:rPr>
        <w:t>payment, payment of dividends and other distributions to stockholders, which may include stock repurchases, loans and capital contributions, if needed, to our insurance subsidiaries. Our principal sources of liquidity and our capital position are described</w:t>
      </w:r>
      <w:r>
        <w:rPr>
          <w:rFonts w:eastAsia="Times New Roman"/>
          <w:color w:val="000000"/>
          <w:sz w:val="20"/>
          <w:szCs w:val="20"/>
        </w:rPr>
        <w:t xml:space="preserve"> in the following paragraphs.</w:t>
      </w:r>
    </w:p>
    <w:p w:rsidR="00000000" w:rsidRDefault="000C147A">
      <w:pPr>
        <w:divId w:val="1369525789"/>
        <w:rPr>
          <w:rFonts w:eastAsia="Times New Roman"/>
        </w:rPr>
      </w:pPr>
      <w:r>
        <w:rPr>
          <w:rFonts w:eastAsia="Times New Roman"/>
          <w:b/>
          <w:bCs/>
          <w:color w:val="000000"/>
          <w:sz w:val="20"/>
          <w:szCs w:val="20"/>
        </w:rPr>
        <w:t>Sources and Uses of Holding Company Highly Liquid Assets</w:t>
      </w:r>
    </w:p>
    <w:p w:rsidR="00000000" w:rsidRDefault="000C147A">
      <w:pPr>
        <w:ind w:firstLine="360"/>
        <w:divId w:val="1345472895"/>
        <w:rPr>
          <w:rFonts w:eastAsia="Times New Roman"/>
        </w:rPr>
      </w:pPr>
      <w:r>
        <w:rPr>
          <w:rFonts w:eastAsia="Times New Roman"/>
          <w:color w:val="000000"/>
          <w:sz w:val="20"/>
          <w:szCs w:val="20"/>
        </w:rPr>
        <w:t>The following table sets forth Holding’s principal sources and uses of highly liquid assets, excluding net borrowings from our intercompany liquidity account, for the pe</w:t>
      </w:r>
      <w:r>
        <w:rPr>
          <w:rFonts w:eastAsia="Times New Roman"/>
          <w:color w:val="000000"/>
          <w:sz w:val="20"/>
          <w:szCs w:val="20"/>
        </w:rPr>
        <w:t>riods indicated.</w:t>
      </w:r>
    </w:p>
    <w:tbl>
      <w:tblPr>
        <w:tblW w:w="4926" w:type="pct"/>
        <w:tblCellMar>
          <w:top w:w="15" w:type="dxa"/>
          <w:left w:w="15" w:type="dxa"/>
          <w:bottom w:w="15" w:type="dxa"/>
          <w:right w:w="15" w:type="dxa"/>
        </w:tblCellMar>
        <w:tblLook w:val="04A0" w:firstRow="1" w:lastRow="0" w:firstColumn="1" w:lastColumn="0" w:noHBand="0" w:noVBand="1"/>
      </w:tblPr>
      <w:tblGrid>
        <w:gridCol w:w="52"/>
        <w:gridCol w:w="5988"/>
        <w:gridCol w:w="39"/>
        <w:gridCol w:w="120"/>
        <w:gridCol w:w="886"/>
        <w:gridCol w:w="36"/>
        <w:gridCol w:w="36"/>
        <w:gridCol w:w="36"/>
        <w:gridCol w:w="36"/>
        <w:gridCol w:w="50"/>
        <w:gridCol w:w="868"/>
        <w:gridCol w:w="36"/>
      </w:tblGrid>
      <w:tr w:rsidR="00000000">
        <w:trPr>
          <w:divId w:val="2139102676"/>
        </w:trPr>
        <w:tc>
          <w:tcPr>
            <w:tcW w:w="50" w:type="pct"/>
            <w:vAlign w:val="center"/>
            <w:hideMark/>
          </w:tcPr>
          <w:p w:rsidR="00000000" w:rsidRDefault="000C147A">
            <w:pPr>
              <w:ind w:firstLine="360"/>
              <w:rPr>
                <w:rFonts w:eastAsia="Times New Roman"/>
              </w:rPr>
            </w:pPr>
          </w:p>
        </w:tc>
        <w:tc>
          <w:tcPr>
            <w:tcW w:w="367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2139102676"/>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Nine Months Ended September 30,</w:t>
            </w:r>
          </w:p>
        </w:tc>
      </w:tr>
      <w:tr w:rsidR="00000000">
        <w:trPr>
          <w:divId w:val="2139102676"/>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ascii="Calibri" w:eastAsia="Times New Roman" w:hAnsi="Calibri" w:cs="Calibri"/>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ascii="Calibri" w:eastAsia="Times New Roman" w:hAnsi="Calibri" w:cs="Calibri"/>
                <w:color w:val="000000"/>
                <w:sz w:val="18"/>
                <w:szCs w:val="18"/>
              </w:rPr>
              <w:t>2019</w:t>
            </w:r>
          </w:p>
        </w:tc>
      </w:tr>
      <w:tr w:rsidR="00000000">
        <w:trPr>
          <w:divId w:val="2139102676"/>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2139102676"/>
        </w:trPr>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Highly Liquid Assets, beginning of period</w:t>
            </w:r>
          </w:p>
        </w:tc>
        <w:tc>
          <w:tcPr>
            <w:tcW w:w="0" w:type="auto"/>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743 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Dividends from subsidiaries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Repayment of surplus note including interest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Income taxes payable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1,503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(330)</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(637)</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Retirement of treasury shares</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(552)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C147A">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Preferred stock dividend</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FFFFFF"/>
            <w:tcMar>
              <w:top w:w="30" w:type="dxa"/>
              <w:left w:w="36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Preferred Stock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vAlign w:val="center"/>
            <w:hideMark/>
          </w:tcPr>
          <w:p w:rsidR="00000000" w:rsidRDefault="000C147A">
            <w:pPr>
              <w:jc w:val="right"/>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Height w:val="280"/>
        </w:trPr>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2139102676"/>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Net decrease (increase) in loans to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2139102676"/>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20"/>
                <w:szCs w:val="20"/>
              </w:rPr>
              <w:t>Total Affiliated Debt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1638951035"/>
        <w:rPr>
          <w:rFonts w:eastAsia="Times New Roman"/>
        </w:rPr>
      </w:pPr>
      <w:r>
        <w:rPr>
          <w:rFonts w:eastAsia="Times New Roman"/>
          <w:color w:val="000000"/>
          <w:sz w:val="20"/>
          <w:szCs w:val="20"/>
        </w:rPr>
        <w:t>119</w:t>
      </w:r>
    </w:p>
    <w:p w:rsidR="00000000" w:rsidRDefault="000C147A">
      <w:pPr>
        <w:rPr>
          <w:rFonts w:eastAsia="Times New Roman"/>
        </w:rPr>
      </w:pPr>
      <w:r>
        <w:rPr>
          <w:rFonts w:eastAsia="Times New Roman"/>
        </w:rPr>
        <w:pict>
          <v:rect id="_x0000_i1145" style="width:0;height:1.5pt" o:hralign="center" o:hrstd="t" o:hr="t" fillcolor="#a0a0a0" stroked="f"/>
        </w:pict>
      </w:r>
    </w:p>
    <w:p w:rsidR="00000000" w:rsidRDefault="000C147A">
      <w:pPr>
        <w:divId w:val="1162164696"/>
        <w:rPr>
          <w:rFonts w:eastAsia="Times New Roman"/>
        </w:rPr>
      </w:pPr>
    </w:p>
    <w:tbl>
      <w:tblPr>
        <w:tblW w:w="4926" w:type="pct"/>
        <w:tblCellMar>
          <w:top w:w="15" w:type="dxa"/>
          <w:left w:w="15" w:type="dxa"/>
          <w:bottom w:w="15" w:type="dxa"/>
          <w:right w:w="15" w:type="dxa"/>
        </w:tblCellMar>
        <w:tblLook w:val="04A0" w:firstRow="1" w:lastRow="0" w:firstColumn="1" w:lastColumn="0" w:noHBand="0" w:noVBand="1"/>
      </w:tblPr>
      <w:tblGrid>
        <w:gridCol w:w="39"/>
        <w:gridCol w:w="5975"/>
        <w:gridCol w:w="37"/>
        <w:gridCol w:w="120"/>
        <w:gridCol w:w="873"/>
        <w:gridCol w:w="36"/>
        <w:gridCol w:w="36"/>
        <w:gridCol w:w="36"/>
        <w:gridCol w:w="36"/>
        <w:gridCol w:w="120"/>
        <w:gridCol w:w="839"/>
        <w:gridCol w:w="36"/>
      </w:tblGrid>
      <w:tr w:rsidR="00000000">
        <w:trPr>
          <w:divId w:val="1127815565"/>
        </w:trPr>
        <w:tc>
          <w:tcPr>
            <w:tcW w:w="50" w:type="pct"/>
            <w:vAlign w:val="center"/>
            <w:hideMark/>
          </w:tcPr>
          <w:p w:rsidR="00000000" w:rsidRDefault="000C147A">
            <w:pPr>
              <w:rPr>
                <w:rFonts w:eastAsia="Times New Roman"/>
              </w:rPr>
            </w:pPr>
          </w:p>
        </w:tc>
        <w:tc>
          <w:tcPr>
            <w:tcW w:w="367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6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12781556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Nine Months Ended September 30,</w:t>
            </w:r>
          </w:p>
        </w:tc>
      </w:tr>
      <w:tr w:rsidR="00000000">
        <w:trPr>
          <w:divId w:val="1127815565"/>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ascii="Calibri" w:eastAsia="Times New Roman" w:hAnsi="Calibri" w:cs="Calibri"/>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ascii="Calibri" w:eastAsia="Times New Roman" w:hAnsi="Calibri" w:cs="Calibri"/>
                <w:color w:val="000000"/>
                <w:sz w:val="18"/>
                <w:szCs w:val="18"/>
              </w:rPr>
              <w:t>2019</w:t>
            </w:r>
          </w:p>
        </w:tc>
      </w:tr>
      <w:tr w:rsidR="00000000">
        <w:trPr>
          <w:divId w:val="112781556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127815565"/>
        </w:trPr>
        <w:tc>
          <w:tcPr>
            <w:tcW w:w="0" w:type="auto"/>
            <w:gridSpan w:val="3"/>
            <w:vAlign w:val="center"/>
            <w:hideMark/>
          </w:tcPr>
          <w:p w:rsidR="00000000" w:rsidRDefault="000C147A">
            <w:pPr>
              <w:jc w:val="center"/>
              <w:rPr>
                <w:rFonts w:eastAsia="Times New Roman"/>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1127815565"/>
        </w:trPr>
        <w:tc>
          <w:tcPr>
            <w:tcW w:w="0" w:type="auto"/>
            <w:gridSpan w:val="3"/>
            <w:shd w:val="clear" w:color="auto" w:fill="CCEE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Interest paid on external debt and P-Caps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(122)</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127815565"/>
        </w:trPr>
        <w:tc>
          <w:tcPr>
            <w:tcW w:w="0" w:type="auto"/>
            <w:gridSpan w:val="3"/>
            <w:shd w:val="clear" w:color="auto" w:fill="FFFFFF"/>
            <w:tcMar>
              <w:top w:w="30" w:type="dxa"/>
              <w:left w:w="225" w:type="dxa"/>
              <w:bottom w:w="30" w:type="dxa"/>
              <w:right w:w="20" w:type="dxa"/>
            </w:tcMar>
            <w:hideMark/>
          </w:tcPr>
          <w:p w:rsidR="00000000" w:rsidRDefault="000C147A">
            <w:pPr>
              <w:rPr>
                <w:rFonts w:eastAsia="Times New Roman"/>
              </w:rPr>
            </w:pPr>
            <w:r>
              <w:rPr>
                <w:rFonts w:eastAsia="Times New Roman"/>
                <w:color w:val="000000"/>
                <w:sz w:val="20"/>
                <w:szCs w:val="20"/>
              </w:rPr>
              <w:t>Others, net</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(193)</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127815565"/>
        </w:trPr>
        <w:tc>
          <w:tcPr>
            <w:tcW w:w="0" w:type="auto"/>
            <w:gridSpan w:val="3"/>
            <w:shd w:val="clear" w:color="auto" w:fill="CCEEFF"/>
            <w:tcMar>
              <w:top w:w="30" w:type="dxa"/>
              <w:left w:w="360" w:type="dxa"/>
              <w:bottom w:w="30" w:type="dxa"/>
              <w:right w:w="20" w:type="dxa"/>
            </w:tcMar>
            <w:hideMark/>
          </w:tcPr>
          <w:p w:rsidR="00000000" w:rsidRDefault="000C147A">
            <w:pPr>
              <w:rPr>
                <w:rFonts w:eastAsia="Times New Roman"/>
              </w:rPr>
            </w:pPr>
            <w:r>
              <w:rPr>
                <w:rFonts w:eastAsia="Times New Roman"/>
                <w:b/>
                <w:bCs/>
                <w:color w:val="000000"/>
                <w:sz w:val="20"/>
                <w:szCs w:val="20"/>
              </w:rPr>
              <w:t>Total Other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127815565"/>
          <w:trHeight w:val="280"/>
        </w:trPr>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127815565"/>
        </w:trPr>
        <w:tc>
          <w:tcPr>
            <w:tcW w:w="0" w:type="auto"/>
            <w:gridSpan w:val="3"/>
            <w:shd w:val="clear" w:color="auto" w:fill="CCEE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127815565"/>
        </w:trPr>
        <w:tc>
          <w:tcPr>
            <w:tcW w:w="0" w:type="auto"/>
            <w:gridSpan w:val="3"/>
            <w:shd w:val="clear" w:color="auto" w:fill="FFFFFF"/>
            <w:tcMar>
              <w:top w:w="30" w:type="dxa"/>
              <w:left w:w="20" w:type="dxa"/>
              <w:bottom w:w="30" w:type="dxa"/>
              <w:right w:w="20" w:type="dxa"/>
            </w:tcMar>
            <w:hideMark/>
          </w:tcPr>
          <w:p w:rsidR="00000000" w:rsidRDefault="000C147A">
            <w:pPr>
              <w:rPr>
                <w:rFonts w:eastAsia="Times New Roman"/>
              </w:rPr>
            </w:pPr>
            <w:r>
              <w:rPr>
                <w:rFonts w:eastAsia="Times New Roman"/>
                <w:b/>
                <w:bCs/>
                <w:color w:val="000000"/>
                <w:sz w:val="20"/>
                <w:szCs w:val="20"/>
              </w:rPr>
              <w:t>Highly Liquid Assets,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2,946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1,644 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871503297"/>
        <w:rPr>
          <w:rFonts w:eastAsia="Times New Roman"/>
        </w:rPr>
      </w:pPr>
    </w:p>
    <w:p w:rsidR="00000000" w:rsidRDefault="000C147A">
      <w:pPr>
        <w:ind w:firstLine="360"/>
        <w:divId w:val="664556600"/>
        <w:rPr>
          <w:rFonts w:eastAsia="Times New Roman"/>
        </w:rPr>
      </w:pPr>
      <w:r>
        <w:rPr>
          <w:rFonts w:eastAsia="Times New Roman"/>
          <w:color w:val="000000"/>
          <w:sz w:val="20"/>
          <w:szCs w:val="20"/>
        </w:rPr>
        <w:t>In the nine months ended September 30, 2020, Holdings’ liquid assets increased $1.4 billion. Excluding the amount set aside for the EQH Facility (as described under “—Capital Position of Holdings—Credit Facility with AB”), liquid assets increased $1.1 bill</w:t>
      </w:r>
      <w:r>
        <w:rPr>
          <w:rFonts w:eastAsia="Times New Roman"/>
          <w:color w:val="000000"/>
          <w:sz w:val="20"/>
          <w:szCs w:val="20"/>
        </w:rPr>
        <w:t>ion. The resources increased by $1.8 billion due to dividends from our subsidiaries and $494 million in Preferred Stock issuance , and the primary uses are $335 million in capital contributions to subsidiaries, $552 million in shareholders return including</w:t>
      </w:r>
      <w:r>
        <w:rPr>
          <w:rFonts w:eastAsia="Times New Roman"/>
          <w:color w:val="000000"/>
          <w:sz w:val="20"/>
          <w:szCs w:val="20"/>
        </w:rPr>
        <w:t xml:space="preserve"> dividends and share repurchases.</w:t>
      </w:r>
    </w:p>
    <w:p w:rsidR="00000000" w:rsidRDefault="000C147A">
      <w:pPr>
        <w:divId w:val="158159948"/>
        <w:rPr>
          <w:rFonts w:eastAsia="Times New Roman"/>
        </w:rPr>
      </w:pPr>
      <w:r>
        <w:rPr>
          <w:rFonts w:eastAsia="Times New Roman"/>
          <w:i/>
          <w:iCs/>
          <w:color w:val="000000"/>
          <w:sz w:val="20"/>
          <w:szCs w:val="20"/>
          <w:u w:val="single"/>
        </w:rPr>
        <w:t>Cash Distributions from Our Subsidiaries</w:t>
      </w:r>
    </w:p>
    <w:p w:rsidR="00000000" w:rsidRDefault="000C147A">
      <w:pPr>
        <w:ind w:firstLine="360"/>
        <w:divId w:val="396780825"/>
        <w:rPr>
          <w:rFonts w:eastAsia="Times New Roman"/>
        </w:rPr>
      </w:pPr>
      <w:r>
        <w:rPr>
          <w:rFonts w:eastAsia="Times New Roman"/>
          <w:color w:val="000000"/>
          <w:sz w:val="20"/>
          <w:szCs w:val="20"/>
        </w:rPr>
        <w:t>In 2019, Holdings and certain of its subsidiaries received cash distributions from AB of $452 million and $1 billion in dividends from Equitable Financial. Also, Holdings received $576 million from Equitable Financial as repayment of principal of $572 mill</w:t>
      </w:r>
      <w:r>
        <w:rPr>
          <w:rFonts w:eastAsia="Times New Roman"/>
          <w:color w:val="000000"/>
          <w:sz w:val="20"/>
          <w:szCs w:val="20"/>
        </w:rPr>
        <w:t>ion and interest of $4 million related to a $572 million surplus note.</w:t>
      </w:r>
    </w:p>
    <w:p w:rsidR="00000000" w:rsidRDefault="000C147A">
      <w:pPr>
        <w:ind w:firstLine="360"/>
        <w:divId w:val="300505619"/>
        <w:rPr>
          <w:rFonts w:eastAsia="Times New Roman"/>
        </w:rPr>
      </w:pPr>
      <w:r>
        <w:rPr>
          <w:rFonts w:eastAsia="Times New Roman"/>
          <w:color w:val="000000"/>
          <w:sz w:val="20"/>
          <w:szCs w:val="20"/>
        </w:rPr>
        <w:t>Through September 30, 2020, Holdings and certain of its subsidiaries received cash distributions from AB of $404 million and $1.2 billion in dividends from Equitable Financial. Also, Ho</w:t>
      </w:r>
      <w:r>
        <w:rPr>
          <w:rFonts w:eastAsia="Times New Roman"/>
          <w:color w:val="000000"/>
          <w:sz w:val="20"/>
          <w:szCs w:val="20"/>
        </w:rPr>
        <w:t xml:space="preserve">ldings received $60 million in distributions from Equitable Advisors. Holdings also received $164 million in distributions from Equitable Financial related to the USFL and MLICA sale proceeds. </w:t>
      </w:r>
    </w:p>
    <w:p w:rsidR="00000000" w:rsidRDefault="000C147A">
      <w:pPr>
        <w:divId w:val="629828107"/>
        <w:rPr>
          <w:rFonts w:eastAsia="Times New Roman"/>
        </w:rPr>
      </w:pPr>
      <w:r>
        <w:rPr>
          <w:rFonts w:eastAsia="Times New Roman"/>
          <w:i/>
          <w:iCs/>
          <w:color w:val="000000"/>
          <w:sz w:val="20"/>
          <w:szCs w:val="20"/>
          <w:u w:val="single"/>
        </w:rPr>
        <w:t>Distributions from Insurance Subsidiaries</w:t>
      </w:r>
    </w:p>
    <w:p w:rsidR="00000000" w:rsidRDefault="000C147A">
      <w:pPr>
        <w:ind w:firstLine="360"/>
        <w:divId w:val="1070229862"/>
        <w:rPr>
          <w:rFonts w:eastAsia="Times New Roman"/>
        </w:rPr>
      </w:pPr>
      <w:r>
        <w:rPr>
          <w:rFonts w:eastAsia="Times New Roman"/>
          <w:color w:val="000000"/>
          <w:sz w:val="20"/>
          <w:szCs w:val="20"/>
        </w:rPr>
        <w:t>Our insurance compan</w:t>
      </w:r>
      <w:r>
        <w:rPr>
          <w:rFonts w:eastAsia="Times New Roman"/>
          <w:color w:val="000000"/>
          <w:sz w:val="20"/>
          <w:szCs w:val="20"/>
        </w:rPr>
        <w:t xml:space="preserve">ies are subject to limitations on the payment of dividends and other transfers of funds to Holdings and other affiliates under applicable insurance law and regulation. Also, more generally, the ability of our insurance subsidiaries to pay dividends can be </w:t>
      </w:r>
      <w:r>
        <w:rPr>
          <w:rFonts w:eastAsia="Times New Roman"/>
          <w:color w:val="000000"/>
          <w:sz w:val="20"/>
          <w:szCs w:val="20"/>
        </w:rPr>
        <w:t xml:space="preserve">affected by market conditions and other factors beyond our control. </w:t>
      </w:r>
    </w:p>
    <w:p w:rsidR="00000000" w:rsidRDefault="000C147A">
      <w:pPr>
        <w:ind w:firstLine="360"/>
        <w:divId w:val="561328532"/>
        <w:rPr>
          <w:rFonts w:eastAsia="Times New Roman"/>
        </w:rPr>
      </w:pPr>
      <w:r>
        <w:rPr>
          <w:rFonts w:eastAsia="Times New Roman"/>
          <w:color w:val="000000"/>
          <w:sz w:val="20"/>
          <w:szCs w:val="20"/>
        </w:rPr>
        <w:t>Under New York insurance law applicable to Equitable Financial, a domestic stock life insurer may not, without prior approval of the NYDFS, pay a dividend to its stockholders exceeding an</w:t>
      </w:r>
      <w:r>
        <w:rPr>
          <w:rFonts w:eastAsia="Times New Roman"/>
          <w:color w:val="000000"/>
          <w:sz w:val="20"/>
          <w:szCs w:val="20"/>
        </w:rPr>
        <w:t xml:space="preserve"> amount calculated based on a statutory formula. This formula would permit Equitable Financial to pay shareholder dividends up to approximately $2.1 billion during 2020. Dividends in excess of this amount require the insurer to file a notice of its intent </w:t>
      </w:r>
      <w:r>
        <w:rPr>
          <w:rFonts w:eastAsia="Times New Roman"/>
          <w:color w:val="000000"/>
          <w:sz w:val="20"/>
          <w:szCs w:val="20"/>
        </w:rPr>
        <w:t>to declare the dividends with the NYDFS and prior approval or non-disapproval from the NYDFS.</w:t>
      </w:r>
    </w:p>
    <w:p w:rsidR="00000000" w:rsidRDefault="000C147A">
      <w:pPr>
        <w:divId w:val="360976886"/>
        <w:rPr>
          <w:rFonts w:eastAsia="Times New Roman"/>
        </w:rPr>
      </w:pPr>
      <w:r>
        <w:rPr>
          <w:rFonts w:eastAsia="Times New Roman"/>
          <w:i/>
          <w:iCs/>
          <w:color w:val="000000"/>
          <w:sz w:val="20"/>
          <w:szCs w:val="20"/>
          <w:u w:val="single"/>
        </w:rPr>
        <w:t>Distributions from AllianceBernstein</w:t>
      </w:r>
    </w:p>
    <w:p w:rsidR="00000000" w:rsidRDefault="000C147A">
      <w:pPr>
        <w:ind w:firstLine="360"/>
        <w:divId w:val="393893551"/>
        <w:rPr>
          <w:rFonts w:eastAsia="Times New Roman"/>
        </w:rPr>
      </w:pPr>
      <w:r>
        <w:rPr>
          <w:rFonts w:eastAsia="Times New Roman"/>
          <w:color w:val="000000"/>
          <w:sz w:val="20"/>
          <w:szCs w:val="20"/>
        </w:rPr>
        <w:t>ABLP is required to distribute all of its Available Cash Flow, as defined in the Amended and Restated Partnership Agreement o</w:t>
      </w:r>
      <w:r>
        <w:rPr>
          <w:rFonts w:eastAsia="Times New Roman"/>
          <w:color w:val="000000"/>
          <w:sz w:val="20"/>
          <w:szCs w:val="20"/>
        </w:rPr>
        <w:t>f ABLP, to the holders of AB Units and to the General Partner. Available Cash Flow is defined as the cash flow received by ABLP from operations minus such amounts as the General Partner determines, in its sole discretion, should be retained by ABLP for use</w:t>
      </w:r>
      <w:r>
        <w:rPr>
          <w:rFonts w:eastAsia="Times New Roman"/>
          <w:color w:val="000000"/>
          <w:sz w:val="20"/>
          <w:szCs w:val="20"/>
        </w:rPr>
        <w:t xml:space="preserve"> in its business, or plus such amounts as the General Partner determines, in its sole discretion, should be released from previously retained cash flow. Distributions by ABLP are made 1% to the General Partner and 99% among the limited partners.</w:t>
      </w:r>
    </w:p>
    <w:p w:rsidR="00000000" w:rsidRDefault="000C147A">
      <w:pPr>
        <w:ind w:firstLine="360"/>
        <w:divId w:val="374432243"/>
        <w:rPr>
          <w:rFonts w:eastAsia="Times New Roman"/>
        </w:rPr>
      </w:pPr>
      <w:r>
        <w:rPr>
          <w:rFonts w:eastAsia="Times New Roman"/>
          <w:color w:val="000000"/>
          <w:sz w:val="20"/>
          <w:szCs w:val="20"/>
        </w:rPr>
        <w:t>Typically,</w:t>
      </w:r>
      <w:r>
        <w:rPr>
          <w:rFonts w:eastAsia="Times New Roman"/>
          <w:color w:val="000000"/>
          <w:sz w:val="20"/>
          <w:szCs w:val="20"/>
        </w:rPr>
        <w:t xml:space="preserve"> Available Cash Flow has been the adjusted diluted net income per unit for the quarter multiplied by the number of general and limited partnership interests at the end of the quarter. In future periods, management of AB anticipates that Available Cash Flow</w:t>
      </w:r>
      <w:r>
        <w:rPr>
          <w:rFonts w:eastAsia="Times New Roman"/>
          <w:color w:val="000000"/>
          <w:sz w:val="20"/>
          <w:szCs w:val="20"/>
        </w:rPr>
        <w:t xml:space="preserve"> will be based on adjusted diluted net income per unit, unless management of AB determines, with the concurrence of the Board of Directors of AB, that one or more adjustments that are made for adjusted net income should not be made with respect to the Avai</w:t>
      </w:r>
      <w:r>
        <w:rPr>
          <w:rFonts w:eastAsia="Times New Roman"/>
          <w:color w:val="000000"/>
          <w:sz w:val="20"/>
          <w:szCs w:val="20"/>
        </w:rPr>
        <w:t>lable Cash Flow calculation.</w:t>
      </w:r>
    </w:p>
    <w:p w:rsidR="00000000" w:rsidRDefault="000C147A">
      <w:pPr>
        <w:ind w:firstLine="360"/>
        <w:divId w:val="1184437809"/>
        <w:rPr>
          <w:rFonts w:eastAsia="Times New Roman"/>
        </w:rPr>
      </w:pPr>
      <w:r>
        <w:rPr>
          <w:rFonts w:eastAsia="Times New Roman"/>
          <w:color w:val="000000"/>
          <w:sz w:val="20"/>
          <w:szCs w:val="20"/>
        </w:rPr>
        <w:t>AB Holding is required to distribute all of its Available Cash Flow, as defined in the Amended and Restated Agreement of Limited Partnership of AB Holding, to holders of AB Holding Units pro rata in accordance with their percen</w:t>
      </w:r>
      <w:r>
        <w:rPr>
          <w:rFonts w:eastAsia="Times New Roman"/>
          <w:color w:val="000000"/>
          <w:sz w:val="20"/>
          <w:szCs w:val="20"/>
        </w:rPr>
        <w:t>tage interest in AB Holding. Available Cash Flow is defined as the cash distributions AB Holding receives from ABLP minus such amounts as the General Partner determines, in its sole discretion, should be retained by AB Holding for use in its business (such</w:t>
      </w:r>
      <w:r>
        <w:rPr>
          <w:rFonts w:eastAsia="Times New Roman"/>
          <w:color w:val="000000"/>
          <w:sz w:val="20"/>
          <w:szCs w:val="20"/>
        </w:rPr>
        <w:t xml:space="preserve"> as the payment of taxes) or plus such amounts as the General Partner determines, in its sole discretion, should be released from previously </w:t>
      </w:r>
    </w:p>
    <w:p w:rsidR="00000000" w:rsidRDefault="000C147A">
      <w:pPr>
        <w:jc w:val="center"/>
        <w:divId w:val="1687442778"/>
        <w:rPr>
          <w:rFonts w:eastAsia="Times New Roman"/>
        </w:rPr>
      </w:pPr>
      <w:r>
        <w:rPr>
          <w:rFonts w:eastAsia="Times New Roman"/>
          <w:color w:val="000000"/>
          <w:sz w:val="20"/>
          <w:szCs w:val="20"/>
        </w:rPr>
        <w:t>120</w:t>
      </w:r>
    </w:p>
    <w:p w:rsidR="00000000" w:rsidRDefault="000C147A">
      <w:pPr>
        <w:rPr>
          <w:rFonts w:eastAsia="Times New Roman"/>
        </w:rPr>
      </w:pPr>
      <w:r>
        <w:rPr>
          <w:rFonts w:eastAsia="Times New Roman"/>
        </w:rPr>
        <w:pict>
          <v:rect id="_x0000_i1146" style="width:0;height:1.5pt" o:hralign="center" o:hrstd="t" o:hr="t" fillcolor="#a0a0a0" stroked="f"/>
        </w:pict>
      </w:r>
    </w:p>
    <w:p w:rsidR="00000000" w:rsidRDefault="000C147A">
      <w:pPr>
        <w:divId w:val="2075346817"/>
        <w:rPr>
          <w:rFonts w:eastAsia="Times New Roman"/>
        </w:rPr>
      </w:pPr>
    </w:p>
    <w:p w:rsidR="00000000" w:rsidRDefault="000C147A">
      <w:pPr>
        <w:divId w:val="1413237006"/>
        <w:rPr>
          <w:rFonts w:eastAsia="Times New Roman"/>
        </w:rPr>
      </w:pPr>
      <w:r>
        <w:rPr>
          <w:rFonts w:eastAsia="Times New Roman"/>
          <w:color w:val="000000"/>
          <w:sz w:val="20"/>
          <w:szCs w:val="20"/>
        </w:rPr>
        <w:t>retained cash flow. AB Holding is dependent on the quarterly cash distri</w:t>
      </w:r>
      <w:r>
        <w:rPr>
          <w:rFonts w:eastAsia="Times New Roman"/>
          <w:color w:val="000000"/>
          <w:sz w:val="20"/>
          <w:szCs w:val="20"/>
        </w:rPr>
        <w:t>butions it receives from ABLP, which is subject to the performance of capital markets and other factors beyond our control. Distributions from AB Holding are made pro rata based on the holder’s percentage ownership interest in AB Holding.</w:t>
      </w:r>
    </w:p>
    <w:p w:rsidR="00000000" w:rsidRDefault="000C147A">
      <w:pPr>
        <w:ind w:firstLine="360"/>
        <w:divId w:val="1233151992"/>
        <w:rPr>
          <w:rFonts w:eastAsia="Times New Roman"/>
        </w:rPr>
      </w:pPr>
      <w:r>
        <w:rPr>
          <w:rFonts w:eastAsia="Times New Roman"/>
          <w:color w:val="000000"/>
          <w:sz w:val="20"/>
          <w:szCs w:val="20"/>
        </w:rPr>
        <w:t>As of September 3</w:t>
      </w:r>
      <w:r>
        <w:rPr>
          <w:rFonts w:eastAsia="Times New Roman"/>
          <w:color w:val="000000"/>
          <w:sz w:val="20"/>
          <w:szCs w:val="20"/>
        </w:rPr>
        <w:t>0, 2020, Holdings and its non-insurance company subsidiaries hold approximately 167.5 million AB Units, 4.1 million AB Holding Units and the 1% General Partnership interest in ABLP, while 2.6 million AB Units continue to be held by Equitable America. Becau</w:t>
      </w:r>
      <w:r>
        <w:rPr>
          <w:rFonts w:eastAsia="Times New Roman"/>
          <w:color w:val="000000"/>
          <w:sz w:val="20"/>
          <w:szCs w:val="20"/>
        </w:rPr>
        <w:t>se Equitable America is subject to regulatory restrictions on the amount of dividends it may pay, distributions it receives from AB may not be distributable to Holdings.</w:t>
      </w:r>
    </w:p>
    <w:p w:rsidR="00000000" w:rsidRDefault="000C147A">
      <w:pPr>
        <w:ind w:firstLine="360"/>
        <w:divId w:val="984623181"/>
        <w:rPr>
          <w:rFonts w:eastAsia="Times New Roman"/>
        </w:rPr>
      </w:pPr>
      <w:r>
        <w:rPr>
          <w:rFonts w:eastAsia="Times New Roman"/>
          <w:color w:val="000000"/>
          <w:sz w:val="20"/>
          <w:szCs w:val="20"/>
        </w:rPr>
        <w:t>As of September 30, 2020, the ownership structure of ABLP, including AB Units outstand</w:t>
      </w:r>
      <w:r>
        <w:rPr>
          <w:rFonts w:eastAsia="Times New Roman"/>
          <w:color w:val="000000"/>
          <w:sz w:val="20"/>
          <w:szCs w:val="20"/>
        </w:rPr>
        <w:t xml:space="preserve">ing as well as the general partner’s 1% interest, was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531193341"/>
        </w:trPr>
        <w:tc>
          <w:tcPr>
            <w:tcW w:w="50" w:type="pct"/>
            <w:vAlign w:val="center"/>
            <w:hideMark/>
          </w:tcPr>
          <w:p w:rsidR="00000000" w:rsidRDefault="000C147A">
            <w:pPr>
              <w:ind w:firstLine="360"/>
              <w:rPr>
                <w:rFonts w:eastAsia="Times New Roman"/>
              </w:rPr>
            </w:pPr>
          </w:p>
        </w:tc>
        <w:tc>
          <w:tcPr>
            <w:tcW w:w="42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67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531193341"/>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Percentage Ownership</w:t>
            </w:r>
          </w:p>
        </w:tc>
      </w:tr>
      <w:tr w:rsidR="00000000">
        <w:trPr>
          <w:divId w:val="53119334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53119334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531193341"/>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r w:rsidR="00000000">
        <w:trPr>
          <w:divId w:val="531193341"/>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r>
              <w:rPr>
                <w:rFonts w:eastAsia="Times New Roman"/>
                <w:color w:val="000000"/>
                <w:sz w:val="20"/>
                <w:szCs w:val="20"/>
              </w:rPr>
              <w:t>%</w:t>
            </w:r>
          </w:p>
        </w:tc>
      </w:tr>
    </w:tbl>
    <w:p w:rsidR="00000000" w:rsidRDefault="000C147A">
      <w:pPr>
        <w:ind w:firstLine="360"/>
        <w:divId w:val="1222910048"/>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September 30, 2020.</w:t>
      </w:r>
    </w:p>
    <w:p w:rsidR="00000000" w:rsidRDefault="000C147A">
      <w:pPr>
        <w:divId w:val="56709865"/>
        <w:rPr>
          <w:rFonts w:eastAsia="Times New Roman"/>
        </w:rPr>
      </w:pPr>
    </w:p>
    <w:p w:rsidR="00000000" w:rsidRDefault="000C147A">
      <w:pPr>
        <w:divId w:val="1201437637"/>
        <w:rPr>
          <w:rFonts w:eastAsia="Times New Roman"/>
        </w:rPr>
      </w:pPr>
      <w:r>
        <w:rPr>
          <w:rFonts w:eastAsia="Times New Roman"/>
          <w:i/>
          <w:iCs/>
          <w:color w:val="000000"/>
          <w:sz w:val="20"/>
          <w:szCs w:val="20"/>
          <w:u w:val="single"/>
        </w:rPr>
        <w:t xml:space="preserve">Holdings Credit Facilities </w:t>
      </w:r>
    </w:p>
    <w:p w:rsidR="00000000" w:rsidRDefault="000C147A">
      <w:pPr>
        <w:ind w:firstLine="360"/>
        <w:divId w:val="1439645028"/>
        <w:rPr>
          <w:rFonts w:eastAsia="Times New Roman"/>
        </w:rPr>
      </w:pPr>
      <w:r>
        <w:rPr>
          <w:rFonts w:eastAsia="Times New Roman"/>
          <w:color w:val="000000"/>
          <w:sz w:val="20"/>
          <w:szCs w:val="20"/>
        </w:rPr>
        <w:t>We have a $2.5 billion five-year senior unsecured revolving credit facility (the “Credit Facility”), which may provide significant support to our liquidity position when alternative sources of credit are limited. In addition to the Credit Facility, we have</w:t>
      </w:r>
      <w:r>
        <w:rPr>
          <w:rFonts w:eastAsia="Times New Roman"/>
          <w:color w:val="000000"/>
          <w:sz w:val="20"/>
          <w:szCs w:val="20"/>
        </w:rPr>
        <w:t xml:space="preserve"> letter of credit facilities with an aggregate principal amount of approximately $1.9 billion (the “LOC Facilities”), primarily to be used to support our life insurance business reinsured to EQ AZ Life Re in April 2018. </w:t>
      </w:r>
    </w:p>
    <w:p w:rsidR="00000000" w:rsidRDefault="000C147A">
      <w:pPr>
        <w:ind w:firstLine="360"/>
        <w:divId w:val="1131245567"/>
        <w:rPr>
          <w:rFonts w:eastAsia="Times New Roman"/>
        </w:rPr>
      </w:pPr>
      <w:r>
        <w:rPr>
          <w:rFonts w:eastAsia="Times New Roman"/>
          <w:color w:val="000000"/>
          <w:sz w:val="20"/>
          <w:szCs w:val="20"/>
        </w:rPr>
        <w:t>The Credit Facilities and LOC Facil</w:t>
      </w:r>
      <w:r>
        <w:rPr>
          <w:rFonts w:eastAsia="Times New Roman"/>
          <w:color w:val="000000"/>
          <w:sz w:val="20"/>
          <w:szCs w:val="20"/>
        </w:rPr>
        <w:t>ities contain certain administrative, reporting, legal and financial covenants, including requirements to maintain a specified minimum consolidated net worth and to maintain a ratio of indebtedness to total capitalization not in excess of a specified perce</w:t>
      </w:r>
      <w:r>
        <w:rPr>
          <w:rFonts w:eastAsia="Times New Roman"/>
          <w:color w:val="000000"/>
          <w:sz w:val="20"/>
          <w:szCs w:val="20"/>
        </w:rPr>
        <w:t>ntage, and limitations on the dollar amount of indebtedness that may be incurred by our subsidiaries and the dollar amount of secured indebtedness that may be incurred by us, which could restrict our operations and use of funds. The right to borrow funds u</w:t>
      </w:r>
      <w:r>
        <w:rPr>
          <w:rFonts w:eastAsia="Times New Roman"/>
          <w:color w:val="000000"/>
          <w:sz w:val="20"/>
          <w:szCs w:val="20"/>
        </w:rPr>
        <w:t>nder the Credit Facility and LOC Facilities is subject to the fulfillment of certain conditions, including compliance with all covenants, and the ability to borrow thereunder is also subject to the continued ability of the lenders that are or will be parti</w:t>
      </w:r>
      <w:r>
        <w:rPr>
          <w:rFonts w:eastAsia="Times New Roman"/>
          <w:color w:val="000000"/>
          <w:sz w:val="20"/>
          <w:szCs w:val="20"/>
        </w:rPr>
        <w:t xml:space="preserve">es to the facilities to provide funds. As of September 30, 2020, we were in compliance with these covenants. For additional information regarding the covenants in the facilities and the conditions to borrowing thereunder, see “Part I Item 1A-Risk Factors” </w:t>
      </w:r>
      <w:r>
        <w:rPr>
          <w:rFonts w:eastAsia="Times New Roman"/>
          <w:color w:val="000000"/>
          <w:sz w:val="20"/>
          <w:szCs w:val="20"/>
        </w:rPr>
        <w:t>in the Annual Report on Form 10-K for the year ended December 31, 2019.</w:t>
      </w:r>
    </w:p>
    <w:p w:rsidR="00000000" w:rsidRDefault="000C147A">
      <w:pPr>
        <w:divId w:val="709577819"/>
        <w:rPr>
          <w:rFonts w:eastAsia="Times New Roman"/>
        </w:rPr>
      </w:pPr>
      <w:r>
        <w:rPr>
          <w:rFonts w:eastAsia="Times New Roman"/>
          <w:i/>
          <w:iCs/>
          <w:color w:val="000000"/>
          <w:sz w:val="20"/>
          <w:szCs w:val="20"/>
          <w:u w:val="single"/>
        </w:rPr>
        <w:t xml:space="preserve">Contingent Funding Arrangements </w:t>
      </w:r>
    </w:p>
    <w:p w:rsidR="00000000" w:rsidRDefault="000C147A">
      <w:pPr>
        <w:ind w:firstLine="360"/>
        <w:divId w:val="1468208385"/>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w:t>
      </w:r>
      <w:r>
        <w:rPr>
          <w:rFonts w:eastAsia="Times New Roman"/>
          <w:color w:val="000000"/>
          <w:sz w:val="20"/>
          <w:szCs w:val="20"/>
        </w:rPr>
        <w:t>rchasers, and the Trusts (as defined below), Pine Street Trust I, a Delaware statutory trust (the “2029 Trust”), completed the issuance and sale of 600,000 of its Pre-Capitalized Trust Securities redeemable February 15, 2029 (the “2029 P-Caps”) for an aggr</w:t>
      </w:r>
      <w:r>
        <w:rPr>
          <w:rFonts w:eastAsia="Times New Roman"/>
          <w:color w:val="000000"/>
          <w:sz w:val="20"/>
          <w:szCs w:val="20"/>
        </w:rPr>
        <w:t>egate purchase price of $600 million and Pine Street Trust II, a Delaware statutory trust (the “2049 Trust” and, together with the 2029 Trust, the “Trusts”), completed the issuance and sale of 400,000 of its Pre-Capitalized Trust Securities redeemable Febr</w:t>
      </w:r>
      <w:r>
        <w:rPr>
          <w:rFonts w:eastAsia="Times New Roman"/>
          <w:color w:val="000000"/>
          <w:sz w:val="20"/>
          <w:szCs w:val="20"/>
        </w:rPr>
        <w:t>uary 15, 2049 (the “2049 P-Caps” and, together with the 2029 P-Caps, the “P-Caps”) for an aggregate purchase price of $400 million, in each case to qualified institutional buyers in reliance on Rule 144A that are also “qualified purchasers” for purposes of</w:t>
      </w:r>
      <w:r>
        <w:rPr>
          <w:rFonts w:eastAsia="Times New Roman"/>
          <w:color w:val="000000"/>
          <w:sz w:val="20"/>
          <w:szCs w:val="20"/>
        </w:rPr>
        <w:t xml:space="preserve"> Section 3(c)(7) of the Investment Company Act of 1940, as amended. The P-Caps are a contingent funding arrangement that, upon Holdings’ election, gives Holdings the right over a ten-year period (in the case of the 2029 Trust) or over a thirty-year period </w:t>
      </w:r>
      <w:r>
        <w:rPr>
          <w:rFonts w:eastAsia="Times New Roman"/>
          <w:color w:val="000000"/>
          <w:sz w:val="20"/>
          <w:szCs w:val="20"/>
        </w:rPr>
        <w:t>(in the case of the 2049 Trust) to issue senior notes to the Trusts. The Trusts each invested the proceeds from the sale of their P-Caps in separate portfolios of principal and/or interest strips of U.S. Treasury securities.</w:t>
      </w:r>
    </w:p>
    <w:p w:rsidR="00000000" w:rsidRDefault="000C147A">
      <w:pPr>
        <w:divId w:val="1499156701"/>
        <w:rPr>
          <w:rFonts w:eastAsia="Times New Roman"/>
        </w:rPr>
      </w:pPr>
      <w:r>
        <w:rPr>
          <w:rFonts w:eastAsia="Times New Roman"/>
          <w:i/>
          <w:iCs/>
          <w:color w:val="000000"/>
          <w:sz w:val="20"/>
          <w:szCs w:val="20"/>
          <w:u w:val="single"/>
        </w:rPr>
        <w:t>Series A Fixed Rate Noncumulati</w:t>
      </w:r>
      <w:r>
        <w:rPr>
          <w:rFonts w:eastAsia="Times New Roman"/>
          <w:i/>
          <w:iCs/>
          <w:color w:val="000000"/>
          <w:sz w:val="20"/>
          <w:szCs w:val="20"/>
          <w:u w:val="single"/>
        </w:rPr>
        <w:t xml:space="preserve">ve Perpetual Preferred Stock </w:t>
      </w:r>
    </w:p>
    <w:p w:rsidR="00000000" w:rsidRDefault="000C147A">
      <w:pPr>
        <w:ind w:firstLine="360"/>
        <w:divId w:val="1418669447"/>
        <w:rPr>
          <w:rFonts w:eastAsia="Times New Roman"/>
        </w:rPr>
      </w:pPr>
      <w:r>
        <w:rPr>
          <w:rFonts w:eastAsia="Times New Roman"/>
          <w:color w:val="000000"/>
          <w:sz w:val="20"/>
          <w:szCs w:val="20"/>
        </w:rPr>
        <w:t>In November and December 2019, Holdings issued a total of 32 million depositary shares, each representing a 1/1,000th interest in share of Holdings’ Series A Fixed Rate Noncumulative Perpetual Preferred Stock (“Series A Prefer</w:t>
      </w:r>
      <w:r>
        <w:rPr>
          <w:rFonts w:eastAsia="Times New Roman"/>
          <w:color w:val="000000"/>
          <w:sz w:val="20"/>
          <w:szCs w:val="20"/>
        </w:rPr>
        <w:t xml:space="preserve">red Stock”), </w:t>
      </w:r>
    </w:p>
    <w:p w:rsidR="00000000" w:rsidRDefault="000C147A">
      <w:pPr>
        <w:jc w:val="center"/>
        <w:divId w:val="783577463"/>
        <w:rPr>
          <w:rFonts w:eastAsia="Times New Roman"/>
        </w:rPr>
      </w:pPr>
      <w:r>
        <w:rPr>
          <w:rFonts w:eastAsia="Times New Roman"/>
          <w:color w:val="000000"/>
          <w:sz w:val="20"/>
          <w:szCs w:val="20"/>
        </w:rPr>
        <w:t>121</w:t>
      </w:r>
    </w:p>
    <w:p w:rsidR="00000000" w:rsidRDefault="000C147A">
      <w:pPr>
        <w:rPr>
          <w:rFonts w:eastAsia="Times New Roman"/>
        </w:rPr>
      </w:pPr>
      <w:r>
        <w:rPr>
          <w:rFonts w:eastAsia="Times New Roman"/>
        </w:rPr>
        <w:pict>
          <v:rect id="_x0000_i1147" style="width:0;height:1.5pt" o:hralign="center" o:hrstd="t" o:hr="t" fillcolor="#a0a0a0" stroked="f"/>
        </w:pict>
      </w:r>
    </w:p>
    <w:p w:rsidR="00000000" w:rsidRDefault="000C147A">
      <w:pPr>
        <w:divId w:val="2068217594"/>
        <w:rPr>
          <w:rFonts w:eastAsia="Times New Roman"/>
        </w:rPr>
      </w:pPr>
    </w:p>
    <w:p w:rsidR="00000000" w:rsidRDefault="000C147A">
      <w:pPr>
        <w:divId w:val="1068455262"/>
        <w:rPr>
          <w:rFonts w:eastAsia="Times New Roman"/>
        </w:rPr>
      </w:pPr>
      <w:r>
        <w:rPr>
          <w:rFonts w:eastAsia="Times New Roman"/>
          <w:color w:val="000000"/>
          <w:sz w:val="20"/>
          <w:szCs w:val="20"/>
        </w:rPr>
        <w:t xml:space="preserve">$1.00 par value per share, with a liquidation preference of $25,000 per share of Series A Preferred Stock, for aggregate net cash proceeds of $775 million ($800 million gross). The Series A Preferred </w:t>
      </w:r>
      <w:r>
        <w:rPr>
          <w:rFonts w:eastAsia="Times New Roman"/>
          <w:color w:val="000000"/>
          <w:sz w:val="20"/>
          <w:szCs w:val="20"/>
        </w:rPr>
        <w:t>Stock ranks senior to Holdings common stock with respect to the payment of dividends and liquidation. Holdings will pay dividends on the Series A Preferred Stock on a noncumulative basis only when, as and if declared by Holdings’ Board of Directors (or a d</w:t>
      </w:r>
      <w:r>
        <w:rPr>
          <w:rFonts w:eastAsia="Times New Roman"/>
          <w:color w:val="000000"/>
          <w:sz w:val="20"/>
          <w:szCs w:val="20"/>
        </w:rPr>
        <w:t>uly authorized committee of the board) and will be payable quarterly in arrears, at an annual rate of 5.25% on the stated amount per share. The Series A Preferred Stock is redeemable at Holdings’ option in whole or in part, on or after December 15, 2024, a</w:t>
      </w:r>
      <w:r>
        <w:rPr>
          <w:rFonts w:eastAsia="Times New Roman"/>
          <w:color w:val="000000"/>
          <w:sz w:val="20"/>
          <w:szCs w:val="20"/>
        </w:rPr>
        <w:t>t a redemption price of $25,000 per share of Series A Preferred Stock, plus declared and unpaid dividends. Prior to December 25, 2024, the Series A Preferred Stock is redeemable at Holdings’ option, in whole but not in part, within 90 days of the occurrenc</w:t>
      </w:r>
      <w:r>
        <w:rPr>
          <w:rFonts w:eastAsia="Times New Roman"/>
          <w:color w:val="000000"/>
          <w:sz w:val="20"/>
          <w:szCs w:val="20"/>
        </w:rPr>
        <w:t>e of certain rating agency events at a redemption price equal to $25,500 per share, plus declared and unpaid dividends or certain regulatory capital events at a redemption price equal to $25,000 per share, plus any declared and unpaid dividends.</w:t>
      </w:r>
    </w:p>
    <w:p w:rsidR="00000000" w:rsidRDefault="000C147A">
      <w:pPr>
        <w:divId w:val="694424334"/>
        <w:rPr>
          <w:rFonts w:eastAsia="Times New Roman"/>
        </w:rPr>
      </w:pPr>
      <w:r>
        <w:rPr>
          <w:rFonts w:eastAsia="Times New Roman"/>
          <w:i/>
          <w:iCs/>
          <w:color w:val="000000"/>
          <w:sz w:val="20"/>
          <w:szCs w:val="20"/>
          <w:u w:val="single"/>
        </w:rPr>
        <w:t>Series B F</w:t>
      </w:r>
      <w:r>
        <w:rPr>
          <w:rFonts w:eastAsia="Times New Roman"/>
          <w:i/>
          <w:iCs/>
          <w:color w:val="000000"/>
          <w:sz w:val="20"/>
          <w:szCs w:val="20"/>
          <w:u w:val="single"/>
        </w:rPr>
        <w:t xml:space="preserve">ixed Rate Noncumulative Perpetual Preferred Stock </w:t>
      </w:r>
    </w:p>
    <w:p w:rsidR="00000000" w:rsidRDefault="000C147A">
      <w:pPr>
        <w:ind w:firstLine="720"/>
        <w:divId w:val="283771541"/>
        <w:rPr>
          <w:rFonts w:eastAsia="Times New Roman"/>
        </w:rPr>
      </w:pPr>
      <w:r>
        <w:rPr>
          <w:rFonts w:eastAsia="Times New Roman"/>
          <w:color w:val="000000"/>
          <w:sz w:val="20"/>
          <w:szCs w:val="20"/>
        </w:rPr>
        <w:t>On August 11, 2020, Holdings issued 500,000 depositary shares, each representing a 1/25th interest in a share of the Company’s Series B Fixed Rate Reset Noncumulative Perpetual Preferred Stock (“Series B P</w:t>
      </w:r>
      <w:r>
        <w:rPr>
          <w:rFonts w:eastAsia="Times New Roman"/>
          <w:color w:val="000000"/>
          <w:sz w:val="20"/>
          <w:szCs w:val="20"/>
        </w:rPr>
        <w:t>referred Stock”), $1.00 par value per share and liquidation preference of $25,000 per share, for aggregate net cash proceeds of $494 million ($500 million gross). The Series B Preferred Stock ranks senior to Holdings’ common stock and on parity with Holdin</w:t>
      </w:r>
      <w:r>
        <w:rPr>
          <w:rFonts w:eastAsia="Times New Roman"/>
          <w:color w:val="000000"/>
          <w:sz w:val="20"/>
          <w:szCs w:val="20"/>
        </w:rPr>
        <w:t>gs’ Series A Preferred Stock with respect to the payment of dividends and liquidation. Holdings will pay dividends on the Series B Preferred Stock on a noncumulative basis only when, as and if declared by the Company’s Board of Directors (or a duly authori</w:t>
      </w:r>
      <w:r>
        <w:rPr>
          <w:rFonts w:eastAsia="Times New Roman"/>
          <w:color w:val="000000"/>
          <w:sz w:val="20"/>
          <w:szCs w:val="20"/>
        </w:rPr>
        <w:t>zed committee of the Board) and will be payable semi-annually in arrears, at an annual rate equal to the fixed rate of 4.950%, which is reset every 5 years starting on December 15, 2025 (“Reset Date”), at a rate per annum equal to the five-year U.S. Treasu</w:t>
      </w:r>
      <w:r>
        <w:rPr>
          <w:rFonts w:eastAsia="Times New Roman"/>
          <w:color w:val="000000"/>
          <w:sz w:val="20"/>
          <w:szCs w:val="20"/>
        </w:rPr>
        <w:t>ry Rate plus 4.736%.</w:t>
      </w:r>
    </w:p>
    <w:p w:rsidR="00000000" w:rsidRDefault="000C147A">
      <w:pPr>
        <w:ind w:firstLine="720"/>
        <w:divId w:val="288126053"/>
        <w:rPr>
          <w:rFonts w:eastAsia="Times New Roman"/>
        </w:rPr>
      </w:pPr>
    </w:p>
    <w:p w:rsidR="00000000" w:rsidRDefault="000C147A">
      <w:pPr>
        <w:ind w:firstLine="720"/>
        <w:divId w:val="1986667486"/>
        <w:rPr>
          <w:rFonts w:eastAsia="Times New Roman"/>
        </w:rPr>
      </w:pPr>
      <w:r>
        <w:rPr>
          <w:rFonts w:eastAsia="Times New Roman"/>
          <w:color w:val="000000"/>
          <w:sz w:val="20"/>
          <w:szCs w:val="20"/>
        </w:rPr>
        <w:t>In connection with the issuance of the depositary shares and the underlying Series B Preferred Stock, Holdings incurred $6 million of issuance costs, which have been recorded as a reduction of additional paid-in capital. The Series B</w:t>
      </w:r>
      <w:r>
        <w:rPr>
          <w:rFonts w:eastAsia="Times New Roman"/>
          <w:color w:val="000000"/>
          <w:sz w:val="20"/>
          <w:szCs w:val="20"/>
        </w:rPr>
        <w:t xml:space="preserve"> Preferred Stock is redeemable at Holdings’ option in whole or in part, from time to time, during the three-month period prior to, and including, each Reset Date, at a redemption price equal to $25,000 per share of preferred stock, plus any declared and un</w:t>
      </w:r>
      <w:r>
        <w:rPr>
          <w:rFonts w:eastAsia="Times New Roman"/>
          <w:color w:val="000000"/>
          <w:sz w:val="20"/>
          <w:szCs w:val="20"/>
        </w:rPr>
        <w:t>paid dividends. Furthermore, the preferred stock is redeemable at Holdings’ option, in whole but not in part at any time, within 90 days after the occurrence of certain rating agency events at a redemption price equal to $25,500 per share, plus any declare</w:t>
      </w:r>
      <w:r>
        <w:rPr>
          <w:rFonts w:eastAsia="Times New Roman"/>
          <w:color w:val="000000"/>
          <w:sz w:val="20"/>
          <w:szCs w:val="20"/>
        </w:rPr>
        <w:t>d and unpaid dividends or after the occurrence of certain regulatory capital events at a redemption price equal to $25,000 per share, plus any declared and unpaid dividends.</w:t>
      </w:r>
    </w:p>
    <w:p w:rsidR="00000000" w:rsidRDefault="000C147A">
      <w:pPr>
        <w:jc w:val="both"/>
        <w:divId w:val="150944966"/>
        <w:rPr>
          <w:rFonts w:eastAsia="Times New Roman"/>
        </w:rPr>
      </w:pPr>
      <w:r>
        <w:rPr>
          <w:rFonts w:eastAsia="Times New Roman"/>
          <w:b/>
          <w:bCs/>
          <w:i/>
          <w:iCs/>
          <w:color w:val="000000"/>
          <w:sz w:val="20"/>
          <w:szCs w:val="20"/>
        </w:rPr>
        <w:t>Capital Position of Holdings</w:t>
      </w:r>
    </w:p>
    <w:p w:rsidR="00000000" w:rsidRDefault="000C147A">
      <w:pPr>
        <w:ind w:firstLine="360"/>
        <w:divId w:val="6685265"/>
        <w:rPr>
          <w:rFonts w:eastAsia="Times New Roman"/>
        </w:rPr>
      </w:pPr>
      <w:r>
        <w:rPr>
          <w:rFonts w:eastAsia="Times New Roman"/>
          <w:color w:val="000000"/>
          <w:sz w:val="20"/>
          <w:szCs w:val="20"/>
        </w:rPr>
        <w:t xml:space="preserve">We manage our capital position to maintain financial </w:t>
      </w:r>
      <w:r>
        <w:rPr>
          <w:rFonts w:eastAsia="Times New Roman"/>
          <w:color w:val="000000"/>
          <w:sz w:val="20"/>
          <w:szCs w:val="20"/>
        </w:rPr>
        <w:t>strength and credit ratings that facilitate the distribution of our products and provide our desired level of access to the bank and capital markets. Our capital position is supported by the ability of our subsidiaries to generate cash flows and distribute</w:t>
      </w:r>
      <w:r>
        <w:rPr>
          <w:rFonts w:eastAsia="Times New Roman"/>
          <w:color w:val="000000"/>
          <w:sz w:val="20"/>
          <w:szCs w:val="20"/>
        </w:rPr>
        <w:t xml:space="preserve"> cash to us and our ability to effectively manage the risk of our businesses and to borrow funds and raise capital to meet our operating and growth needs.</w:t>
      </w:r>
    </w:p>
    <w:p w:rsidR="00000000" w:rsidRDefault="000C147A">
      <w:pPr>
        <w:divId w:val="1901094604"/>
        <w:rPr>
          <w:rFonts w:eastAsia="Times New Roman"/>
        </w:rPr>
      </w:pPr>
      <w:r>
        <w:rPr>
          <w:rFonts w:eastAsia="Times New Roman"/>
          <w:i/>
          <w:iCs/>
          <w:color w:val="000000"/>
          <w:sz w:val="20"/>
          <w:szCs w:val="20"/>
          <w:u w:val="single"/>
        </w:rPr>
        <w:t xml:space="preserve">Capital Management </w:t>
      </w:r>
    </w:p>
    <w:p w:rsidR="00000000" w:rsidRDefault="000C147A">
      <w:pPr>
        <w:ind w:firstLine="360"/>
        <w:divId w:val="953442219"/>
        <w:rPr>
          <w:rFonts w:eastAsia="Times New Roman"/>
        </w:rPr>
      </w:pPr>
      <w:r>
        <w:rPr>
          <w:rFonts w:eastAsia="Times New Roman"/>
          <w:color w:val="000000"/>
          <w:sz w:val="20"/>
          <w:szCs w:val="20"/>
        </w:rPr>
        <w:t>Our Board and senior management are directly involved in the development of our c</w:t>
      </w:r>
      <w:r>
        <w:rPr>
          <w:rFonts w:eastAsia="Times New Roman"/>
          <w:color w:val="000000"/>
          <w:sz w:val="20"/>
          <w:szCs w:val="20"/>
        </w:rPr>
        <w:t>apital management policies. Accordingly, capital actions, including proposed changes to the annual capital plan, capital targets and capital policies, are approved by the Board.</w:t>
      </w:r>
    </w:p>
    <w:p w:rsidR="00000000" w:rsidRDefault="000C147A">
      <w:pPr>
        <w:divId w:val="1364986470"/>
        <w:rPr>
          <w:rFonts w:eastAsia="Times New Roman"/>
        </w:rPr>
      </w:pPr>
      <w:r>
        <w:rPr>
          <w:rFonts w:eastAsia="Times New Roman"/>
          <w:i/>
          <w:iCs/>
          <w:color w:val="000000"/>
          <w:sz w:val="20"/>
          <w:szCs w:val="20"/>
          <w:u w:val="single"/>
        </w:rPr>
        <w:t>Dividends Declared and Paid</w:t>
      </w:r>
    </w:p>
    <w:p w:rsidR="00000000" w:rsidRDefault="000C147A">
      <w:pPr>
        <w:ind w:firstLine="360"/>
        <w:divId w:val="78449200"/>
        <w:rPr>
          <w:rFonts w:eastAsia="Times New Roman"/>
        </w:rPr>
      </w:pPr>
      <w:r>
        <w:rPr>
          <w:rFonts w:eastAsia="Times New Roman"/>
          <w:color w:val="000000"/>
          <w:sz w:val="20"/>
          <w:szCs w:val="20"/>
        </w:rPr>
        <w:t>The declaration and payment of future dividends is</w:t>
      </w:r>
      <w:r>
        <w:rPr>
          <w:rFonts w:eastAsia="Times New Roman"/>
          <w:color w:val="000000"/>
          <w:sz w:val="20"/>
          <w:szCs w:val="20"/>
        </w:rPr>
        <w:t xml:space="preserve"> subject to the discretion of our Board of Directors and depends on our financial condition, results of operations, cash requirements, future prospects, regulatory restrictions on the payment of dividends by Holdings’ insurance subsidiaries and other facto</w:t>
      </w:r>
      <w:r>
        <w:rPr>
          <w:rFonts w:eastAsia="Times New Roman"/>
          <w:color w:val="000000"/>
          <w:sz w:val="20"/>
          <w:szCs w:val="20"/>
        </w:rPr>
        <w:t>rs deemed relevant by the Board. </w:t>
      </w:r>
    </w:p>
    <w:p w:rsidR="00000000" w:rsidRDefault="000C147A">
      <w:pPr>
        <w:ind w:firstLine="360"/>
        <w:divId w:val="1489593066"/>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and Series B Preferred Stock for the last proceeding dividend period. For addit</w:t>
      </w:r>
      <w:r>
        <w:rPr>
          <w:rFonts w:eastAsia="Times New Roman"/>
          <w:color w:val="000000"/>
          <w:sz w:val="20"/>
          <w:szCs w:val="20"/>
        </w:rPr>
        <w:t>ional information on the Series A Preferred Stock, see “Series A Fixed Rate Noncumulative Perpetual Preferred Stock.”</w:t>
      </w:r>
    </w:p>
    <w:p w:rsidR="00000000" w:rsidRDefault="000C147A">
      <w:pPr>
        <w:ind w:firstLine="360"/>
        <w:divId w:val="1526284801"/>
        <w:rPr>
          <w:rFonts w:eastAsia="Times New Roman"/>
        </w:rPr>
      </w:pPr>
      <w:r>
        <w:rPr>
          <w:rFonts w:eastAsia="Times New Roman"/>
          <w:color w:val="000000"/>
          <w:sz w:val="20"/>
          <w:szCs w:val="20"/>
        </w:rPr>
        <w:t>In 2019, Holdings paid a total of $285 million in cash dividends to stockholders.</w:t>
      </w:r>
    </w:p>
    <w:p w:rsidR="00000000" w:rsidRDefault="000C147A">
      <w:pPr>
        <w:ind w:firstLine="360"/>
        <w:divId w:val="1152483174"/>
        <w:rPr>
          <w:rFonts w:eastAsia="Times New Roman"/>
        </w:rPr>
      </w:pPr>
      <w:r>
        <w:rPr>
          <w:rFonts w:eastAsia="Times New Roman"/>
          <w:color w:val="000000"/>
          <w:sz w:val="20"/>
          <w:szCs w:val="20"/>
        </w:rPr>
        <w:t>On February 26, 2020, Holdings’ Board of Directors decla</w:t>
      </w:r>
      <w:r>
        <w:rPr>
          <w:rFonts w:eastAsia="Times New Roman"/>
          <w:color w:val="000000"/>
          <w:sz w:val="20"/>
          <w:szCs w:val="20"/>
        </w:rPr>
        <w:t xml:space="preserve">red a cash dividend on Holdings’ common stock of $0.15 per share, payable on March 16, 2020 to shareholders of record as of March 9, 2020. </w:t>
      </w:r>
    </w:p>
    <w:p w:rsidR="00000000" w:rsidRDefault="000C147A">
      <w:pPr>
        <w:ind w:firstLine="360"/>
        <w:divId w:val="429548129"/>
        <w:rPr>
          <w:rFonts w:eastAsia="Times New Roman"/>
        </w:rPr>
      </w:pPr>
      <w:r>
        <w:rPr>
          <w:rFonts w:eastAsia="Times New Roman"/>
          <w:color w:val="000000"/>
          <w:sz w:val="20"/>
          <w:szCs w:val="20"/>
        </w:rPr>
        <w:t>On May 20, 2020, Holdings’ Board of Directors declared a cash dividend on Holdings’ common stock of $0.17 per share,</w:t>
      </w:r>
      <w:r>
        <w:rPr>
          <w:rFonts w:eastAsia="Times New Roman"/>
          <w:color w:val="000000"/>
          <w:sz w:val="20"/>
          <w:szCs w:val="20"/>
        </w:rPr>
        <w:t xml:space="preserve"> payable on June 9, 2020 to shareholders of record as of June 1, 2020.</w:t>
      </w:r>
    </w:p>
    <w:p w:rsidR="00000000" w:rsidRDefault="000C147A">
      <w:pPr>
        <w:jc w:val="center"/>
        <w:divId w:val="1307783873"/>
        <w:rPr>
          <w:rFonts w:eastAsia="Times New Roman"/>
        </w:rPr>
      </w:pPr>
      <w:r>
        <w:rPr>
          <w:rFonts w:eastAsia="Times New Roman"/>
          <w:color w:val="000000"/>
          <w:sz w:val="20"/>
          <w:szCs w:val="20"/>
        </w:rPr>
        <w:t>122</w:t>
      </w:r>
    </w:p>
    <w:p w:rsidR="00000000" w:rsidRDefault="000C147A">
      <w:pPr>
        <w:rPr>
          <w:rFonts w:eastAsia="Times New Roman"/>
        </w:rPr>
      </w:pPr>
      <w:r>
        <w:rPr>
          <w:rFonts w:eastAsia="Times New Roman"/>
        </w:rPr>
        <w:pict>
          <v:rect id="_x0000_i1148" style="width:0;height:1.5pt" o:hralign="center" o:hrstd="t" o:hr="t" fillcolor="#a0a0a0" stroked="f"/>
        </w:pict>
      </w:r>
    </w:p>
    <w:p w:rsidR="00000000" w:rsidRDefault="000C147A">
      <w:pPr>
        <w:divId w:val="785537385"/>
        <w:rPr>
          <w:rFonts w:eastAsia="Times New Roman"/>
        </w:rPr>
      </w:pPr>
    </w:p>
    <w:p w:rsidR="00000000" w:rsidRDefault="000C147A">
      <w:pPr>
        <w:ind w:firstLine="360"/>
        <w:divId w:val="668799791"/>
        <w:rPr>
          <w:rFonts w:eastAsia="Times New Roman"/>
        </w:rPr>
      </w:pPr>
      <w:r>
        <w:rPr>
          <w:rFonts w:eastAsia="Times New Roman"/>
          <w:color w:val="000000"/>
          <w:sz w:val="20"/>
          <w:szCs w:val="20"/>
        </w:rPr>
        <w:t>On July 31, 2020, Holdings’ Board of Directors declared a cash dividend on Holdings’ common stock of $0.17 per share, payable on August </w:t>
      </w:r>
      <w:r>
        <w:rPr>
          <w:rFonts w:eastAsia="Times New Roman"/>
          <w:color w:val="000000"/>
          <w:sz w:val="20"/>
          <w:szCs w:val="20"/>
        </w:rPr>
        <w:t>18, 2020 to shareholders of record as of August 11, 2020.</w:t>
      </w:r>
    </w:p>
    <w:p w:rsidR="00000000" w:rsidRDefault="000C147A">
      <w:pPr>
        <w:ind w:firstLine="360"/>
        <w:divId w:val="213126651"/>
        <w:rPr>
          <w:rFonts w:eastAsia="Times New Roman"/>
        </w:rPr>
      </w:pPr>
      <w:r>
        <w:rPr>
          <w:rFonts w:eastAsia="Times New Roman"/>
          <w:color w:val="000000"/>
          <w:sz w:val="20"/>
          <w:szCs w:val="20"/>
        </w:rPr>
        <w:t>On February 26, 2020, Holdings’ Board of Directors declared a cash dividend of $393.741 per share on the Company’s Series A Preferred Stock, with a liquidation preference of $25,000 per share, which</w:t>
      </w:r>
      <w:r>
        <w:rPr>
          <w:rFonts w:eastAsia="Times New Roman"/>
          <w:color w:val="000000"/>
          <w:sz w:val="20"/>
          <w:szCs w:val="20"/>
        </w:rPr>
        <w:t xml:space="preserve"> are represented by depositary shares, each representing a 1/1,000th interest in a share of Series A Preferred Stock, holders of which will receive approximately $0.39 per depositary share. The dividend was paid on March 16, 2020 to holders of record as of</w:t>
      </w:r>
      <w:r>
        <w:rPr>
          <w:rFonts w:eastAsia="Times New Roman"/>
          <w:color w:val="000000"/>
          <w:sz w:val="20"/>
          <w:szCs w:val="20"/>
        </w:rPr>
        <w:t xml:space="preserve"> March 5, 2020.</w:t>
      </w:r>
    </w:p>
    <w:p w:rsidR="00000000" w:rsidRDefault="000C147A">
      <w:pPr>
        <w:ind w:firstLine="360"/>
        <w:divId w:val="1459764955"/>
        <w:rPr>
          <w:rFonts w:eastAsia="Times New Roman"/>
        </w:rPr>
      </w:pPr>
      <w:r>
        <w:rPr>
          <w:rFonts w:eastAsia="Times New Roman"/>
          <w:color w:val="000000"/>
          <w:sz w:val="20"/>
          <w:szCs w:val="20"/>
        </w:rPr>
        <w:t>On May 20, 2020, Holdings’ Board of Directors declared a cash dividend of $328.125 per share on the Company’s Series A Preferred Stock, with a liquidation preference of $25,000 per share, which are represented by depositary shares, each rep</w:t>
      </w:r>
      <w:r>
        <w:rPr>
          <w:rFonts w:eastAsia="Times New Roman"/>
          <w:color w:val="000000"/>
          <w:sz w:val="20"/>
          <w:szCs w:val="20"/>
        </w:rPr>
        <w:t>resenting a 1/1,000th interest in a share of Series A Preferred Stock, holders of which will receive approximately $0.33 per depositary share. The dividend was paid on June 15, 2020 to holders of record as of June 5, 2020.</w:t>
      </w:r>
    </w:p>
    <w:p w:rsidR="00000000" w:rsidRDefault="000C147A">
      <w:pPr>
        <w:ind w:firstLine="360"/>
        <w:divId w:val="1676609510"/>
        <w:rPr>
          <w:rFonts w:eastAsia="Times New Roman"/>
        </w:rPr>
      </w:pPr>
      <w:r>
        <w:rPr>
          <w:rFonts w:eastAsia="Times New Roman"/>
          <w:color w:val="000000"/>
          <w:sz w:val="20"/>
          <w:szCs w:val="20"/>
        </w:rPr>
        <w:t>On July 31, 2020, Holdings’ Board</w:t>
      </w:r>
      <w:r>
        <w:rPr>
          <w:rFonts w:eastAsia="Times New Roman"/>
          <w:color w:val="000000"/>
          <w:sz w:val="20"/>
          <w:szCs w:val="20"/>
        </w:rPr>
        <w:t xml:space="preserve"> of Directors declared a cash dividend of $328.125 per share on the Company’s Series A Preferred Stock, with a liquidation preference of $25,000 per share, which are represented by depositary shares, each representing a 1/1,000th interest in a share of Ser</w:t>
      </w:r>
      <w:r>
        <w:rPr>
          <w:rFonts w:eastAsia="Times New Roman"/>
          <w:color w:val="000000"/>
          <w:sz w:val="20"/>
          <w:szCs w:val="20"/>
        </w:rPr>
        <w:t xml:space="preserve">ies A Preferred Stock, holders of which will receive approximately $0.33 per depositary share. The dividend was paid on September 15, 2020 to holders of record as of September 4, 2020. </w:t>
      </w:r>
    </w:p>
    <w:p w:rsidR="00000000" w:rsidRDefault="000C147A">
      <w:pPr>
        <w:divId w:val="262806333"/>
        <w:rPr>
          <w:rFonts w:eastAsia="Times New Roman"/>
        </w:rPr>
      </w:pPr>
      <w:r>
        <w:rPr>
          <w:rFonts w:eastAsia="Times New Roman"/>
          <w:i/>
          <w:iCs/>
          <w:color w:val="000000"/>
          <w:sz w:val="20"/>
          <w:szCs w:val="20"/>
          <w:u w:val="single"/>
        </w:rPr>
        <w:t>Share Repurchase Programs</w:t>
      </w:r>
    </w:p>
    <w:p w:rsidR="00000000" w:rsidRDefault="000C147A">
      <w:pPr>
        <w:ind w:firstLine="360"/>
        <w:divId w:val="39591991"/>
        <w:rPr>
          <w:rFonts w:eastAsia="Times New Roman"/>
        </w:rPr>
      </w:pPr>
      <w:r>
        <w:rPr>
          <w:rFonts w:eastAsia="Times New Roman"/>
          <w:color w:val="000000"/>
          <w:sz w:val="20"/>
          <w:szCs w:val="20"/>
        </w:rPr>
        <w:t xml:space="preserve">In 2019, Holdings repurchased approximately </w:t>
      </w:r>
      <w:r>
        <w:rPr>
          <w:rFonts w:eastAsia="Times New Roman"/>
          <w:color w:val="000000"/>
          <w:sz w:val="20"/>
          <w:szCs w:val="20"/>
        </w:rPr>
        <w:t>65.6 million shares of its common stock.</w:t>
      </w:r>
    </w:p>
    <w:p w:rsidR="00000000" w:rsidRDefault="000C147A">
      <w:pPr>
        <w:ind w:firstLine="360"/>
        <w:divId w:val="1920603357"/>
        <w:rPr>
          <w:rFonts w:eastAsia="Times New Roman"/>
        </w:rPr>
      </w:pPr>
      <w:r>
        <w:rPr>
          <w:rFonts w:eastAsia="Times New Roman"/>
          <w:color w:val="000000"/>
          <w:sz w:val="20"/>
          <w:szCs w:val="20"/>
        </w:rPr>
        <w:t>On February 26, 2020, Holdings’ Board of Directors authorized an increase of $600 million to the capacity of its existing $400 million share repurchase program (the “2020 Program”). Under this program, Holdings may,</w:t>
      </w:r>
      <w:r>
        <w:rPr>
          <w:rFonts w:eastAsia="Times New Roman"/>
          <w:color w:val="000000"/>
          <w:sz w:val="20"/>
          <w:szCs w:val="20"/>
        </w:rPr>
        <w:t xml:space="preserve"> from time to time through March 31, 2021, purchase its common stock through various means.</w:t>
      </w:r>
    </w:p>
    <w:p w:rsidR="00000000" w:rsidRDefault="000C147A">
      <w:pPr>
        <w:ind w:firstLine="360"/>
        <w:divId w:val="7681054"/>
        <w:rPr>
          <w:rFonts w:eastAsia="Times New Roman"/>
        </w:rPr>
      </w:pPr>
      <w:r>
        <w:rPr>
          <w:rFonts w:eastAsia="Times New Roman"/>
          <w:color w:val="000000"/>
          <w:sz w:val="20"/>
          <w:szCs w:val="20"/>
        </w:rPr>
        <w:t>During the three and nine months ended September 30, 2020 , Holdings repurchased 5 million and 19.7 million shares, respectively, of its common stock.</w:t>
      </w:r>
    </w:p>
    <w:p w:rsidR="00000000" w:rsidRDefault="000C147A">
      <w:pPr>
        <w:ind w:firstLine="360"/>
        <w:divId w:val="1982688217"/>
        <w:rPr>
          <w:rFonts w:eastAsia="Times New Roman"/>
        </w:rPr>
      </w:pPr>
      <w:r>
        <w:rPr>
          <w:rFonts w:eastAsia="Times New Roman"/>
          <w:color w:val="000000"/>
          <w:sz w:val="20"/>
          <w:szCs w:val="20"/>
        </w:rPr>
        <w:t>As of Septemb</w:t>
      </w:r>
      <w:r>
        <w:rPr>
          <w:rFonts w:eastAsia="Times New Roman"/>
          <w:color w:val="000000"/>
          <w:sz w:val="20"/>
          <w:szCs w:val="20"/>
        </w:rPr>
        <w:t>er 30, 2020, Holdings had a remaining capacity of approximately $270 million remaining in the 2020 Program.</w:t>
      </w:r>
    </w:p>
    <w:p w:rsidR="00000000" w:rsidRDefault="000C147A">
      <w:pPr>
        <w:divId w:val="482358230"/>
        <w:rPr>
          <w:rFonts w:eastAsia="Times New Roman"/>
        </w:rPr>
      </w:pPr>
      <w:r>
        <w:rPr>
          <w:rFonts w:eastAsia="Times New Roman"/>
          <w:i/>
          <w:iCs/>
          <w:color w:val="000000"/>
          <w:sz w:val="20"/>
          <w:szCs w:val="20"/>
          <w:u w:val="single"/>
        </w:rPr>
        <w:t>Credit Facility with AB</w:t>
      </w:r>
    </w:p>
    <w:p w:rsidR="00000000" w:rsidRDefault="000C147A">
      <w:pPr>
        <w:ind w:firstLine="360"/>
        <w:divId w:val="802498953"/>
        <w:rPr>
          <w:rFonts w:eastAsia="Times New Roman"/>
        </w:rPr>
      </w:pPr>
      <w:r>
        <w:rPr>
          <w:rFonts w:eastAsia="Times New Roman"/>
          <w:color w:val="000000"/>
          <w:sz w:val="20"/>
          <w:szCs w:val="20"/>
        </w:rPr>
        <w:t>On November 4, 2019, Holdings made available to AB a $900 million committed, unsecured senior credit facility (the “EQH Faci</w:t>
      </w:r>
      <w:r>
        <w:rPr>
          <w:rFonts w:eastAsia="Times New Roman"/>
          <w:color w:val="000000"/>
          <w:sz w:val="20"/>
          <w:szCs w:val="20"/>
        </w:rPr>
        <w:t>lity”). For additional information regarding the EQH Facility, see “Sources and Uses of Liquidity of our Investment Management and Research Segment.”</w:t>
      </w:r>
    </w:p>
    <w:p w:rsidR="00000000" w:rsidRDefault="000C147A">
      <w:pPr>
        <w:ind w:firstLine="360"/>
        <w:divId w:val="242222267"/>
        <w:rPr>
          <w:rFonts w:eastAsia="Times New Roman"/>
        </w:rPr>
      </w:pPr>
      <w:r>
        <w:rPr>
          <w:rFonts w:eastAsia="Times New Roman"/>
          <w:color w:val="000000"/>
          <w:sz w:val="20"/>
          <w:szCs w:val="20"/>
        </w:rPr>
        <w:t>In addition to the EQH Facility, on September 1, 2020, AB established a new $300 million uncommitted, unse</w:t>
      </w:r>
      <w:r>
        <w:rPr>
          <w:rFonts w:eastAsia="Times New Roman"/>
          <w:color w:val="000000"/>
          <w:sz w:val="20"/>
          <w:szCs w:val="20"/>
        </w:rPr>
        <w:t>cured senior credit facility (the “EQH Uncommitted Facility”) with EQH. For additional information regarding the EQH Uncommitted Facility, see “Source and Uses of Liquidity of our Investment Management and Research Segment.”</w:t>
      </w:r>
    </w:p>
    <w:p w:rsidR="00000000" w:rsidRDefault="000C147A">
      <w:pPr>
        <w:jc w:val="both"/>
        <w:divId w:val="1957172969"/>
        <w:rPr>
          <w:rFonts w:eastAsia="Times New Roman"/>
        </w:rPr>
      </w:pPr>
      <w:r>
        <w:rPr>
          <w:rFonts w:eastAsia="Times New Roman"/>
          <w:b/>
          <w:bCs/>
          <w:i/>
          <w:iCs/>
          <w:color w:val="000000"/>
          <w:sz w:val="20"/>
          <w:szCs w:val="20"/>
        </w:rPr>
        <w:t>Sources and Uses of Liquidity o</w:t>
      </w:r>
      <w:r>
        <w:rPr>
          <w:rFonts w:eastAsia="Times New Roman"/>
          <w:b/>
          <w:bCs/>
          <w:i/>
          <w:iCs/>
          <w:color w:val="000000"/>
          <w:sz w:val="20"/>
          <w:szCs w:val="20"/>
        </w:rPr>
        <w:t>f Our Insurance Subsidiaries</w:t>
      </w:r>
    </w:p>
    <w:p w:rsidR="00000000" w:rsidRDefault="000C147A">
      <w:pPr>
        <w:ind w:firstLine="360"/>
        <w:divId w:val="1983072764"/>
        <w:rPr>
          <w:rFonts w:eastAsia="Times New Roman"/>
        </w:rPr>
      </w:pPr>
      <w:r>
        <w:rPr>
          <w:rFonts w:eastAsia="Times New Roman"/>
          <w:color w:val="000000"/>
          <w:sz w:val="20"/>
          <w:szCs w:val="20"/>
        </w:rPr>
        <w:t>The principal sources of liquidity for our insurance subsidiaries are premiums, investment and fee income, deposits associated with our insurance and annuity operations, cash and invested assets, as well as internal borrowings.</w:t>
      </w:r>
      <w:r>
        <w:rPr>
          <w:rFonts w:eastAsia="Times New Roman"/>
          <w:color w:val="000000"/>
          <w:sz w:val="20"/>
          <w:szCs w:val="20"/>
        </w:rPr>
        <w:t xml:space="preserve"> The principal uses of that liquidity include benefits, claims and dividends paid to policyholders and payments to policyholders in connection with surrenders and withdrawals. Other uses of liquidity include commissions, general and administrative expenses</w:t>
      </w:r>
      <w:r>
        <w:rPr>
          <w:rFonts w:eastAsia="Times New Roman"/>
          <w:color w:val="000000"/>
          <w:sz w:val="20"/>
          <w:szCs w:val="20"/>
        </w:rPr>
        <w:t>, purchases of investments, the payment of dividends to Holdings and hedging activity. Certain of our insurance subsidiaries’ principal sources and uses of liquidity are described in the paragraphs that follow.</w:t>
      </w:r>
    </w:p>
    <w:p w:rsidR="00000000" w:rsidRDefault="000C147A">
      <w:pPr>
        <w:ind w:firstLine="360"/>
        <w:divId w:val="1785997320"/>
        <w:rPr>
          <w:rFonts w:eastAsia="Times New Roman"/>
        </w:rPr>
      </w:pPr>
      <w:r>
        <w:rPr>
          <w:rFonts w:eastAsia="Times New Roman"/>
          <w:color w:val="000000"/>
          <w:sz w:val="20"/>
          <w:szCs w:val="20"/>
        </w:rPr>
        <w:t>We manage the liquidity of our insurance subs</w:t>
      </w:r>
      <w:r>
        <w:rPr>
          <w:rFonts w:eastAsia="Times New Roman"/>
          <w:color w:val="000000"/>
          <w:sz w:val="20"/>
          <w:szCs w:val="20"/>
        </w:rPr>
        <w:t>idiaries with the objective of ensuring that they can meet payment obligations linked to our Individual Retirement, Group Retirement and Protection Solutions businesses and to their outstanding debt and derivative positions, including in our hedging progra</w:t>
      </w:r>
      <w:r>
        <w:rPr>
          <w:rFonts w:eastAsia="Times New Roman"/>
          <w:color w:val="000000"/>
          <w:sz w:val="20"/>
          <w:szCs w:val="20"/>
        </w:rPr>
        <w:t>ms, without support from Holdings. We employ an asset/liability management approach specific to the requirements of each of our insurance businesses. We measure liquidity against internally-developed benchmarks that consider the characteristics of our asse</w:t>
      </w:r>
      <w:r>
        <w:rPr>
          <w:rFonts w:eastAsia="Times New Roman"/>
          <w:color w:val="000000"/>
          <w:sz w:val="20"/>
          <w:szCs w:val="20"/>
        </w:rPr>
        <w:t>t portfolio and the liabilities that it supports. We consider attributes of the various categories of our liquid assets (for example, type of asset and credit quality) in calculating internal liquidity indicators for our insurance and reinsurance operation</w:t>
      </w:r>
      <w:r>
        <w:rPr>
          <w:rFonts w:eastAsia="Times New Roman"/>
          <w:color w:val="000000"/>
          <w:sz w:val="20"/>
          <w:szCs w:val="20"/>
        </w:rPr>
        <w:t>s. Our liquidity benchmarks are established for various stress scenarios and durations, including company-specific and market-wide events. The scenarios we use to evaluate the liquidity of our subsidiaries are defined to allow operating entities to operate</w:t>
      </w:r>
      <w:r>
        <w:rPr>
          <w:rFonts w:eastAsia="Times New Roman"/>
          <w:color w:val="000000"/>
          <w:sz w:val="20"/>
          <w:szCs w:val="20"/>
        </w:rPr>
        <w:t xml:space="preserve"> without support from Holdings. </w:t>
      </w:r>
    </w:p>
    <w:p w:rsidR="00000000" w:rsidRDefault="000C147A">
      <w:pPr>
        <w:jc w:val="center"/>
        <w:divId w:val="1219174095"/>
        <w:rPr>
          <w:rFonts w:eastAsia="Times New Roman"/>
        </w:rPr>
      </w:pPr>
      <w:r>
        <w:rPr>
          <w:rFonts w:eastAsia="Times New Roman"/>
          <w:color w:val="000000"/>
          <w:sz w:val="20"/>
          <w:szCs w:val="20"/>
        </w:rPr>
        <w:t>123</w:t>
      </w:r>
    </w:p>
    <w:p w:rsidR="00000000" w:rsidRDefault="000C147A">
      <w:pPr>
        <w:rPr>
          <w:rFonts w:eastAsia="Times New Roman"/>
        </w:rPr>
      </w:pPr>
      <w:r>
        <w:rPr>
          <w:rFonts w:eastAsia="Times New Roman"/>
        </w:rPr>
        <w:pict>
          <v:rect id="_x0000_i1149" style="width:0;height:1.5pt" o:hralign="center" o:hrstd="t" o:hr="t" fillcolor="#a0a0a0" stroked="f"/>
        </w:pict>
      </w:r>
    </w:p>
    <w:p w:rsidR="00000000" w:rsidRDefault="000C147A">
      <w:pPr>
        <w:divId w:val="2087143027"/>
        <w:rPr>
          <w:rFonts w:eastAsia="Times New Roman"/>
        </w:rPr>
      </w:pPr>
    </w:p>
    <w:p w:rsidR="00000000" w:rsidRDefault="000C147A">
      <w:pPr>
        <w:divId w:val="973217120"/>
        <w:rPr>
          <w:rFonts w:eastAsia="Times New Roman"/>
        </w:rPr>
      </w:pPr>
      <w:r>
        <w:rPr>
          <w:rFonts w:eastAsia="Times New Roman"/>
          <w:i/>
          <w:iCs/>
          <w:color w:val="000000"/>
          <w:sz w:val="20"/>
          <w:szCs w:val="20"/>
          <w:u w:val="single"/>
        </w:rPr>
        <w:t>Liquid Assets</w:t>
      </w:r>
    </w:p>
    <w:p w:rsidR="00000000" w:rsidRDefault="000C147A">
      <w:pPr>
        <w:ind w:firstLine="360"/>
        <w:divId w:val="68113194"/>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short-t</w:t>
      </w:r>
      <w:r>
        <w:rPr>
          <w:rFonts w:eastAsia="Times New Roman"/>
          <w:color w:val="000000"/>
          <w:sz w:val="20"/>
          <w:szCs w:val="20"/>
        </w:rPr>
        <w:t>erm investments, U.S. Treasury fixed maturities, fixed maturities that are not designated as held-to-maturity and public equity securities. We believe that our business operations and the liquidity profile of our assets provide sufficient liquidity under r</w:t>
      </w:r>
      <w:r>
        <w:rPr>
          <w:rFonts w:eastAsia="Times New Roman"/>
          <w:color w:val="000000"/>
          <w:sz w:val="20"/>
          <w:szCs w:val="20"/>
        </w:rPr>
        <w:t>easonably foreseeable stress scenarios for each of our insurance subsidiaries.</w:t>
      </w:r>
    </w:p>
    <w:p w:rsidR="00000000" w:rsidRDefault="000C147A">
      <w:pPr>
        <w:ind w:firstLine="360"/>
        <w:divId w:val="84034367"/>
        <w:rPr>
          <w:rFonts w:eastAsia="Times New Roman"/>
        </w:rPr>
      </w:pPr>
      <w:r>
        <w:rPr>
          <w:rFonts w:eastAsia="Times New Roman"/>
          <w:color w:val="000000"/>
          <w:sz w:val="20"/>
          <w:szCs w:val="20"/>
        </w:rPr>
        <w:t>See “—General Account Investment Portfolio” and Note 3 and Note 4 for a description of our retirement and protection businesses’ portfolio of liquid assets.</w:t>
      </w:r>
    </w:p>
    <w:p w:rsidR="00000000" w:rsidRDefault="000C147A">
      <w:pPr>
        <w:divId w:val="1744720749"/>
        <w:rPr>
          <w:rFonts w:eastAsia="Times New Roman"/>
        </w:rPr>
      </w:pPr>
      <w:r>
        <w:rPr>
          <w:rFonts w:eastAsia="Times New Roman"/>
          <w:i/>
          <w:iCs/>
          <w:color w:val="000000"/>
          <w:sz w:val="20"/>
          <w:szCs w:val="20"/>
          <w:u w:val="single"/>
        </w:rPr>
        <w:t>Hedging Activities</w:t>
      </w:r>
    </w:p>
    <w:p w:rsidR="00000000" w:rsidRDefault="000C147A">
      <w:pPr>
        <w:ind w:firstLine="360"/>
        <w:divId w:val="670833708"/>
        <w:rPr>
          <w:rFonts w:eastAsia="Times New Roman"/>
        </w:rPr>
      </w:pPr>
      <w:r>
        <w:rPr>
          <w:rFonts w:eastAsia="Times New Roman"/>
          <w:color w:val="000000"/>
          <w:sz w:val="20"/>
          <w:szCs w:val="20"/>
        </w:rPr>
        <w:t>B</w:t>
      </w:r>
      <w:r>
        <w:rPr>
          <w:rFonts w:eastAsia="Times New Roman"/>
          <w:color w:val="000000"/>
          <w:sz w:val="20"/>
          <w:szCs w:val="20"/>
        </w:rPr>
        <w:t>ecause the future claims exposure on our insurance products, and in particular our variable annuity products with GMxB features, is sensitive to movements in the equity markets and interest rates, we have in place various hedging and reinsurance programs t</w:t>
      </w:r>
      <w:r>
        <w:rPr>
          <w:rFonts w:eastAsia="Times New Roman"/>
          <w:color w:val="000000"/>
          <w:sz w:val="20"/>
          <w:szCs w:val="20"/>
        </w:rPr>
        <w:t>hat are designed to mitigate the economic risks of movements in the equity markets and interest rates. We use derivatives as part of our overall asset/liability risk management program primarily to reduce exposures to equity market and interest rate risks.</w:t>
      </w:r>
      <w:r>
        <w:rPr>
          <w:rFonts w:eastAsia="Times New Roman"/>
          <w:color w:val="000000"/>
          <w:sz w:val="20"/>
          <w:szCs w:val="20"/>
        </w:rPr>
        <w:t xml:space="preserve"> In addition, we use credit derivatives to replicate exposure to individual securities or pools of securities as a means of achieving credit exposure similar to bonds of the underlying issuer(s) more efficiently. The derivative contracts are an integral pa</w:t>
      </w:r>
      <w:r>
        <w:rPr>
          <w:rFonts w:eastAsia="Times New Roman"/>
          <w:color w:val="000000"/>
          <w:sz w:val="20"/>
          <w:szCs w:val="20"/>
        </w:rPr>
        <w:t>rt of our risk management program, especially for the management of our variable annuities program, and are collectively managed to reduce the economic impact of unfavorable movements in capital markets. These derivative transactions require liquidity to m</w:t>
      </w:r>
      <w:r>
        <w:rPr>
          <w:rFonts w:eastAsia="Times New Roman"/>
          <w:color w:val="000000"/>
          <w:sz w:val="20"/>
          <w:szCs w:val="20"/>
        </w:rPr>
        <w:t>eet payment obligations such as payments for periodic settlements, purchases, maturities and terminations as well as liquid assets pledged as collateral related to any decline in the net estimated fair value. Collateral calls represent one of our biggest d</w:t>
      </w:r>
      <w:r>
        <w:rPr>
          <w:rFonts w:eastAsia="Times New Roman"/>
          <w:color w:val="000000"/>
          <w:sz w:val="20"/>
          <w:szCs w:val="20"/>
        </w:rPr>
        <w:t>rivers for liquidity needs for our insurance subsidiaries. Our derivatives contracts reside primarily within Equitable Financial, which has a significantly large investment portfolio.</w:t>
      </w:r>
    </w:p>
    <w:p w:rsidR="00000000" w:rsidRDefault="000C147A">
      <w:pPr>
        <w:divId w:val="1217814448"/>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0C147A">
      <w:pPr>
        <w:ind w:firstLine="360"/>
        <w:divId w:val="2031174630"/>
        <w:rPr>
          <w:rFonts w:eastAsia="Times New Roman"/>
        </w:rPr>
      </w:pPr>
      <w:r>
        <w:rPr>
          <w:rFonts w:eastAsia="Times New Roman"/>
          <w:color w:val="000000"/>
          <w:sz w:val="20"/>
          <w:szCs w:val="20"/>
        </w:rPr>
        <w:t>Equitable Financial is a member of the Federal Home Loa</w:t>
      </w:r>
      <w:r>
        <w:rPr>
          <w:rFonts w:eastAsia="Times New Roman"/>
          <w:color w:val="000000"/>
          <w:sz w:val="20"/>
          <w:szCs w:val="20"/>
        </w:rPr>
        <w:t>n Bank of New York, which provides Equitable Financial with access to collateralized borrowings and other FHLB products. At September 30, 2020, we had $5.0 billion of short-term outstanding funding agreements and $1.8 billion of long-term outstanding fundi</w:t>
      </w:r>
      <w:r>
        <w:rPr>
          <w:rFonts w:eastAsia="Times New Roman"/>
          <w:color w:val="000000"/>
          <w:sz w:val="20"/>
          <w:szCs w:val="20"/>
        </w:rPr>
        <w:t>ng agreements issued to the FHLB and had posted $8.7 billion securities as collateral for funding agreements. In addition, Equitable Financial implemented a hedge to lock in the funding agreements borrowing rate, and $8 million of hedge impact was reported</w:t>
      </w:r>
      <w:r>
        <w:rPr>
          <w:rFonts w:eastAsia="Times New Roman"/>
          <w:color w:val="000000"/>
          <w:sz w:val="20"/>
          <w:szCs w:val="20"/>
        </w:rPr>
        <w:t xml:space="preserve"> as funding agreement carrying value.</w:t>
      </w:r>
    </w:p>
    <w:p w:rsidR="00000000" w:rsidRDefault="000C147A">
      <w:pPr>
        <w:ind w:firstLine="360"/>
        <w:divId w:val="1663660836"/>
        <w:rPr>
          <w:rFonts w:eastAsia="Times New Roman"/>
        </w:rPr>
      </w:pPr>
      <w:r>
        <w:rPr>
          <w:rFonts w:eastAsia="Times New Roman"/>
          <w:color w:val="000000"/>
          <w:sz w:val="20"/>
          <w:szCs w:val="20"/>
        </w:rPr>
        <w:t>Equitable America is a member of the Federal Home Loan Bank of San Francisco.</w:t>
      </w:r>
    </w:p>
    <w:p w:rsidR="00000000" w:rsidRDefault="000C147A">
      <w:pPr>
        <w:divId w:val="1706099522"/>
        <w:rPr>
          <w:rFonts w:eastAsia="Times New Roman"/>
        </w:rPr>
      </w:pPr>
      <w:r>
        <w:rPr>
          <w:rFonts w:eastAsia="Times New Roman"/>
          <w:b/>
          <w:bCs/>
          <w:color w:val="000000"/>
          <w:sz w:val="20"/>
          <w:szCs w:val="20"/>
        </w:rPr>
        <w:t>Sources and Uses of Liquidity of our Investment Management and Research Segment</w:t>
      </w:r>
    </w:p>
    <w:p w:rsidR="00000000" w:rsidRDefault="000C147A">
      <w:pPr>
        <w:ind w:firstLine="360"/>
        <w:divId w:val="353769746"/>
        <w:rPr>
          <w:rFonts w:eastAsia="Times New Roman"/>
        </w:rPr>
      </w:pPr>
      <w:r>
        <w:rPr>
          <w:rFonts w:eastAsia="Times New Roman"/>
          <w:color w:val="000000"/>
          <w:sz w:val="20"/>
          <w:szCs w:val="20"/>
        </w:rPr>
        <w:t>The principal sources of liquidity for our Investment Management and Research business include investment management fees and borrowings under its credit facilities and commerc</w:t>
      </w:r>
      <w:r>
        <w:rPr>
          <w:rFonts w:eastAsia="Times New Roman"/>
          <w:color w:val="000000"/>
          <w:sz w:val="20"/>
          <w:szCs w:val="20"/>
        </w:rPr>
        <w:t>ial paper program. The principal uses of liquidity include general and administrative expenses, business financing and distributions to holders of AB Units and AB Holding Units plus interest and debt service. The primary liquidity risk for our fee-based In</w:t>
      </w:r>
      <w:r>
        <w:rPr>
          <w:rFonts w:eastAsia="Times New Roman"/>
          <w:color w:val="000000"/>
          <w:sz w:val="20"/>
          <w:szCs w:val="20"/>
        </w:rPr>
        <w:t>vestment Management and Research business is its profitability, which is impacted by market conditions and our investment management performance.</w:t>
      </w:r>
    </w:p>
    <w:p w:rsidR="00000000" w:rsidRDefault="000C147A">
      <w:pPr>
        <w:jc w:val="both"/>
        <w:divId w:val="1452364353"/>
        <w:rPr>
          <w:rFonts w:eastAsia="Times New Roman"/>
        </w:rPr>
      </w:pPr>
      <w:r>
        <w:rPr>
          <w:rFonts w:eastAsia="Times New Roman"/>
          <w:b/>
          <w:bCs/>
          <w:i/>
          <w:iCs/>
          <w:color w:val="000000"/>
          <w:sz w:val="20"/>
          <w:szCs w:val="20"/>
        </w:rPr>
        <w:t>AB Credit Facility</w:t>
      </w:r>
    </w:p>
    <w:p w:rsidR="00000000" w:rsidRDefault="000C147A">
      <w:pPr>
        <w:ind w:firstLine="360"/>
        <w:divId w:val="364839981"/>
        <w:rPr>
          <w:rFonts w:eastAsia="Times New Roman"/>
        </w:rPr>
      </w:pPr>
      <w:r>
        <w:rPr>
          <w:rFonts w:eastAsia="Times New Roman"/>
          <w:color w:val="000000"/>
          <w:sz w:val="20"/>
          <w:szCs w:val="20"/>
        </w:rPr>
        <w:t>AB has a $800 million committed, unsecured senior revolving credit facility (the “AB Credit</w:t>
      </w:r>
      <w:r>
        <w:rPr>
          <w:rFonts w:eastAsia="Times New Roman"/>
          <w:color w:val="000000"/>
          <w:sz w:val="20"/>
          <w:szCs w:val="20"/>
        </w:rPr>
        <w:t xml:space="preserve"> Facility”) that matures on September 27, 2023. The credit facility provides for possible increases in the principal amount by up to an aggregate incremental amount of $200 million. Any such increase is subject to the consent of the affected lenders. The A</w:t>
      </w:r>
      <w:r>
        <w:rPr>
          <w:rFonts w:eastAsia="Times New Roman"/>
          <w:color w:val="000000"/>
          <w:sz w:val="20"/>
          <w:szCs w:val="20"/>
        </w:rPr>
        <w:t xml:space="preserve">B Credit Facility is available for AB’s business purposes, including the support of AB’s commercial paper program. AB can draw directly under the AB Credit Facility and AB management may draw on the AB Credit Facility from time to time. </w:t>
      </w:r>
    </w:p>
    <w:p w:rsidR="00000000" w:rsidRDefault="000C147A">
      <w:pPr>
        <w:ind w:firstLine="360"/>
        <w:divId w:val="1071007523"/>
        <w:rPr>
          <w:rFonts w:eastAsia="Times New Roman"/>
        </w:rPr>
      </w:pPr>
      <w:r>
        <w:rPr>
          <w:rFonts w:eastAsia="Times New Roman"/>
          <w:color w:val="000000"/>
          <w:sz w:val="20"/>
          <w:szCs w:val="20"/>
        </w:rPr>
        <w:t>The AB Credit Faci</w:t>
      </w:r>
      <w:r>
        <w:rPr>
          <w:rFonts w:eastAsia="Times New Roman"/>
          <w:color w:val="000000"/>
          <w:sz w:val="20"/>
          <w:szCs w:val="20"/>
        </w:rPr>
        <w:t>lity contains affirmative, negative and financial covenants, which are customary for facilities of this type, including restrictions on dispositions of assets, restrictions on liens, a minimum interest coverage ratio and a maximum leverage ratio. As of Sep</w:t>
      </w:r>
      <w:r>
        <w:rPr>
          <w:rFonts w:eastAsia="Times New Roman"/>
          <w:color w:val="000000"/>
          <w:sz w:val="20"/>
          <w:szCs w:val="20"/>
        </w:rPr>
        <w:t>tember 30, 2020, AB was in compliance with these covenants. The AB Credit Facility also includes customary events of default (with customary grace periods, as applicable), including provisions under which, upon the occurrence of an event of default, all ou</w:t>
      </w:r>
      <w:r>
        <w:rPr>
          <w:rFonts w:eastAsia="Times New Roman"/>
          <w:color w:val="000000"/>
          <w:sz w:val="20"/>
          <w:szCs w:val="20"/>
        </w:rPr>
        <w:t>tstanding loans may be accelerated and/or lender’s commitments may be terminated. Also, under such provisions, upon the occurrence of certain insolvency- or bankruptcy-related events of default, all amounts payable under the AB Credit Facility would automa</w:t>
      </w:r>
      <w:r>
        <w:rPr>
          <w:rFonts w:eastAsia="Times New Roman"/>
          <w:color w:val="000000"/>
          <w:sz w:val="20"/>
          <w:szCs w:val="20"/>
        </w:rPr>
        <w:t xml:space="preserve">tically become immediately due and payable, and the lender’s commitments automatically would terminate. </w:t>
      </w:r>
    </w:p>
    <w:p w:rsidR="00000000" w:rsidRDefault="000C147A">
      <w:pPr>
        <w:jc w:val="center"/>
        <w:divId w:val="956988600"/>
        <w:rPr>
          <w:rFonts w:eastAsia="Times New Roman"/>
        </w:rPr>
      </w:pPr>
      <w:r>
        <w:rPr>
          <w:rFonts w:eastAsia="Times New Roman"/>
          <w:color w:val="000000"/>
          <w:sz w:val="20"/>
          <w:szCs w:val="20"/>
        </w:rPr>
        <w:t>124</w:t>
      </w:r>
    </w:p>
    <w:p w:rsidR="00000000" w:rsidRDefault="000C147A">
      <w:pPr>
        <w:rPr>
          <w:rFonts w:eastAsia="Times New Roman"/>
        </w:rPr>
      </w:pPr>
      <w:r>
        <w:rPr>
          <w:rFonts w:eastAsia="Times New Roman"/>
        </w:rPr>
        <w:pict>
          <v:rect id="_x0000_i1150" style="width:0;height:1.5pt" o:hralign="center" o:hrstd="t" o:hr="t" fillcolor="#a0a0a0" stroked="f"/>
        </w:pict>
      </w:r>
    </w:p>
    <w:p w:rsidR="00000000" w:rsidRDefault="000C147A">
      <w:pPr>
        <w:divId w:val="893614201"/>
        <w:rPr>
          <w:rFonts w:eastAsia="Times New Roman"/>
        </w:rPr>
      </w:pPr>
    </w:p>
    <w:p w:rsidR="00000000" w:rsidRDefault="000C147A">
      <w:pPr>
        <w:ind w:firstLine="360"/>
        <w:divId w:val="279341702"/>
        <w:rPr>
          <w:rFonts w:eastAsia="Times New Roman"/>
        </w:rPr>
      </w:pPr>
      <w:r>
        <w:rPr>
          <w:rFonts w:eastAsia="Times New Roman"/>
          <w:color w:val="000000"/>
          <w:sz w:val="20"/>
          <w:szCs w:val="20"/>
        </w:rPr>
        <w:t>Amounts under the AB Credit Facility may be borrowed, repaid and re-borrowed by us from time to time until t</w:t>
      </w:r>
      <w:r>
        <w:rPr>
          <w:rFonts w:eastAsia="Times New Roman"/>
          <w:color w:val="000000"/>
          <w:sz w:val="20"/>
          <w:szCs w:val="20"/>
        </w:rPr>
        <w:t>he maturity of the facility. Voluntary prepayments and commitment reductions requested by us are permitted at any time without a fee (other than customary breakage costs relating to the prepayment of any drawn loans) upon proper notice and subject to a min</w:t>
      </w:r>
      <w:r>
        <w:rPr>
          <w:rFonts w:eastAsia="Times New Roman"/>
          <w:color w:val="000000"/>
          <w:sz w:val="20"/>
          <w:szCs w:val="20"/>
        </w:rPr>
        <w:t>imum dollar requirement. Borrowings under the AB Credit Facility bear interest at a rate per annum, which will be, at AB’s option, a rate equal to an applicable margin, which is subject to adjustment based on the credit ratings of AB, plus one of the follo</w:t>
      </w:r>
      <w:r>
        <w:rPr>
          <w:rFonts w:eastAsia="Times New Roman"/>
          <w:color w:val="000000"/>
          <w:sz w:val="20"/>
          <w:szCs w:val="20"/>
        </w:rPr>
        <w:t>wing indices: London Interbank Offered Rate; a floating base rate; or the Federal Funds rate.</w:t>
      </w:r>
    </w:p>
    <w:p w:rsidR="00000000" w:rsidRDefault="000C147A">
      <w:pPr>
        <w:ind w:firstLine="360"/>
        <w:divId w:val="773746425"/>
        <w:rPr>
          <w:rFonts w:eastAsia="Times New Roman"/>
        </w:rPr>
      </w:pPr>
      <w:r>
        <w:rPr>
          <w:rFonts w:eastAsia="Times New Roman"/>
          <w:color w:val="000000"/>
          <w:sz w:val="20"/>
          <w:szCs w:val="20"/>
        </w:rPr>
        <w:t>As of September </w:t>
      </w:r>
      <w:r>
        <w:rPr>
          <w:rFonts w:eastAsia="Times New Roman"/>
          <w:color w:val="000000"/>
          <w:sz w:val="20"/>
          <w:szCs w:val="20"/>
        </w:rPr>
        <w:t xml:space="preserve">30, 2020, and December 31, 2019, AB had no amounts outstanding under the AB Credit Facility. During the nine months ended September 30, 2020 and the full year 2019, AB did not draw upon the AB Credit Facility. </w:t>
      </w:r>
    </w:p>
    <w:p w:rsidR="00000000" w:rsidRDefault="000C147A">
      <w:pPr>
        <w:jc w:val="both"/>
        <w:divId w:val="1724519828"/>
        <w:rPr>
          <w:rFonts w:eastAsia="Times New Roman"/>
        </w:rPr>
      </w:pPr>
      <w:r>
        <w:rPr>
          <w:rFonts w:eastAsia="Times New Roman"/>
          <w:b/>
          <w:bCs/>
          <w:i/>
          <w:iCs/>
          <w:color w:val="000000"/>
          <w:sz w:val="20"/>
          <w:szCs w:val="20"/>
        </w:rPr>
        <w:t>EQH Facility</w:t>
      </w:r>
    </w:p>
    <w:p w:rsidR="00000000" w:rsidRDefault="000C147A">
      <w:pPr>
        <w:ind w:firstLine="360"/>
        <w:divId w:val="1409501092"/>
        <w:rPr>
          <w:rFonts w:eastAsia="Times New Roman"/>
        </w:rPr>
      </w:pPr>
      <w:r>
        <w:rPr>
          <w:rFonts w:eastAsia="Times New Roman"/>
          <w:color w:val="000000"/>
          <w:sz w:val="20"/>
          <w:szCs w:val="20"/>
        </w:rPr>
        <w:t>In addition to the AB Credit Fac</w:t>
      </w:r>
      <w:r>
        <w:rPr>
          <w:rFonts w:eastAsia="Times New Roman"/>
          <w:color w:val="000000"/>
          <w:sz w:val="20"/>
          <w:szCs w:val="20"/>
        </w:rPr>
        <w:t>ility, AB has the EQH Facility with Holdings. The EQH Facility matures on November 4, 2024 and is available for AB’s general business purposes. Borrowings under the EQH Facility generally bear interest at a rate per annum based on prevailing overnight comm</w:t>
      </w:r>
      <w:r>
        <w:rPr>
          <w:rFonts w:eastAsia="Times New Roman"/>
          <w:color w:val="000000"/>
          <w:sz w:val="20"/>
          <w:szCs w:val="20"/>
        </w:rPr>
        <w:t>ercial paper rates.</w:t>
      </w:r>
    </w:p>
    <w:p w:rsidR="00000000" w:rsidRDefault="000C147A">
      <w:pPr>
        <w:ind w:firstLine="360"/>
        <w:divId w:val="109785765"/>
        <w:rPr>
          <w:rFonts w:eastAsia="Times New Roman"/>
        </w:rPr>
      </w:pPr>
      <w:r>
        <w:rPr>
          <w:rFonts w:eastAsia="Times New Roman"/>
          <w:color w:val="000000"/>
          <w:sz w:val="20"/>
          <w:szCs w:val="20"/>
        </w:rPr>
        <w:t>The EQH Facility contains affirmative, negative and financial covenants which are substantially similar to those in AB’s committed bank facilities. The EQH Facility also includes customary events of default substantially similar to thos</w:t>
      </w:r>
      <w:r>
        <w:rPr>
          <w:rFonts w:eastAsia="Times New Roman"/>
          <w:color w:val="000000"/>
          <w:sz w:val="20"/>
          <w:szCs w:val="20"/>
        </w:rPr>
        <w:t xml:space="preserve">e in AB’s committed bank facilities, including provisions under which, upon the occurrence of an event of default, all outstanding loans may be accelerated and/or the lender’s commitment may be terminated. </w:t>
      </w:r>
    </w:p>
    <w:p w:rsidR="00000000" w:rsidRDefault="000C147A">
      <w:pPr>
        <w:ind w:firstLine="360"/>
        <w:divId w:val="2064981313"/>
        <w:rPr>
          <w:rFonts w:eastAsia="Times New Roman"/>
        </w:rPr>
      </w:pPr>
      <w:r>
        <w:rPr>
          <w:rFonts w:eastAsia="Times New Roman"/>
          <w:color w:val="000000"/>
          <w:sz w:val="20"/>
          <w:szCs w:val="20"/>
        </w:rPr>
        <w:t>Amounts under the EQH Facility may be borrowed, r</w:t>
      </w:r>
      <w:r>
        <w:rPr>
          <w:rFonts w:eastAsia="Times New Roman"/>
          <w:color w:val="000000"/>
          <w:sz w:val="20"/>
          <w:szCs w:val="20"/>
        </w:rPr>
        <w:t>epaid and re-borrowed by AB from time to time until the maturity of the facility. AB or Holdings may reduce or terminate the commitment at any time without penalty upon proper notice. Holdings also may terminate the facility immediately upon a change of co</w:t>
      </w:r>
      <w:r>
        <w:rPr>
          <w:rFonts w:eastAsia="Times New Roman"/>
          <w:color w:val="000000"/>
          <w:sz w:val="20"/>
          <w:szCs w:val="20"/>
        </w:rPr>
        <w:t xml:space="preserve">ntrol of AB’s general partner. </w:t>
      </w:r>
    </w:p>
    <w:p w:rsidR="00000000" w:rsidRDefault="000C147A">
      <w:pPr>
        <w:ind w:firstLine="360"/>
        <w:divId w:val="1258052429"/>
        <w:rPr>
          <w:rFonts w:eastAsia="Times New Roman"/>
        </w:rPr>
      </w:pPr>
      <w:r>
        <w:rPr>
          <w:rFonts w:eastAsia="Times New Roman"/>
          <w:color w:val="000000"/>
          <w:sz w:val="20"/>
          <w:szCs w:val="20"/>
        </w:rPr>
        <w:t>As of September 30, 2020 and December 31, 2019, AB had $300 million and $560 million, respectively, outstanding under the EQH Facility with interest rates of approximately 0.2% and 1.6%, respectively. Average daily borrowing</w:t>
      </w:r>
      <w:r>
        <w:rPr>
          <w:rFonts w:eastAsia="Times New Roman"/>
          <w:color w:val="000000"/>
          <w:sz w:val="20"/>
          <w:szCs w:val="20"/>
        </w:rPr>
        <w:t xml:space="preserve"> of the EQH Facility for the nine months ended September 30, 2020 and for the 57 days it was available in 2019 were $503 million and $359 million, respectively, with a weighted average interest rate of approximately 0.6% and 1.6% respectively.</w:t>
      </w:r>
    </w:p>
    <w:p w:rsidR="00000000" w:rsidRDefault="000C147A">
      <w:pPr>
        <w:divId w:val="1059590898"/>
        <w:rPr>
          <w:rFonts w:eastAsia="Times New Roman"/>
        </w:rPr>
      </w:pPr>
      <w:r>
        <w:rPr>
          <w:rFonts w:eastAsia="Times New Roman"/>
          <w:b/>
          <w:bCs/>
          <w:color w:val="000000"/>
          <w:sz w:val="20"/>
          <w:szCs w:val="20"/>
        </w:rPr>
        <w:t>EQH Uncommit</w:t>
      </w:r>
      <w:r>
        <w:rPr>
          <w:rFonts w:eastAsia="Times New Roman"/>
          <w:b/>
          <w:bCs/>
          <w:color w:val="000000"/>
          <w:sz w:val="20"/>
          <w:szCs w:val="20"/>
        </w:rPr>
        <w:t>ted Facility</w:t>
      </w:r>
    </w:p>
    <w:p w:rsidR="00000000" w:rsidRDefault="000C147A">
      <w:pPr>
        <w:ind w:firstLine="360"/>
        <w:divId w:val="1773894381"/>
        <w:rPr>
          <w:rFonts w:eastAsia="Times New Roman"/>
        </w:rPr>
      </w:pPr>
      <w:r>
        <w:rPr>
          <w:rFonts w:eastAsia="Times New Roman"/>
          <w:color w:val="000000"/>
          <w:sz w:val="20"/>
          <w:szCs w:val="20"/>
        </w:rPr>
        <w:t>AB also has the EQH Uncommitted Facility with Holdings. The EQH Uncommitted Facility matures on September 1, 2024 and is available for AB’s general purposes. Borrowings under the EQH Uncommitted Facility bear interest at a rate per annum based</w:t>
      </w:r>
      <w:r>
        <w:rPr>
          <w:rFonts w:eastAsia="Times New Roman"/>
          <w:color w:val="000000"/>
          <w:sz w:val="20"/>
          <w:szCs w:val="20"/>
        </w:rPr>
        <w:t xml:space="preserve"> on prevailing overnight commercial paper rates. The EQH Uncommitted Facility contains affirmative, negative and financial covenants, customary events of defaults and other terms and conditions which are substantially similar to those in the EQH Facility.</w:t>
      </w:r>
    </w:p>
    <w:p w:rsidR="00000000" w:rsidRDefault="000C147A">
      <w:pPr>
        <w:ind w:firstLine="360"/>
        <w:divId w:val="2017883062"/>
        <w:rPr>
          <w:rFonts w:eastAsia="Times New Roman"/>
        </w:rPr>
      </w:pPr>
      <w:r>
        <w:rPr>
          <w:rFonts w:eastAsia="Times New Roman"/>
          <w:color w:val="000000"/>
          <w:sz w:val="20"/>
          <w:szCs w:val="20"/>
        </w:rPr>
        <w:t>As of September 30, 2020, AB had no outstanding balance on the EQH Uncommitted Facility and has not drawn on it since its inception.</w:t>
      </w:r>
    </w:p>
    <w:p w:rsidR="00000000" w:rsidRDefault="000C147A">
      <w:pPr>
        <w:ind w:firstLine="360"/>
        <w:divId w:val="913860858"/>
        <w:rPr>
          <w:rFonts w:eastAsia="Times New Roman"/>
        </w:rPr>
      </w:pPr>
      <w:r>
        <w:rPr>
          <w:rFonts w:eastAsia="Times New Roman"/>
          <w:color w:val="000000"/>
          <w:sz w:val="20"/>
          <w:szCs w:val="20"/>
        </w:rPr>
        <w:t>As of September 30, 2020 and December 31, 2019 AB had no commercial paper outstanding. The commercial paper is short term i</w:t>
      </w:r>
      <w:r>
        <w:rPr>
          <w:rFonts w:eastAsia="Times New Roman"/>
          <w:color w:val="000000"/>
          <w:sz w:val="20"/>
          <w:szCs w:val="20"/>
        </w:rPr>
        <w:t>n nature, and as such, recorded value is estimated to approximate fair value (and considered a Level 2 security in the fair value hierarchy). Average daily borrowings of commercial paper during the nine months ended September 30, 2020 and during the 317 da</w:t>
      </w:r>
      <w:r>
        <w:rPr>
          <w:rFonts w:eastAsia="Times New Roman"/>
          <w:color w:val="000000"/>
          <w:sz w:val="20"/>
          <w:szCs w:val="20"/>
        </w:rPr>
        <w:t>ys commercial paper was outstanding in 2019 were $85 million and $439 million, respectively, with weighted average interest rates of approximately 0.5% and 2.6%, respectively.</w:t>
      </w:r>
    </w:p>
    <w:p w:rsidR="00000000" w:rsidRDefault="000C147A">
      <w:pPr>
        <w:jc w:val="both"/>
        <w:divId w:val="1758596219"/>
        <w:rPr>
          <w:rFonts w:eastAsia="Times New Roman"/>
        </w:rPr>
      </w:pPr>
      <w:r>
        <w:rPr>
          <w:rFonts w:eastAsia="Times New Roman"/>
          <w:b/>
          <w:bCs/>
          <w:i/>
          <w:iCs/>
          <w:color w:val="000000"/>
          <w:sz w:val="20"/>
          <w:szCs w:val="20"/>
        </w:rPr>
        <w:t>AB Revolver</w:t>
      </w:r>
    </w:p>
    <w:p w:rsidR="00000000" w:rsidRDefault="000C147A">
      <w:pPr>
        <w:ind w:firstLine="360"/>
        <w:divId w:val="1155224392"/>
        <w:rPr>
          <w:rFonts w:eastAsia="Times New Roman"/>
        </w:rPr>
      </w:pPr>
      <w:r>
        <w:rPr>
          <w:rFonts w:eastAsia="Times New Roman"/>
          <w:color w:val="000000"/>
          <w:sz w:val="20"/>
          <w:szCs w:val="20"/>
        </w:rPr>
        <w:t>AB has a $200 million committed, unsecured senior revolving credit f</w:t>
      </w:r>
      <w:r>
        <w:rPr>
          <w:rFonts w:eastAsia="Times New Roman"/>
          <w:color w:val="000000"/>
          <w:sz w:val="20"/>
          <w:szCs w:val="20"/>
        </w:rPr>
        <w:t xml:space="preserve">acility (the “AB Revolver”) with a leading international bank, maturing on November 16, 2021. The AB Revolver is available for AB’s business purposes, including the provision of additional liquidity to meet funding requirements. AB can draw directly under </w:t>
      </w:r>
      <w:r>
        <w:rPr>
          <w:rFonts w:eastAsia="Times New Roman"/>
          <w:color w:val="000000"/>
          <w:sz w:val="20"/>
          <w:szCs w:val="20"/>
        </w:rPr>
        <w:t>the AB Revolver and management expects to draw on the AB Revolver from time to time. The AB Revolver contains affirmative, negative and financial covenants that are identical to those of the AB Credit Facility. As of both September 30, 2020 and December 31</w:t>
      </w:r>
      <w:r>
        <w:rPr>
          <w:rFonts w:eastAsia="Times New Roman"/>
          <w:color w:val="000000"/>
          <w:sz w:val="20"/>
          <w:szCs w:val="20"/>
        </w:rPr>
        <w:t xml:space="preserve">, 2019, AB had no amount outstanding under the AB Revolver. Average daily borrowings of the AB Revolver during the first nine months ended September 30, 2020 and full year 2019 were $14 million and $24 million, respectively, with weighted average interest </w:t>
      </w:r>
      <w:r>
        <w:rPr>
          <w:rFonts w:eastAsia="Times New Roman"/>
          <w:color w:val="000000"/>
          <w:sz w:val="20"/>
          <w:szCs w:val="20"/>
        </w:rPr>
        <w:t>rates of approximately 1.5% and 3.2%, respectively.</w:t>
      </w:r>
    </w:p>
    <w:p w:rsidR="00000000" w:rsidRDefault="000C147A">
      <w:pPr>
        <w:ind w:firstLine="360"/>
        <w:divId w:val="147325359"/>
        <w:rPr>
          <w:rFonts w:eastAsia="Times New Roman"/>
        </w:rPr>
      </w:pPr>
      <w:r>
        <w:rPr>
          <w:rFonts w:eastAsia="Times New Roman"/>
          <w:color w:val="000000"/>
          <w:sz w:val="20"/>
          <w:szCs w:val="20"/>
        </w:rPr>
        <w:t>In addition, AB currently has three uncommitted lines of credit with three financial institutions. Two of these lines of credit permit AB to borrow up to an aggregate of $175 million, while the other line</w:t>
      </w:r>
      <w:r>
        <w:rPr>
          <w:rFonts w:eastAsia="Times New Roman"/>
          <w:color w:val="000000"/>
          <w:sz w:val="20"/>
          <w:szCs w:val="20"/>
        </w:rPr>
        <w:t xml:space="preserve"> has no stated limit. As of September 30, </w:t>
      </w:r>
    </w:p>
    <w:p w:rsidR="00000000" w:rsidRDefault="000C147A">
      <w:pPr>
        <w:jc w:val="center"/>
        <w:divId w:val="618150453"/>
        <w:rPr>
          <w:rFonts w:eastAsia="Times New Roman"/>
        </w:rPr>
      </w:pPr>
      <w:r>
        <w:rPr>
          <w:rFonts w:eastAsia="Times New Roman"/>
          <w:color w:val="000000"/>
          <w:sz w:val="20"/>
          <w:szCs w:val="20"/>
        </w:rPr>
        <w:t>125</w:t>
      </w:r>
    </w:p>
    <w:p w:rsidR="00000000" w:rsidRDefault="000C147A">
      <w:pPr>
        <w:rPr>
          <w:rFonts w:eastAsia="Times New Roman"/>
        </w:rPr>
      </w:pPr>
      <w:r>
        <w:rPr>
          <w:rFonts w:eastAsia="Times New Roman"/>
        </w:rPr>
        <w:pict>
          <v:rect id="_x0000_i1151" style="width:0;height:1.5pt" o:hralign="center" o:hrstd="t" o:hr="t" fillcolor="#a0a0a0" stroked="f"/>
        </w:pict>
      </w:r>
    </w:p>
    <w:p w:rsidR="00000000" w:rsidRDefault="000C147A">
      <w:pPr>
        <w:divId w:val="1855143737"/>
        <w:rPr>
          <w:rFonts w:eastAsia="Times New Roman"/>
        </w:rPr>
      </w:pPr>
    </w:p>
    <w:p w:rsidR="00000000" w:rsidRDefault="000C147A">
      <w:pPr>
        <w:divId w:val="1574586071"/>
        <w:rPr>
          <w:rFonts w:eastAsia="Times New Roman"/>
        </w:rPr>
      </w:pPr>
      <w:r>
        <w:rPr>
          <w:rFonts w:eastAsia="Times New Roman"/>
          <w:color w:val="000000"/>
          <w:sz w:val="20"/>
          <w:szCs w:val="20"/>
        </w:rPr>
        <w:t>2020 and December 31, 2019, AB had no outstanding balance on these lines of credit. Average daily borrowings on the lines of credit during the nine months ended September</w:t>
      </w:r>
      <w:r>
        <w:rPr>
          <w:rFonts w:eastAsia="Times New Roman"/>
          <w:color w:val="000000"/>
          <w:sz w:val="20"/>
          <w:szCs w:val="20"/>
        </w:rPr>
        <w:t> 30, 2020 and full year 2019 were $1.2 million and $2 million, respectively, with weighted average interest rates of approximately 1.3% and 1.9%, respectively.</w:t>
      </w:r>
    </w:p>
    <w:p w:rsidR="00000000" w:rsidRDefault="000C147A">
      <w:pPr>
        <w:divId w:val="1334141393"/>
        <w:rPr>
          <w:rFonts w:eastAsia="Times New Roman"/>
        </w:rPr>
      </w:pPr>
      <w:r>
        <w:rPr>
          <w:rFonts w:eastAsia="Times New Roman"/>
          <w:b/>
          <w:bCs/>
          <w:color w:val="000000"/>
          <w:sz w:val="20"/>
          <w:szCs w:val="20"/>
        </w:rPr>
        <w:t>Statutory Capital of Our Insurance Subsidiaries</w:t>
      </w:r>
    </w:p>
    <w:p w:rsidR="00000000" w:rsidRDefault="000C147A">
      <w:pPr>
        <w:ind w:firstLine="360"/>
        <w:divId w:val="667710395"/>
        <w:rPr>
          <w:rFonts w:eastAsia="Times New Roman"/>
        </w:rPr>
      </w:pPr>
      <w:r>
        <w:rPr>
          <w:rFonts w:eastAsia="Times New Roman"/>
          <w:color w:val="000000"/>
          <w:sz w:val="20"/>
          <w:szCs w:val="20"/>
        </w:rPr>
        <w:t>Our capital management framework is primarily based on statutory RBC standards and the CTE asset standard for our variable annuity business.</w:t>
      </w:r>
    </w:p>
    <w:p w:rsidR="00000000" w:rsidRDefault="000C147A">
      <w:pPr>
        <w:ind w:firstLine="360"/>
        <w:divId w:val="65492476"/>
        <w:rPr>
          <w:rFonts w:eastAsia="Times New Roman"/>
        </w:rPr>
      </w:pPr>
      <w:r>
        <w:rPr>
          <w:rFonts w:eastAsia="Times New Roman"/>
          <w:color w:val="000000"/>
          <w:sz w:val="20"/>
          <w:szCs w:val="20"/>
        </w:rPr>
        <w:t>RBC requirements are used as minimum capital requirements by the NAIC and the state insurance departments to evalua</w:t>
      </w:r>
      <w:r>
        <w:rPr>
          <w:rFonts w:eastAsia="Times New Roman"/>
          <w:color w:val="000000"/>
          <w:sz w:val="20"/>
          <w:szCs w:val="20"/>
        </w:rPr>
        <w:t>te the capital condition of regulated insurance companies. RBC is based on a formula calculated by applying factors to various asset, premium, claim, expense and statutory reserve items. The formula takes into account the risk characteristics of the insure</w:t>
      </w:r>
      <w:r>
        <w:rPr>
          <w:rFonts w:eastAsia="Times New Roman"/>
          <w:color w:val="000000"/>
          <w:sz w:val="20"/>
          <w:szCs w:val="20"/>
        </w:rPr>
        <w:t xml:space="preserve">r, including asset risk, insurance risk, interest rate risk, market risk and business risk and is calculated on a quarterly basis and made public on an annual basis. The formula is used as an early warning regulatory tool to identify possible inadequately </w:t>
      </w:r>
      <w:r>
        <w:rPr>
          <w:rFonts w:eastAsia="Times New Roman"/>
          <w:color w:val="000000"/>
          <w:sz w:val="20"/>
          <w:szCs w:val="20"/>
        </w:rPr>
        <w:t>capitalized insurers for purposes of initiating regulatory action, and not as a means to rank insurers generally. These rules apply to our insurance company subsidiaries and not to Holdings. State insurance laws provide insurance regulators the authority t</w:t>
      </w:r>
      <w:r>
        <w:rPr>
          <w:rFonts w:eastAsia="Times New Roman"/>
          <w:color w:val="000000"/>
          <w:sz w:val="20"/>
          <w:szCs w:val="20"/>
        </w:rPr>
        <w:t>o require various actions by, or take various actions against, insurers whose total adjusted capital does not meet or exceed certain RBC levels. At the date of the most recent annual statutory financial statements filed with insurance regulators, the total</w:t>
      </w:r>
      <w:r>
        <w:rPr>
          <w:rFonts w:eastAsia="Times New Roman"/>
          <w:color w:val="000000"/>
          <w:sz w:val="20"/>
          <w:szCs w:val="20"/>
        </w:rPr>
        <w:t xml:space="preserve"> adjusted capital of each of these insurance company subsidiaries subject to these requirements was in excess of each of those RBC levels.</w:t>
      </w:r>
    </w:p>
    <w:p w:rsidR="00000000" w:rsidRDefault="000C147A">
      <w:pPr>
        <w:ind w:firstLine="360"/>
        <w:divId w:val="1487817411"/>
        <w:rPr>
          <w:rFonts w:eastAsia="Times New Roman"/>
        </w:rPr>
      </w:pPr>
      <w:r>
        <w:rPr>
          <w:rFonts w:eastAsia="Times New Roman"/>
          <w:color w:val="000000"/>
          <w:sz w:val="20"/>
          <w:szCs w:val="20"/>
        </w:rPr>
        <w:t xml:space="preserve">CTE is a statistical measure of tail risk which quantifies the total asset requirement to sustain a loss if an event </w:t>
      </w:r>
      <w:r>
        <w:rPr>
          <w:rFonts w:eastAsia="Times New Roman"/>
          <w:color w:val="000000"/>
          <w:sz w:val="20"/>
          <w:szCs w:val="20"/>
        </w:rPr>
        <w:t>outside a given probability level has occurred. In the case of our analysis of variable annuity guarantees, CTE98 denotes the financial resources a company would need to cover the average of the worst 2% of scenarios.</w:t>
      </w:r>
    </w:p>
    <w:p w:rsidR="00000000" w:rsidRDefault="000C147A">
      <w:pPr>
        <w:ind w:firstLine="360"/>
        <w:divId w:val="1212812579"/>
        <w:rPr>
          <w:rFonts w:eastAsia="Times New Roman"/>
        </w:rPr>
      </w:pPr>
      <w:r>
        <w:rPr>
          <w:rFonts w:eastAsia="Times New Roman"/>
          <w:color w:val="000000"/>
          <w:sz w:val="20"/>
          <w:szCs w:val="20"/>
        </w:rPr>
        <w:t>Following our early adoption of the NA</w:t>
      </w:r>
      <w:r>
        <w:rPr>
          <w:rFonts w:eastAsia="Times New Roman"/>
          <w:color w:val="000000"/>
          <w:sz w:val="20"/>
          <w:szCs w:val="20"/>
        </w:rPr>
        <w:t>IC’s variable annuity framework for the year ended December 31, 2019, we manage our capital on a consolidated basis. Post-NAIC reform, CTE98 translates to 400% RBC. This combined with our target RBC ratio of 350%-400% for non-VAs, translates to a new targe</w:t>
      </w:r>
      <w:r>
        <w:rPr>
          <w:rFonts w:eastAsia="Times New Roman"/>
          <w:color w:val="000000"/>
          <w:sz w:val="20"/>
          <w:szCs w:val="20"/>
        </w:rPr>
        <w:t>t minimum consolidated RBC ratio of 375% - 400%.</w:t>
      </w:r>
    </w:p>
    <w:p w:rsidR="00000000" w:rsidRDefault="000C147A">
      <w:pPr>
        <w:divId w:val="151531000"/>
        <w:rPr>
          <w:rFonts w:eastAsia="Times New Roman"/>
        </w:rPr>
      </w:pPr>
      <w:r>
        <w:rPr>
          <w:rFonts w:eastAsia="Times New Roman"/>
          <w:b/>
          <w:bCs/>
          <w:color w:val="000000"/>
          <w:sz w:val="20"/>
          <w:szCs w:val="20"/>
        </w:rPr>
        <w:t>Captive Reinsurance Companies</w:t>
      </w:r>
    </w:p>
    <w:p w:rsidR="00000000" w:rsidRDefault="000C147A">
      <w:pPr>
        <w:ind w:firstLine="360"/>
        <w:divId w:val="636300574"/>
        <w:rPr>
          <w:rFonts w:eastAsia="Times New Roman"/>
        </w:rPr>
      </w:pPr>
      <w:r>
        <w:rPr>
          <w:rFonts w:eastAsia="Times New Roman"/>
          <w:color w:val="000000"/>
          <w:sz w:val="20"/>
          <w:szCs w:val="20"/>
        </w:rPr>
        <w:t>We use captive reinsurance companies to more effectively manage our reserves and capital on an economic basis and to enable the aggregation and transfer of risks. Our captive re</w:t>
      </w:r>
      <w:r>
        <w:rPr>
          <w:rFonts w:eastAsia="Times New Roman"/>
          <w:color w:val="000000"/>
          <w:sz w:val="20"/>
          <w:szCs w:val="20"/>
        </w:rPr>
        <w:t>insurance companies assume business from affiliates only and are closed to new business. All of our captive reinsurance companies are wholly-owned subsidiaries and are located in the United States. In addition to state insurance regulation, our captives ar</w:t>
      </w:r>
      <w:r>
        <w:rPr>
          <w:rFonts w:eastAsia="Times New Roman"/>
          <w:color w:val="000000"/>
          <w:sz w:val="20"/>
          <w:szCs w:val="20"/>
        </w:rPr>
        <w:t>e subject to internal policies governing their activities. We continue to analyze the use of our existing captive reinsurance structures, as well as additional third-party reinsurance arrangements.</w:t>
      </w:r>
    </w:p>
    <w:p w:rsidR="00000000" w:rsidRDefault="000C147A">
      <w:pPr>
        <w:divId w:val="1607957550"/>
        <w:rPr>
          <w:rFonts w:eastAsia="Times New Roman"/>
        </w:rPr>
      </w:pPr>
      <w:r>
        <w:rPr>
          <w:rFonts w:eastAsia="Times New Roman"/>
          <w:b/>
          <w:bCs/>
          <w:color w:val="000000"/>
          <w:sz w:val="20"/>
          <w:szCs w:val="20"/>
        </w:rPr>
        <w:t>Description of Certain Indebtedness</w:t>
      </w:r>
    </w:p>
    <w:p w:rsidR="00000000" w:rsidRDefault="000C147A">
      <w:pPr>
        <w:ind w:firstLine="360"/>
        <w:divId w:val="580991931"/>
        <w:rPr>
          <w:rFonts w:eastAsia="Times New Roman"/>
        </w:rPr>
      </w:pPr>
      <w:r>
        <w:rPr>
          <w:rFonts w:eastAsia="Times New Roman"/>
          <w:color w:val="000000"/>
          <w:sz w:val="20"/>
          <w:szCs w:val="20"/>
        </w:rPr>
        <w:t>The following table se</w:t>
      </w:r>
      <w:r>
        <w:rPr>
          <w:rFonts w:eastAsia="Times New Roman"/>
          <w:color w:val="000000"/>
          <w:sz w:val="20"/>
          <w:szCs w:val="20"/>
        </w:rPr>
        <w:t>ts forth our total consolidated borrowings as of the dates indicated. Our financial strategy going forward will remain subject to market conditions and other factors. For example, we may from time to time enter into additional bank or other financing arran</w:t>
      </w:r>
      <w:r>
        <w:rPr>
          <w:rFonts w:eastAsia="Times New Roman"/>
          <w:color w:val="000000"/>
          <w:sz w:val="20"/>
          <w:szCs w:val="20"/>
        </w:rPr>
        <w:t>gements, including public or private debt, structured facilities and contingent capital arrangements, under which we could incur additional indebtedness.</w:t>
      </w:r>
    </w:p>
    <w:tbl>
      <w:tblPr>
        <w:tblW w:w="4992" w:type="pct"/>
        <w:tblCellMar>
          <w:top w:w="15" w:type="dxa"/>
          <w:left w:w="15" w:type="dxa"/>
          <w:bottom w:w="15" w:type="dxa"/>
          <w:right w:w="15" w:type="dxa"/>
        </w:tblCellMar>
        <w:tblLook w:val="04A0" w:firstRow="1" w:lastRow="0" w:firstColumn="1" w:lastColumn="0" w:noHBand="0" w:noVBand="1"/>
      </w:tblPr>
      <w:tblGrid>
        <w:gridCol w:w="41"/>
        <w:gridCol w:w="5095"/>
        <w:gridCol w:w="40"/>
        <w:gridCol w:w="120"/>
        <w:gridCol w:w="812"/>
        <w:gridCol w:w="36"/>
        <w:gridCol w:w="36"/>
        <w:gridCol w:w="36"/>
        <w:gridCol w:w="36"/>
        <w:gridCol w:w="120"/>
        <w:gridCol w:w="771"/>
        <w:gridCol w:w="36"/>
        <w:gridCol w:w="36"/>
        <w:gridCol w:w="36"/>
        <w:gridCol w:w="36"/>
        <w:gridCol w:w="121"/>
        <w:gridCol w:w="849"/>
        <w:gridCol w:w="36"/>
      </w:tblGrid>
      <w:tr w:rsidR="00000000">
        <w:trPr>
          <w:divId w:val="638726352"/>
        </w:trPr>
        <w:tc>
          <w:tcPr>
            <w:tcW w:w="50" w:type="pct"/>
            <w:vAlign w:val="center"/>
            <w:hideMark/>
          </w:tcPr>
          <w:p w:rsidR="00000000" w:rsidRDefault="000C147A">
            <w:pPr>
              <w:ind w:firstLine="360"/>
              <w:rPr>
                <w:rFonts w:eastAsia="Times New Roman"/>
              </w:rPr>
            </w:pPr>
          </w:p>
        </w:tc>
        <w:tc>
          <w:tcPr>
            <w:tcW w:w="3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38726352"/>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As of September 30, 2020</w:t>
            </w:r>
          </w:p>
        </w:tc>
      </w:tr>
      <w:tr w:rsidR="00000000">
        <w:trPr>
          <w:divId w:val="63872635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 xml:space="preserve">Holdings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Consolidated</w:t>
            </w:r>
          </w:p>
        </w:tc>
      </w:tr>
      <w:tr w:rsidR="00000000">
        <w:trPr>
          <w:divId w:val="63872635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638726352"/>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38726352"/>
        </w:trPr>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c>
          <w:tcPr>
            <w:tcW w:w="0" w:type="auto"/>
            <w:gridSpan w:val="3"/>
            <w:vAlign w:val="center"/>
            <w:hideMark/>
          </w:tcPr>
          <w:p w:rsidR="00000000" w:rsidRDefault="000C147A">
            <w:pPr>
              <w:rPr>
                <w:rFonts w:eastAsia="Times New Roman"/>
                <w:sz w:val="20"/>
                <w:szCs w:val="20"/>
              </w:rPr>
            </w:pPr>
          </w:p>
        </w:tc>
      </w:tr>
      <w:tr w:rsidR="00000000">
        <w:trPr>
          <w:divId w:val="63872635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short-term debt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38726352"/>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(5.00%, due 2048)</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1,488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(3.90%, due 2023)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638726352"/>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borrowings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jc w:val="center"/>
        <w:divId w:val="896209741"/>
        <w:rPr>
          <w:rFonts w:eastAsia="Times New Roman"/>
        </w:rPr>
      </w:pPr>
      <w:r>
        <w:rPr>
          <w:rFonts w:eastAsia="Times New Roman"/>
          <w:color w:val="000000"/>
          <w:sz w:val="20"/>
          <w:szCs w:val="20"/>
        </w:rPr>
        <w:t>126</w:t>
      </w:r>
    </w:p>
    <w:p w:rsidR="00000000" w:rsidRDefault="000C147A">
      <w:pPr>
        <w:rPr>
          <w:rFonts w:eastAsia="Times New Roman"/>
        </w:rPr>
      </w:pPr>
      <w:r>
        <w:rPr>
          <w:rFonts w:eastAsia="Times New Roman"/>
        </w:rPr>
        <w:pict>
          <v:rect id="_x0000_i1152" style="width:0;height:1.5pt" o:hralign="center" o:hrstd="t" o:hr="t" fillcolor="#a0a0a0" stroked="f"/>
        </w:pict>
      </w:r>
    </w:p>
    <w:p w:rsidR="00000000" w:rsidRDefault="000C147A">
      <w:pPr>
        <w:divId w:val="199513891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95"/>
        <w:gridCol w:w="40"/>
        <w:gridCol w:w="120"/>
        <w:gridCol w:w="812"/>
        <w:gridCol w:w="36"/>
        <w:gridCol w:w="36"/>
        <w:gridCol w:w="36"/>
        <w:gridCol w:w="36"/>
        <w:gridCol w:w="120"/>
        <w:gridCol w:w="771"/>
        <w:gridCol w:w="36"/>
        <w:gridCol w:w="36"/>
        <w:gridCol w:w="36"/>
        <w:gridCol w:w="36"/>
        <w:gridCol w:w="121"/>
        <w:gridCol w:w="849"/>
        <w:gridCol w:w="36"/>
      </w:tblGrid>
      <w:tr w:rsidR="00000000">
        <w:trPr>
          <w:divId w:val="1666863725"/>
        </w:trPr>
        <w:tc>
          <w:tcPr>
            <w:tcW w:w="50" w:type="pct"/>
            <w:vAlign w:val="center"/>
            <w:hideMark/>
          </w:tcPr>
          <w:p w:rsidR="00000000" w:rsidRDefault="000C147A">
            <w:pPr>
              <w:rPr>
                <w:rFonts w:eastAsia="Times New Roman"/>
              </w:rPr>
            </w:pPr>
          </w:p>
        </w:tc>
        <w:tc>
          <w:tcPr>
            <w:tcW w:w="3114"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53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66686372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16"/>
                <w:szCs w:val="16"/>
              </w:rPr>
              <w:t>As of December 31, 2019</w:t>
            </w:r>
          </w:p>
        </w:tc>
      </w:tr>
      <w:tr w:rsidR="00000000">
        <w:trPr>
          <w:divId w:val="166686372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Consolidated</w:t>
            </w:r>
          </w:p>
        </w:tc>
      </w:tr>
      <w:tr w:rsidR="00000000">
        <w:trPr>
          <w:divId w:val="1666863725"/>
        </w:trPr>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(in millions)</w:t>
            </w:r>
          </w:p>
        </w:tc>
      </w:tr>
      <w:tr w:rsidR="00000000">
        <w:trPr>
          <w:divId w:val="1666863725"/>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666863725"/>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short-term debt</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66686372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(5.00%, due 2048)</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1,480 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1,487 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CCEE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Notes (3.90%, due 2023)</w:t>
            </w: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FFFFFF"/>
            <w:tcMar>
              <w:top w:w="30" w:type="dxa"/>
              <w:left w:w="135" w:type="dxa"/>
              <w:bottom w:w="30" w:type="dxa"/>
              <w:right w:w="20" w:type="dxa"/>
            </w:tcMar>
            <w:vAlign w:val="bottom"/>
            <w:hideMark/>
          </w:tcPr>
          <w:p w:rsidR="00000000" w:rsidRDefault="000C147A">
            <w:pPr>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CCEEFF"/>
            <w:tcMar>
              <w:top w:w="30" w:type="dxa"/>
              <w:left w:w="225" w:type="dxa"/>
              <w:bottom w:w="30" w:type="dxa"/>
              <w:right w:w="20" w:type="dxa"/>
            </w:tcMar>
            <w:vAlign w:val="bottom"/>
            <w:hideMark/>
          </w:tcPr>
          <w:p w:rsidR="00000000" w:rsidRDefault="000C147A">
            <w:pPr>
              <w:rPr>
                <w:rFonts w:eastAsia="Times New Roman"/>
              </w:rPr>
            </w:pPr>
            <w:r>
              <w:rPr>
                <w:rFonts w:eastAsia="Times New Roman"/>
                <w:color w:val="000000"/>
                <w:sz w:val="20"/>
                <w:szCs w:val="20"/>
              </w:rPr>
              <w:t>Total 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666863725"/>
        </w:trPr>
        <w:tc>
          <w:tcPr>
            <w:tcW w:w="0" w:type="auto"/>
            <w:gridSpan w:val="3"/>
            <w:shd w:val="clear" w:color="auto" w:fill="FFFFFF"/>
            <w:tcMar>
              <w:top w:w="30" w:type="dxa"/>
              <w:left w:w="225"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 borrowings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4,111 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1097360492"/>
        <w:rPr>
          <w:rFonts w:eastAsia="Times New Roman"/>
        </w:rPr>
      </w:pPr>
    </w:p>
    <w:p w:rsidR="00000000" w:rsidRDefault="000C147A">
      <w:pPr>
        <w:divId w:val="910040971"/>
        <w:rPr>
          <w:rFonts w:eastAsia="Times New Roman"/>
        </w:rPr>
      </w:pPr>
      <w:r>
        <w:rPr>
          <w:rFonts w:eastAsia="Times New Roman"/>
          <w:i/>
          <w:iCs/>
          <w:color w:val="000000"/>
          <w:sz w:val="20"/>
          <w:szCs w:val="20"/>
        </w:rPr>
        <w:t>Notes and Debentures</w:t>
      </w:r>
    </w:p>
    <w:p w:rsidR="00000000" w:rsidRDefault="000C147A">
      <w:pPr>
        <w:ind w:firstLine="360"/>
        <w:divId w:val="574703991"/>
        <w:rPr>
          <w:rFonts w:eastAsia="Times New Roman"/>
        </w:rPr>
      </w:pPr>
      <w:r>
        <w:rPr>
          <w:rFonts w:eastAsia="Times New Roman"/>
          <w:color w:val="000000"/>
          <w:sz w:val="20"/>
          <w:szCs w:val="20"/>
        </w:rPr>
        <w:t>In April 2018, we issued $3.8 </w:t>
      </w:r>
      <w:r>
        <w:rPr>
          <w:rFonts w:eastAsia="Times New Roman"/>
          <w:color w:val="000000"/>
          <w:sz w:val="20"/>
          <w:szCs w:val="20"/>
        </w:rPr>
        <w:t xml:space="preserve">billion in aggregate principal amount of notes (consisting of $800 million aggregate principal amount of 3.9% Senior Notes due 2023, $1.5 billion aggregate principal amount of 4.35% Senior Notes due 2028 and $1.5 billion aggregate principal amount of 5.0% </w:t>
      </w:r>
      <w:r>
        <w:rPr>
          <w:rFonts w:eastAsia="Times New Roman"/>
          <w:color w:val="000000"/>
          <w:sz w:val="20"/>
          <w:szCs w:val="20"/>
        </w:rPr>
        <w:t>Senior Notes due 2048) to third party investors. As of September 30, 2020, we had outstanding $349 million aggregate principal amount of Senior Debentures due 2028 (the “Senior Debentures”).</w:t>
      </w:r>
    </w:p>
    <w:p w:rsidR="00000000" w:rsidRDefault="000C147A">
      <w:pPr>
        <w:ind w:firstLine="360"/>
        <w:divId w:val="2104957909"/>
        <w:rPr>
          <w:rFonts w:eastAsia="Times New Roman"/>
        </w:rPr>
      </w:pPr>
      <w:r>
        <w:rPr>
          <w:rFonts w:eastAsia="Times New Roman"/>
          <w:color w:val="000000"/>
          <w:sz w:val="20"/>
          <w:szCs w:val="20"/>
        </w:rPr>
        <w:t>The Senior Notes and Senior Debentures contain customary affirmat</w:t>
      </w:r>
      <w:r>
        <w:rPr>
          <w:rFonts w:eastAsia="Times New Roman"/>
          <w:color w:val="000000"/>
          <w:sz w:val="20"/>
          <w:szCs w:val="20"/>
        </w:rPr>
        <w:t>ive and negative covenants, including a limitation on certain liens and a limit on the Company’s ability to consolidate, merge or sell or otherwise dispose of all or substantially all of its assets. The Senior Notes and Senior Debentures also include custo</w:t>
      </w:r>
      <w:r>
        <w:rPr>
          <w:rFonts w:eastAsia="Times New Roman"/>
          <w:color w:val="000000"/>
          <w:sz w:val="20"/>
          <w:szCs w:val="20"/>
        </w:rPr>
        <w:t xml:space="preserve">mary events of default (with customary grace periods, as applicable), including provisions under which, upon the occurrence of an event of default, all outstanding Senior Notes and Senior Debentures may be accelerated. As of September 30, 2020, we were in </w:t>
      </w:r>
      <w:r>
        <w:rPr>
          <w:rFonts w:eastAsia="Times New Roman"/>
          <w:color w:val="000000"/>
          <w:sz w:val="20"/>
          <w:szCs w:val="20"/>
        </w:rPr>
        <w:t>compliance with all covenants.</w:t>
      </w:r>
    </w:p>
    <w:p w:rsidR="00000000" w:rsidRDefault="000C147A">
      <w:pPr>
        <w:divId w:val="1374380173"/>
        <w:rPr>
          <w:rFonts w:eastAsia="Times New Roman"/>
        </w:rPr>
      </w:pPr>
      <w:r>
        <w:rPr>
          <w:rFonts w:eastAsia="Times New Roman"/>
          <w:i/>
          <w:iCs/>
          <w:color w:val="000000"/>
          <w:sz w:val="20"/>
          <w:szCs w:val="20"/>
        </w:rPr>
        <w:t>Term Loan</w:t>
      </w:r>
    </w:p>
    <w:p w:rsidR="00000000" w:rsidRDefault="000C147A">
      <w:pPr>
        <w:ind w:firstLine="360"/>
        <w:divId w:val="340621703"/>
        <w:rPr>
          <w:rFonts w:eastAsia="Times New Roman"/>
        </w:rPr>
      </w:pPr>
      <w:r>
        <w:rPr>
          <w:rFonts w:eastAsia="Times New Roman"/>
          <w:color w:val="000000"/>
          <w:sz w:val="20"/>
          <w:szCs w:val="20"/>
        </w:rPr>
        <w:t>In May 2018, we borrowed $300 million under a $500 million three-year senior unsecured delayed draw term loan agreement and terminated the remaining $200 million capacity. In December 2019, we made full prepayment o</w:t>
      </w:r>
      <w:r>
        <w:rPr>
          <w:rFonts w:eastAsia="Times New Roman"/>
          <w:color w:val="000000"/>
          <w:sz w:val="20"/>
          <w:szCs w:val="20"/>
        </w:rPr>
        <w:t>f the outstanding $300 million term loan and as of December 31, 2019, there were no amounts outstanding under the term loan.</w:t>
      </w:r>
    </w:p>
    <w:p w:rsidR="00000000" w:rsidRDefault="000C147A">
      <w:pPr>
        <w:divId w:val="1502309170"/>
        <w:rPr>
          <w:rFonts w:eastAsia="Times New Roman"/>
        </w:rPr>
      </w:pPr>
      <w:r>
        <w:rPr>
          <w:rFonts w:eastAsia="Times New Roman"/>
          <w:b/>
          <w:bCs/>
          <w:color w:val="000000"/>
          <w:sz w:val="20"/>
          <w:szCs w:val="20"/>
        </w:rPr>
        <w:t>Ratings</w:t>
      </w:r>
    </w:p>
    <w:p w:rsidR="00000000" w:rsidRDefault="000C147A">
      <w:pPr>
        <w:ind w:firstLine="360"/>
        <w:divId w:val="1963807280"/>
        <w:rPr>
          <w:rFonts w:eastAsia="Times New Roman"/>
        </w:rPr>
      </w:pPr>
      <w:r>
        <w:rPr>
          <w:rFonts w:eastAsia="Times New Roman"/>
          <w:color w:val="000000"/>
          <w:sz w:val="20"/>
          <w:szCs w:val="20"/>
        </w:rPr>
        <w:t>Financial strength ratings (which are sometimes referred to as “claims-paying” ratings) and credit ratings are important fa</w:t>
      </w:r>
      <w:r>
        <w:rPr>
          <w:rFonts w:eastAsia="Times New Roman"/>
          <w:color w:val="000000"/>
          <w:sz w:val="20"/>
          <w:szCs w:val="20"/>
        </w:rPr>
        <w:t>ctors affecting public confidence in an insurer and its competitive position in marketing products. Our credit ratings are also important for our ability to raise capital through the issuance of debt and for the cost of such financing.</w:t>
      </w:r>
    </w:p>
    <w:p w:rsidR="00000000" w:rsidRDefault="000C147A">
      <w:pPr>
        <w:ind w:firstLine="360"/>
        <w:divId w:val="545677414"/>
        <w:rPr>
          <w:rFonts w:eastAsia="Times New Roman"/>
        </w:rPr>
      </w:pPr>
      <w:r>
        <w:rPr>
          <w:rFonts w:eastAsia="Times New Roman"/>
          <w:color w:val="000000"/>
          <w:sz w:val="20"/>
          <w:szCs w:val="20"/>
        </w:rPr>
        <w:t>Financial strength r</w:t>
      </w:r>
      <w:r>
        <w:rPr>
          <w:rFonts w:eastAsia="Times New Roman"/>
          <w:color w:val="000000"/>
          <w:sz w:val="20"/>
          <w:szCs w:val="20"/>
        </w:rPr>
        <w:t xml:space="preserve">atings represent the opinions of rating agencies regarding the financial ability of an insurance company to meet its obligations under an insurance policy. Credit ratings represent the opinions of rating agencies regarding an entity’s ability to repay its </w:t>
      </w:r>
      <w:r>
        <w:rPr>
          <w:rFonts w:eastAsia="Times New Roman"/>
          <w:color w:val="000000"/>
          <w:sz w:val="20"/>
          <w:szCs w:val="20"/>
        </w:rPr>
        <w:t>indebtedness. The following table summarizes the ratings for Holdings and certain of its subsidiaries. AM Best and S&amp;P have a stable outlook while Moody has a positive outlook.</w:t>
      </w:r>
    </w:p>
    <w:tbl>
      <w:tblPr>
        <w:tblW w:w="10260" w:type="dxa"/>
        <w:tblCellMar>
          <w:top w:w="15" w:type="dxa"/>
          <w:left w:w="15" w:type="dxa"/>
          <w:bottom w:w="15" w:type="dxa"/>
          <w:right w:w="15" w:type="dxa"/>
        </w:tblCellMar>
        <w:tblLook w:val="04A0" w:firstRow="1" w:lastRow="0" w:firstColumn="1" w:lastColumn="0" w:noHBand="0" w:noVBand="1"/>
      </w:tblPr>
      <w:tblGrid>
        <w:gridCol w:w="36"/>
        <w:gridCol w:w="5577"/>
        <w:gridCol w:w="36"/>
        <w:gridCol w:w="36"/>
        <w:gridCol w:w="1329"/>
        <w:gridCol w:w="36"/>
        <w:gridCol w:w="36"/>
        <w:gridCol w:w="36"/>
        <w:gridCol w:w="36"/>
        <w:gridCol w:w="36"/>
        <w:gridCol w:w="1431"/>
        <w:gridCol w:w="36"/>
        <w:gridCol w:w="36"/>
        <w:gridCol w:w="36"/>
        <w:gridCol w:w="36"/>
        <w:gridCol w:w="36"/>
        <w:gridCol w:w="1419"/>
        <w:gridCol w:w="36"/>
      </w:tblGrid>
      <w:tr w:rsidR="00000000">
        <w:trPr>
          <w:divId w:val="1322545452"/>
        </w:trPr>
        <w:tc>
          <w:tcPr>
            <w:tcW w:w="20" w:type="dxa"/>
            <w:vAlign w:val="center"/>
            <w:hideMark/>
          </w:tcPr>
          <w:p w:rsidR="00000000" w:rsidRDefault="000C147A">
            <w:pPr>
              <w:ind w:firstLine="360"/>
              <w:rPr>
                <w:rFonts w:eastAsia="Times New Roman"/>
              </w:rPr>
            </w:pPr>
          </w:p>
        </w:tc>
        <w:tc>
          <w:tcPr>
            <w:tcW w:w="569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1355"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35"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146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35"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c>
          <w:tcPr>
            <w:tcW w:w="1445" w:type="dxa"/>
            <w:vAlign w:val="center"/>
            <w:hideMark/>
          </w:tcPr>
          <w:p w:rsidR="00000000" w:rsidRDefault="000C147A">
            <w:pPr>
              <w:rPr>
                <w:rFonts w:eastAsia="Times New Roman"/>
                <w:sz w:val="20"/>
                <w:szCs w:val="20"/>
              </w:rPr>
            </w:pPr>
          </w:p>
        </w:tc>
        <w:tc>
          <w:tcPr>
            <w:tcW w:w="20" w:type="dxa"/>
            <w:vAlign w:val="center"/>
            <w:hideMark/>
          </w:tcPr>
          <w:p w:rsidR="00000000" w:rsidRDefault="000C147A">
            <w:pPr>
              <w:rPr>
                <w:rFonts w:eastAsia="Times New Roman"/>
                <w:sz w:val="20"/>
                <w:szCs w:val="20"/>
              </w:rPr>
            </w:pPr>
          </w:p>
        </w:tc>
      </w:tr>
      <w:tr w:rsidR="00000000">
        <w:trPr>
          <w:divId w:val="1322545452"/>
          <w:trHeight w:val="240"/>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Moody’s</w:t>
            </w:r>
          </w:p>
        </w:tc>
      </w:tr>
      <w:tr w:rsidR="00000000">
        <w:trPr>
          <w:divId w:val="1322545452"/>
          <w:trHeight w:val="24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8"/>
                <w:szCs w:val="18"/>
              </w:rPr>
              <w:t>Last review date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Oct'20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Oct'20</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Oct'20</w:t>
            </w:r>
          </w:p>
        </w:tc>
      </w:tr>
      <w:tr w:rsidR="00000000">
        <w:trPr>
          <w:divId w:val="1322545452"/>
          <w:trHeight w:val="240"/>
        </w:trPr>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1322545452"/>
          <w:trHeight w:val="280"/>
        </w:trPr>
        <w:tc>
          <w:tcPr>
            <w:tcW w:w="0" w:type="auto"/>
            <w:gridSpan w:val="3"/>
            <w:shd w:val="clear" w:color="auto" w:fill="CCEEFF"/>
            <w:tcMar>
              <w:top w:w="30" w:type="dxa"/>
              <w:left w:w="120" w:type="dxa"/>
              <w:bottom w:w="30" w:type="dxa"/>
              <w:right w:w="20" w:type="dxa"/>
            </w:tcMar>
            <w:vAlign w:val="bottom"/>
            <w:hideMark/>
          </w:tcPr>
          <w:p w:rsidR="00000000" w:rsidRDefault="000C147A">
            <w:pPr>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A2</w:t>
            </w:r>
          </w:p>
        </w:tc>
      </w:tr>
      <w:tr w:rsidR="00000000">
        <w:trPr>
          <w:divId w:val="1322545452"/>
          <w:trHeight w:val="280"/>
        </w:trPr>
        <w:tc>
          <w:tcPr>
            <w:tcW w:w="0" w:type="auto"/>
            <w:gridSpan w:val="3"/>
            <w:shd w:val="clear" w:color="auto" w:fill="FFFFFF"/>
            <w:tcMar>
              <w:top w:w="30" w:type="dxa"/>
              <w:left w:w="120" w:type="dxa"/>
              <w:bottom w:w="30" w:type="dxa"/>
              <w:right w:w="20" w:type="dxa"/>
            </w:tcMar>
            <w:vAlign w:val="bottom"/>
            <w:hideMark/>
          </w:tcPr>
          <w:p w:rsidR="00000000" w:rsidRDefault="000C147A">
            <w:pPr>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A2</w:t>
            </w:r>
          </w:p>
        </w:tc>
      </w:tr>
      <w:tr w:rsidR="00000000">
        <w:trPr>
          <w:divId w:val="1322545452"/>
          <w:trHeight w:val="280"/>
        </w:trPr>
        <w:tc>
          <w:tcPr>
            <w:tcW w:w="0" w:type="auto"/>
            <w:gridSpan w:val="3"/>
            <w:shd w:val="clear" w:color="auto" w:fill="CCEEFF"/>
            <w:tcMar>
              <w:top w:w="30" w:type="dxa"/>
              <w:left w:w="120" w:type="dxa"/>
              <w:bottom w:w="30" w:type="dxa"/>
              <w:right w:w="20" w:type="dxa"/>
            </w:tcMar>
            <w:vAlign w:val="bottom"/>
            <w:hideMark/>
          </w:tcPr>
          <w:p w:rsidR="00000000" w:rsidRDefault="000C147A">
            <w:pPr>
              <w:ind w:firstLine="360"/>
              <w:rPr>
                <w:rFonts w:eastAsia="Times New Roman"/>
              </w:rPr>
            </w:pPr>
            <w:r>
              <w:rPr>
                <w:rFonts w:eastAsia="Times New Roman"/>
                <w:color w:val="000000"/>
                <w:sz w:val="20"/>
                <w:szCs w:val="20"/>
              </w:rPr>
              <w:t>Equitable Holdings, Inc.</w:t>
            </w:r>
          </w:p>
        </w:tc>
        <w:tc>
          <w:tcPr>
            <w:tcW w:w="0" w:type="auto"/>
            <w:gridSpan w:val="3"/>
            <w:shd w:val="clear" w:color="auto" w:fill="CCEEFF"/>
            <w:tcMar>
              <w:top w:w="0" w:type="dxa"/>
              <w:left w:w="20" w:type="dxa"/>
              <w:bottom w:w="0" w:type="dxa"/>
              <w:right w:w="20" w:type="dxa"/>
            </w:tcMar>
            <w:vAlign w:val="center"/>
            <w:hideMark/>
          </w:tcPr>
          <w:p w:rsidR="00000000" w:rsidRDefault="000C147A">
            <w:pPr>
              <w:ind w:firstLine="36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BBB+</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ascii="Calibri" w:eastAsia="Times New Roman" w:hAnsi="Calibri" w:cs="Calibri"/>
                <w:color w:val="000000"/>
                <w:sz w:val="18"/>
                <w:szCs w:val="18"/>
              </w:rPr>
              <w:t>Baa2</w:t>
            </w:r>
          </w:p>
        </w:tc>
      </w:tr>
      <w:tr w:rsidR="00000000">
        <w:trPr>
          <w:divId w:val="1322545452"/>
          <w:trHeight w:val="300"/>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18"/>
                <w:szCs w:val="18"/>
              </w:rPr>
              <w:t>Last review date</w:t>
            </w: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Sep '20</w:t>
            </w:r>
          </w:p>
        </w:tc>
        <w:tc>
          <w:tcPr>
            <w:tcW w:w="0" w:type="auto"/>
            <w:gridSpan w:val="3"/>
            <w:shd w:val="clear" w:color="auto" w:fill="FFFF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June '20</w:t>
            </w:r>
          </w:p>
        </w:tc>
      </w:tr>
      <w:tr w:rsidR="00000000">
        <w:trPr>
          <w:divId w:val="1322545452"/>
          <w:trHeight w:val="300"/>
        </w:trPr>
        <w:tc>
          <w:tcPr>
            <w:tcW w:w="0" w:type="auto"/>
            <w:gridSpan w:val="3"/>
            <w:shd w:val="clear" w:color="auto" w:fill="CCEEFF"/>
            <w:tcMar>
              <w:top w:w="30" w:type="dxa"/>
              <w:left w:w="120" w:type="dxa"/>
              <w:bottom w:w="30" w:type="dxa"/>
              <w:right w:w="20" w:type="dxa"/>
            </w:tcMar>
            <w:vAlign w:val="bottom"/>
            <w:hideMark/>
          </w:tcPr>
          <w:p w:rsidR="00000000" w:rsidRDefault="000C147A">
            <w:pPr>
              <w:ind w:firstLine="360"/>
              <w:rPr>
                <w:rFonts w:eastAsia="Times New Roman"/>
              </w:rPr>
            </w:pPr>
            <w:r>
              <w:rPr>
                <w:rFonts w:eastAsia="Times New Roman"/>
                <w:color w:val="000000"/>
                <w:sz w:val="20"/>
                <w:szCs w:val="20"/>
              </w:rPr>
              <w:t>AllianceBernstein Holding L.P.</w:t>
            </w:r>
          </w:p>
        </w:tc>
        <w:tc>
          <w:tcPr>
            <w:tcW w:w="0" w:type="auto"/>
            <w:gridSpan w:val="3"/>
            <w:shd w:val="clear" w:color="auto" w:fill="CCEEFF"/>
            <w:tcMar>
              <w:top w:w="0" w:type="dxa"/>
              <w:left w:w="20" w:type="dxa"/>
              <w:bottom w:w="0" w:type="dxa"/>
              <w:right w:w="20" w:type="dxa"/>
            </w:tcMar>
            <w:vAlign w:val="center"/>
            <w:hideMark/>
          </w:tcPr>
          <w:p w:rsidR="00000000" w:rsidRDefault="000C147A">
            <w:pPr>
              <w:ind w:firstLine="36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shd w:val="clear" w:color="auto" w:fill="B7DEE8"/>
            <w:tcMar>
              <w:top w:w="30" w:type="dxa"/>
              <w:left w:w="20" w:type="dxa"/>
              <w:bottom w:w="30" w:type="dxa"/>
              <w:right w:w="20" w:type="dxa"/>
            </w:tcMar>
            <w:vAlign w:val="center"/>
            <w:hideMark/>
          </w:tcPr>
          <w:p w:rsidR="00000000" w:rsidRDefault="000C147A">
            <w:pPr>
              <w:jc w:val="center"/>
              <w:rPr>
                <w:rFonts w:eastAsia="Times New Roman"/>
              </w:rPr>
            </w:pPr>
            <w:r>
              <w:rPr>
                <w:rFonts w:ascii="Calibri" w:eastAsia="Times New Roman" w:hAnsi="Calibri" w:cs="Calibri"/>
                <w:color w:val="000000"/>
                <w:sz w:val="18"/>
                <w:szCs w:val="18"/>
              </w:rPr>
              <w:t>A2</w:t>
            </w:r>
          </w:p>
        </w:tc>
      </w:tr>
    </w:tbl>
    <w:p w:rsidR="00000000" w:rsidRDefault="000C147A">
      <w:pPr>
        <w:divId w:val="1356809193"/>
        <w:rPr>
          <w:rFonts w:eastAsia="Times New Roman"/>
        </w:rPr>
      </w:pPr>
    </w:p>
    <w:p w:rsidR="00000000" w:rsidRDefault="000C147A">
      <w:pPr>
        <w:divId w:val="1561944072"/>
        <w:rPr>
          <w:rFonts w:eastAsia="Times New Roman"/>
        </w:rPr>
      </w:pPr>
      <w:r>
        <w:rPr>
          <w:rFonts w:eastAsia="Times New Roman"/>
          <w:b/>
          <w:bCs/>
          <w:color w:val="000000"/>
          <w:sz w:val="20"/>
          <w:szCs w:val="20"/>
        </w:rPr>
        <w:t>SUPPLEMENTARY INFORMATION</w:t>
      </w:r>
    </w:p>
    <w:p w:rsidR="00000000" w:rsidRDefault="000C147A">
      <w:pPr>
        <w:ind w:firstLine="360"/>
        <w:divId w:val="1234657693"/>
        <w:rPr>
          <w:rFonts w:eastAsia="Times New Roman"/>
        </w:rPr>
      </w:pPr>
      <w:r>
        <w:rPr>
          <w:rFonts w:eastAsia="Times New Roman"/>
          <w:color w:val="000000"/>
          <w:sz w:val="20"/>
          <w:szCs w:val="20"/>
        </w:rPr>
        <w:t>We are involved in a number of ventures and transactions with AXA and certain of its affiliates. See Note 12 in the Notes to Consolidated Financial Statements included in the Annual Report on Form 10-K for the year ended December </w:t>
      </w:r>
      <w:r>
        <w:rPr>
          <w:rFonts w:eastAsia="Times New Roman"/>
          <w:color w:val="000000"/>
          <w:sz w:val="20"/>
          <w:szCs w:val="20"/>
        </w:rPr>
        <w:t>31, 2019.</w:t>
      </w:r>
    </w:p>
    <w:p w:rsidR="00000000" w:rsidRDefault="000C147A">
      <w:pPr>
        <w:jc w:val="center"/>
        <w:divId w:val="1482893444"/>
        <w:rPr>
          <w:rFonts w:eastAsia="Times New Roman"/>
        </w:rPr>
      </w:pPr>
      <w:r>
        <w:rPr>
          <w:rFonts w:eastAsia="Times New Roman"/>
          <w:color w:val="000000"/>
          <w:sz w:val="20"/>
          <w:szCs w:val="20"/>
        </w:rPr>
        <w:t>127</w:t>
      </w:r>
    </w:p>
    <w:p w:rsidR="00000000" w:rsidRDefault="000C147A">
      <w:pPr>
        <w:rPr>
          <w:rFonts w:eastAsia="Times New Roman"/>
        </w:rPr>
      </w:pPr>
      <w:r>
        <w:rPr>
          <w:rFonts w:eastAsia="Times New Roman"/>
        </w:rPr>
        <w:pict>
          <v:rect id="_x0000_i1153" style="width:0;height:1.5pt" o:hralign="center" o:hrstd="t" o:hr="t" fillcolor="#a0a0a0" stroked="f"/>
        </w:pict>
      </w:r>
    </w:p>
    <w:p w:rsidR="00000000" w:rsidRDefault="000C147A">
      <w:pPr>
        <w:divId w:val="352659400"/>
        <w:rPr>
          <w:rFonts w:eastAsia="Times New Roman"/>
        </w:rPr>
      </w:pPr>
    </w:p>
    <w:p w:rsidR="00000000" w:rsidRDefault="000C147A">
      <w:pPr>
        <w:divId w:val="2140829828"/>
        <w:rPr>
          <w:rFonts w:eastAsia="Times New Roman"/>
        </w:rPr>
      </w:pPr>
      <w:r>
        <w:rPr>
          <w:rFonts w:eastAsia="Times New Roman"/>
          <w:b/>
          <w:bCs/>
          <w:color w:val="000000"/>
          <w:sz w:val="20"/>
          <w:szCs w:val="20"/>
        </w:rPr>
        <w:t>Contractual Obligations</w:t>
      </w:r>
    </w:p>
    <w:p w:rsidR="00000000" w:rsidRDefault="000C147A">
      <w:pPr>
        <w:ind w:firstLine="360"/>
        <w:divId w:val="510032210"/>
        <w:rPr>
          <w:rFonts w:eastAsia="Times New Roman"/>
        </w:rPr>
      </w:pPr>
      <w:r>
        <w:rPr>
          <w:rFonts w:eastAsia="Times New Roman"/>
          <w:color w:val="000000"/>
          <w:sz w:val="20"/>
          <w:szCs w:val="20"/>
        </w:rPr>
        <w:t>Our consolidated contractual agreements include policyholder obligations, long-term debt, commercial paper, employee benefits, operating leases and various funding commitments. See</w:t>
      </w:r>
      <w:r>
        <w:rPr>
          <w:rFonts w:eastAsia="Times New Roman"/>
          <w:color w:val="000000"/>
          <w:sz w:val="20"/>
          <w:szCs w:val="20"/>
        </w:rPr>
        <w:t xml:space="preserve"> “Supplementary Information – Contractual Obligations” in “Management’s Discussion and Analysis of Financial Condition and Results of Operations” in the Annual Report on Form 10-K for the year ended December 31, 2019 for additional information.</w:t>
      </w:r>
    </w:p>
    <w:p w:rsidR="00000000" w:rsidRDefault="000C147A">
      <w:pPr>
        <w:divId w:val="1504272591"/>
        <w:rPr>
          <w:rFonts w:eastAsia="Times New Roman"/>
        </w:rPr>
      </w:pPr>
      <w:r>
        <w:rPr>
          <w:rFonts w:eastAsia="Times New Roman"/>
          <w:b/>
          <w:bCs/>
          <w:color w:val="000000"/>
          <w:sz w:val="20"/>
          <w:szCs w:val="20"/>
        </w:rPr>
        <w:t>Off-Balance</w:t>
      </w:r>
      <w:r>
        <w:rPr>
          <w:rFonts w:eastAsia="Times New Roman"/>
          <w:b/>
          <w:bCs/>
          <w:color w:val="000000"/>
          <w:sz w:val="20"/>
          <w:szCs w:val="20"/>
        </w:rPr>
        <w:t xml:space="preserve"> Sheet Arrangements</w:t>
      </w:r>
    </w:p>
    <w:p w:rsidR="00000000" w:rsidRDefault="000C147A">
      <w:pPr>
        <w:ind w:firstLine="360"/>
        <w:divId w:val="366218734"/>
        <w:rPr>
          <w:rFonts w:eastAsia="Times New Roman"/>
        </w:rPr>
      </w:pPr>
      <w:r>
        <w:rPr>
          <w:rFonts w:eastAsia="Times New Roman"/>
          <w:color w:val="000000"/>
          <w:sz w:val="20"/>
          <w:szCs w:val="20"/>
        </w:rPr>
        <w:t xml:space="preserve">At September 30, 2020, we were not a party to any off-balance sheet transactions other than those Guarantees and Commitments described in Note 13 of the Notes to the Consolidated Financial Statements. </w:t>
      </w:r>
    </w:p>
    <w:p w:rsidR="00000000" w:rsidRDefault="000C147A">
      <w:pPr>
        <w:divId w:val="1646928947"/>
        <w:rPr>
          <w:rFonts w:eastAsia="Times New Roman"/>
        </w:rPr>
      </w:pPr>
      <w:r>
        <w:rPr>
          <w:rFonts w:eastAsia="Times New Roman"/>
          <w:b/>
          <w:bCs/>
          <w:color w:val="000000"/>
          <w:sz w:val="20"/>
          <w:szCs w:val="20"/>
        </w:rPr>
        <w:t>Summary of Critical Accounting Estimates</w:t>
      </w:r>
    </w:p>
    <w:p w:rsidR="00000000" w:rsidRDefault="000C147A">
      <w:pPr>
        <w:ind w:firstLine="360"/>
        <w:divId w:val="1351445278"/>
        <w:rPr>
          <w:rFonts w:eastAsia="Times New Roman"/>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consolidated financial sta</w:t>
      </w:r>
      <w:r>
        <w:rPr>
          <w:rFonts w:eastAsia="Times New Roman"/>
          <w:color w:val="000000"/>
          <w:sz w:val="20"/>
          <w:szCs w:val="20"/>
        </w:rPr>
        <w:t>tements included elsewhere herein. For a discussion of our significant accounting policies, see Note 2 to the Company’s consolidated financial statements included in our 2019 Form 10-K. The most critical estimates include those used in determining:</w:t>
      </w:r>
    </w:p>
    <w:p w:rsidR="00000000" w:rsidRDefault="000C147A">
      <w:pPr>
        <w:ind w:hanging="360"/>
        <w:jc w:val="both"/>
        <w:divId w:val="2026902707"/>
        <w:rPr>
          <w:rFonts w:eastAsia="Times New Roman"/>
        </w:rPr>
      </w:pPr>
      <w:r>
        <w:rPr>
          <w:rFonts w:eastAsia="Times New Roman"/>
          <w:color w:val="000000"/>
          <w:sz w:val="20"/>
          <w:szCs w:val="20"/>
        </w:rPr>
        <w:t>•liabil</w:t>
      </w:r>
      <w:r>
        <w:rPr>
          <w:rFonts w:eastAsia="Times New Roman"/>
          <w:color w:val="000000"/>
          <w:sz w:val="20"/>
          <w:szCs w:val="20"/>
        </w:rPr>
        <w:t>ities for future policy benefits;</w:t>
      </w:r>
    </w:p>
    <w:p w:rsidR="00000000" w:rsidRDefault="000C147A">
      <w:pPr>
        <w:ind w:hanging="360"/>
        <w:jc w:val="both"/>
        <w:divId w:val="495457548"/>
        <w:rPr>
          <w:rFonts w:eastAsia="Times New Roman"/>
        </w:rPr>
      </w:pPr>
      <w:r>
        <w:rPr>
          <w:rFonts w:eastAsia="Times New Roman"/>
          <w:color w:val="000000"/>
          <w:sz w:val="20"/>
          <w:szCs w:val="20"/>
        </w:rPr>
        <w:t>•accounting for reinsurance;</w:t>
      </w:r>
    </w:p>
    <w:p w:rsidR="00000000" w:rsidRDefault="000C147A">
      <w:pPr>
        <w:ind w:hanging="360"/>
        <w:jc w:val="both"/>
        <w:divId w:val="235559033"/>
        <w:rPr>
          <w:rFonts w:eastAsia="Times New Roman"/>
        </w:rPr>
      </w:pPr>
      <w:r>
        <w:rPr>
          <w:rFonts w:eastAsia="Times New Roman"/>
          <w:color w:val="000000"/>
          <w:sz w:val="20"/>
          <w:szCs w:val="20"/>
        </w:rPr>
        <w:t>•capitalization and amortization of DAC and policyholder bonus interest credits;</w:t>
      </w:r>
    </w:p>
    <w:p w:rsidR="00000000" w:rsidRDefault="000C147A">
      <w:pPr>
        <w:ind w:hanging="360"/>
        <w:jc w:val="both"/>
        <w:divId w:val="833642721"/>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0C147A">
      <w:pPr>
        <w:ind w:hanging="360"/>
        <w:jc w:val="both"/>
        <w:divId w:val="1231115911"/>
        <w:rPr>
          <w:rFonts w:eastAsia="Times New Roman"/>
        </w:rPr>
      </w:pPr>
      <w:r>
        <w:rPr>
          <w:rFonts w:eastAsia="Times New Roman"/>
          <w:color w:val="000000"/>
          <w:sz w:val="20"/>
          <w:szCs w:val="20"/>
        </w:rPr>
        <w:t>•estima</w:t>
      </w:r>
      <w:r>
        <w:rPr>
          <w:rFonts w:eastAsia="Times New Roman"/>
          <w:color w:val="000000"/>
          <w:sz w:val="20"/>
          <w:szCs w:val="20"/>
        </w:rPr>
        <w:t>ted fair values of freestanding derivatives and the recognition and estimated fair value of embedded derivatives requiring bifurcation;</w:t>
      </w:r>
    </w:p>
    <w:p w:rsidR="00000000" w:rsidRDefault="000C147A">
      <w:pPr>
        <w:ind w:hanging="360"/>
        <w:jc w:val="both"/>
        <w:divId w:val="270626032"/>
        <w:rPr>
          <w:rFonts w:eastAsia="Times New Roman"/>
        </w:rPr>
      </w:pPr>
      <w:r>
        <w:rPr>
          <w:rFonts w:eastAsia="Times New Roman"/>
          <w:color w:val="000000"/>
          <w:sz w:val="20"/>
          <w:szCs w:val="20"/>
        </w:rPr>
        <w:t>•goodwill and related impairment;</w:t>
      </w:r>
    </w:p>
    <w:p w:rsidR="00000000" w:rsidRDefault="000C147A">
      <w:pPr>
        <w:ind w:hanging="360"/>
        <w:jc w:val="both"/>
        <w:divId w:val="1494568259"/>
        <w:rPr>
          <w:rFonts w:eastAsia="Times New Roman"/>
        </w:rPr>
      </w:pPr>
      <w:r>
        <w:rPr>
          <w:rFonts w:eastAsia="Times New Roman"/>
          <w:color w:val="000000"/>
          <w:sz w:val="20"/>
          <w:szCs w:val="20"/>
        </w:rPr>
        <w:t>•measurement of income taxes and the valuation of deferred tax assets; and</w:t>
      </w:r>
    </w:p>
    <w:p w:rsidR="00000000" w:rsidRDefault="000C147A">
      <w:pPr>
        <w:ind w:hanging="360"/>
        <w:divId w:val="509494356"/>
        <w:rPr>
          <w:rFonts w:eastAsia="Times New Roman"/>
        </w:rPr>
      </w:pPr>
      <w:r>
        <w:rPr>
          <w:rFonts w:eastAsia="Times New Roman"/>
          <w:color w:val="000000"/>
          <w:sz w:val="20"/>
          <w:szCs w:val="20"/>
        </w:rPr>
        <w:t>•liabilitie</w:t>
      </w:r>
      <w:r>
        <w:rPr>
          <w:rFonts w:eastAsia="Times New Roman"/>
          <w:color w:val="000000"/>
          <w:sz w:val="20"/>
          <w:szCs w:val="20"/>
        </w:rPr>
        <w:t>s for litigation and regulatory matters.</w:t>
      </w:r>
    </w:p>
    <w:p w:rsidR="00000000" w:rsidRDefault="000C147A">
      <w:pPr>
        <w:ind w:firstLine="360"/>
        <w:divId w:val="1905675926"/>
        <w:rPr>
          <w:rFonts w:eastAsia="Times New Roman"/>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w:t>
      </w:r>
      <w:r>
        <w:rPr>
          <w:rFonts w:eastAsia="Times New Roman"/>
          <w:color w:val="000000"/>
          <w:sz w:val="20"/>
          <w:szCs w:val="20"/>
        </w:rPr>
        <w:t>e common in the insurance and financial services industries while others are specific to our business and operations. Actual results could differ from these estimates.</w:t>
      </w:r>
    </w:p>
    <w:p w:rsidR="00000000" w:rsidRDefault="000C147A">
      <w:pPr>
        <w:divId w:val="1719744299"/>
        <w:rPr>
          <w:rFonts w:eastAsia="Times New Roman"/>
        </w:rPr>
      </w:pPr>
      <w:r>
        <w:rPr>
          <w:rFonts w:eastAsia="Times New Roman"/>
          <w:b/>
          <w:bCs/>
          <w:color w:val="000000"/>
          <w:sz w:val="20"/>
          <w:szCs w:val="20"/>
        </w:rPr>
        <w:t xml:space="preserve">Item 3.      Quantitative and Qualitative Disclosures About Market Risk </w:t>
      </w:r>
    </w:p>
    <w:p w:rsidR="00000000" w:rsidRDefault="000C147A">
      <w:pPr>
        <w:ind w:firstLine="360"/>
        <w:divId w:val="335229750"/>
        <w:rPr>
          <w:rFonts w:eastAsia="Times New Roman"/>
        </w:rPr>
      </w:pPr>
      <w:r>
        <w:rPr>
          <w:rFonts w:eastAsia="Times New Roman"/>
          <w:color w:val="000000"/>
          <w:sz w:val="20"/>
          <w:szCs w:val="20"/>
        </w:rPr>
        <w:t>There have been</w:t>
      </w:r>
      <w:r>
        <w:rPr>
          <w:rFonts w:eastAsia="Times New Roman"/>
          <w:color w:val="000000"/>
          <w:sz w:val="20"/>
          <w:szCs w:val="20"/>
        </w:rPr>
        <w:t xml:space="preserve"> no material changes to the quantitative and qualitative disclosures about market risk described in the Annual Report on Form 10-K for the year ended December 31, 2019 in “Quantitative and Qualitative Disclosures Abo</w:t>
      </w:r>
      <w:r>
        <w:rPr>
          <w:rFonts w:eastAsia="Times New Roman"/>
          <w:color w:val="000000"/>
          <w:sz w:val="20"/>
          <w:szCs w:val="20"/>
          <w:shd w:val="clear" w:color="auto" w:fill="FFFFFF"/>
        </w:rPr>
        <w:t>ut Market Risk”, with the exception of s</w:t>
      </w:r>
      <w:r>
        <w:rPr>
          <w:rFonts w:eastAsia="Times New Roman"/>
          <w:color w:val="000000"/>
          <w:sz w:val="20"/>
          <w:szCs w:val="20"/>
          <w:shd w:val="clear" w:color="auto" w:fill="FFFFFF"/>
        </w:rPr>
        <w:t xml:space="preserve">ensitivity of certain of our derivative financial instruments to changes in equity prices. The change in fair value of these derivatives following a ten percent decline in equity prices as of </w:t>
      </w:r>
      <w:r>
        <w:rPr>
          <w:rFonts w:eastAsia="Times New Roman"/>
          <w:color w:val="000000"/>
          <w:sz w:val="20"/>
          <w:szCs w:val="20"/>
        </w:rPr>
        <w:t>December 31, 2019</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changed as follows: (a) the fair value of futures increased by $462 million, from a decline of $231 million, to an increase of $231 million; (b) the fair value of swaps increased by $3.5 billion, from a decrease of $2.0 billion to an increase of $1.5 billi</w:t>
      </w:r>
      <w:r>
        <w:rPr>
          <w:rFonts w:eastAsia="Times New Roman"/>
          <w:color w:val="000000"/>
          <w:sz w:val="20"/>
          <w:szCs w:val="20"/>
          <w:shd w:val="clear" w:color="auto" w:fill="FFFFFF"/>
        </w:rPr>
        <w:t>on; and (c) the fair value of options decreased by $1.7 billion, from an increase of $4.1 billion to an increase of $2.4 billion.</w:t>
      </w:r>
    </w:p>
    <w:p w:rsidR="00000000" w:rsidRDefault="000C147A">
      <w:pPr>
        <w:divId w:val="711924117"/>
        <w:rPr>
          <w:rFonts w:eastAsia="Times New Roman"/>
        </w:rPr>
      </w:pPr>
      <w:r>
        <w:rPr>
          <w:rFonts w:eastAsia="Times New Roman"/>
          <w:b/>
          <w:bCs/>
          <w:color w:val="000000"/>
          <w:sz w:val="20"/>
          <w:szCs w:val="20"/>
        </w:rPr>
        <w:t xml:space="preserve">Item 4.     Controls and Procedures </w:t>
      </w:r>
    </w:p>
    <w:p w:rsidR="00000000" w:rsidRDefault="000C147A">
      <w:pPr>
        <w:divId w:val="112290083"/>
        <w:rPr>
          <w:rFonts w:eastAsia="Times New Roman"/>
        </w:rPr>
      </w:pPr>
      <w:r>
        <w:rPr>
          <w:rFonts w:eastAsia="Times New Roman"/>
          <w:b/>
          <w:bCs/>
          <w:color w:val="000000"/>
          <w:sz w:val="20"/>
          <w:szCs w:val="20"/>
        </w:rPr>
        <w:t>Evaluation of Disclosure Controls and Procedures</w:t>
      </w:r>
    </w:p>
    <w:p w:rsidR="00000000" w:rsidRDefault="000C147A">
      <w:pPr>
        <w:ind w:firstLine="360"/>
        <w:divId w:val="389695342"/>
        <w:rPr>
          <w:rFonts w:eastAsia="Times New Roman"/>
        </w:rPr>
      </w:pPr>
      <w:r>
        <w:rPr>
          <w:rFonts w:eastAsia="Times New Roman"/>
          <w:color w:val="000000"/>
          <w:sz w:val="20"/>
          <w:szCs w:val="20"/>
        </w:rPr>
        <w:t xml:space="preserve">The management of the Company, with the </w:t>
      </w:r>
      <w:r>
        <w:rPr>
          <w:rFonts w:eastAsia="Times New Roman"/>
          <w:color w:val="000000"/>
          <w:sz w:val="20"/>
          <w:szCs w:val="20"/>
        </w:rPr>
        <w:t xml:space="preserve">participation of the Company’s Chief Executive Officer (CEO) and Chief Financial Officer (CFO), has evaluated the effectiveness of the Company’s disclosure controls and procedures (as defined in Rule 13a-15(e) under the Securities Exchange Act of 1934, as </w:t>
      </w:r>
      <w:r>
        <w:rPr>
          <w:rFonts w:eastAsia="Times New Roman"/>
          <w:color w:val="000000"/>
          <w:sz w:val="20"/>
          <w:szCs w:val="20"/>
        </w:rPr>
        <w:t>amended) as of September 30, 2020. This evaluation is performed to determine if our disclosure controls and procedures are effective to provide reasonable assurance that information required to be disclosed by the Company in the reports that it files or su</w:t>
      </w:r>
      <w:r>
        <w:rPr>
          <w:rFonts w:eastAsia="Times New Roman"/>
          <w:color w:val="000000"/>
          <w:sz w:val="20"/>
          <w:szCs w:val="20"/>
        </w:rPr>
        <w:t>bmits under the Securities and Exchange Act of 1934, as amended, is accumulated and communicated to management, including the Company’s CEO and CFO, as appropriate, to allow timely decisions regarding required disclosure and are effective to provide reason</w:t>
      </w:r>
      <w:r>
        <w:rPr>
          <w:rFonts w:eastAsia="Times New Roman"/>
          <w:color w:val="000000"/>
          <w:sz w:val="20"/>
          <w:szCs w:val="20"/>
        </w:rPr>
        <w:t>able assurance that such information is recorded, processed, summarized and reported within the time periods specified by the Securities and Exchange Commission’s rules and forms.</w:t>
      </w:r>
    </w:p>
    <w:p w:rsidR="00000000" w:rsidRDefault="000C147A">
      <w:pPr>
        <w:jc w:val="center"/>
        <w:divId w:val="1468426136"/>
        <w:rPr>
          <w:rFonts w:eastAsia="Times New Roman"/>
        </w:rPr>
      </w:pPr>
      <w:r>
        <w:rPr>
          <w:rFonts w:eastAsia="Times New Roman"/>
          <w:color w:val="000000"/>
          <w:sz w:val="20"/>
          <w:szCs w:val="20"/>
        </w:rPr>
        <w:t>128</w:t>
      </w:r>
    </w:p>
    <w:p w:rsidR="00000000" w:rsidRDefault="000C147A">
      <w:pPr>
        <w:rPr>
          <w:rFonts w:eastAsia="Times New Roman"/>
        </w:rPr>
      </w:pPr>
      <w:r>
        <w:rPr>
          <w:rFonts w:eastAsia="Times New Roman"/>
        </w:rPr>
        <w:pict>
          <v:rect id="_x0000_i1154" style="width:0;height:1.5pt" o:hralign="center" o:hrstd="t" o:hr="t" fillcolor="#a0a0a0" stroked="f"/>
        </w:pict>
      </w:r>
    </w:p>
    <w:p w:rsidR="00000000" w:rsidRDefault="000C147A">
      <w:pPr>
        <w:divId w:val="309754609"/>
        <w:rPr>
          <w:rFonts w:eastAsia="Times New Roman"/>
        </w:rPr>
      </w:pPr>
    </w:p>
    <w:p w:rsidR="00000000" w:rsidRDefault="000C147A">
      <w:pPr>
        <w:ind w:firstLine="360"/>
        <w:divId w:val="1695842283"/>
        <w:rPr>
          <w:rFonts w:eastAsia="Times New Roman"/>
        </w:rPr>
      </w:pPr>
      <w:r>
        <w:rPr>
          <w:rFonts w:eastAsia="Times New Roman"/>
          <w:color w:val="000000"/>
          <w:sz w:val="20"/>
          <w:szCs w:val="20"/>
        </w:rPr>
        <w:t>Due to the material weakness descr</w:t>
      </w:r>
      <w:r>
        <w:rPr>
          <w:rFonts w:eastAsia="Times New Roman"/>
          <w:color w:val="000000"/>
          <w:sz w:val="20"/>
          <w:szCs w:val="20"/>
        </w:rPr>
        <w:t>ibed below, the Company’s CEO and CFO, concluded that the Company’s disclosure controls and procedures were not effective as of September 30, 2020.</w:t>
      </w:r>
    </w:p>
    <w:p w:rsidR="00000000" w:rsidRDefault="000C147A">
      <w:pPr>
        <w:ind w:firstLine="360"/>
        <w:divId w:val="266809968"/>
        <w:rPr>
          <w:rFonts w:eastAsia="Times New Roman"/>
        </w:rPr>
      </w:pPr>
      <w:r>
        <w:rPr>
          <w:rFonts w:eastAsia="Times New Roman"/>
          <w:color w:val="000000"/>
          <w:sz w:val="20"/>
          <w:szCs w:val="20"/>
        </w:rPr>
        <w:t>As previously reported, the Company identified a material weakness in the design and operation of the Compan</w:t>
      </w:r>
      <w:r>
        <w:rPr>
          <w:rFonts w:eastAsia="Times New Roman"/>
          <w:color w:val="000000"/>
          <w:sz w:val="20"/>
          <w:szCs w:val="20"/>
        </w:rPr>
        <w:t>y’s internal control over financial reporting. A material weakness is a deficiency, or a combination of deficiencies, in internal control over financial reporting, such that there is a reasonable possibility that a material misstatement of a company’s annu</w:t>
      </w:r>
      <w:r>
        <w:rPr>
          <w:rFonts w:eastAsia="Times New Roman"/>
          <w:color w:val="000000"/>
          <w:sz w:val="20"/>
          <w:szCs w:val="20"/>
        </w:rPr>
        <w:t>al or interim financial statements will not be prevented or detected on a timely basis. The Company’s management, including the Company’s CEO and CFO, have concluded that we do not maintain effective controls to timely validate that actuarial models are pr</w:t>
      </w:r>
      <w:r>
        <w:rPr>
          <w:rFonts w:eastAsia="Times New Roman"/>
          <w:color w:val="000000"/>
          <w:sz w:val="20"/>
          <w:szCs w:val="20"/>
        </w:rPr>
        <w:t>operly configured to capture all relevant product features and provide reasonable assurance timely reviews of assumptions and data have occurred, and, as a result, errors were identified in future policyholders’ benefits and deferred policy acquisition cos</w:t>
      </w:r>
      <w:r>
        <w:rPr>
          <w:rFonts w:eastAsia="Times New Roman"/>
          <w:color w:val="000000"/>
          <w:sz w:val="20"/>
          <w:szCs w:val="20"/>
        </w:rPr>
        <w:t>ts balances.</w:t>
      </w:r>
    </w:p>
    <w:p w:rsidR="00000000" w:rsidRDefault="000C147A">
      <w:pPr>
        <w:ind w:firstLine="360"/>
        <w:divId w:val="2007979737"/>
        <w:rPr>
          <w:rFonts w:eastAsia="Times New Roman"/>
        </w:rPr>
      </w:pPr>
      <w:r>
        <w:rPr>
          <w:rFonts w:eastAsia="Times New Roman"/>
          <w:color w:val="000000"/>
          <w:sz w:val="20"/>
          <w:szCs w:val="20"/>
        </w:rPr>
        <w:t>This material weakness resulted in misstatements in the Company’s previously issued annual and interim financial statements and resulted in:</w:t>
      </w:r>
    </w:p>
    <w:p w:rsidR="00000000" w:rsidRDefault="000C147A">
      <w:pPr>
        <w:ind w:hanging="360"/>
        <w:jc w:val="both"/>
        <w:divId w:val="1898777034"/>
        <w:rPr>
          <w:rFonts w:eastAsia="Times New Roman"/>
        </w:rPr>
      </w:pPr>
      <w:r>
        <w:rPr>
          <w:rFonts w:eastAsia="Times New Roman"/>
          <w:color w:val="000000"/>
          <w:sz w:val="20"/>
          <w:szCs w:val="20"/>
        </w:rPr>
        <w:t>(i)     the revision of the interim financial statements for the nine, six, and three months ended Sep</w:t>
      </w:r>
      <w:r>
        <w:rPr>
          <w:rFonts w:eastAsia="Times New Roman"/>
          <w:color w:val="000000"/>
          <w:sz w:val="20"/>
          <w:szCs w:val="20"/>
        </w:rPr>
        <w:t>tember 30, June 30, and March 31, 2018 and 2017, respectively, and the annual financial statements for the year ended December 31, 2017;</w:t>
      </w:r>
    </w:p>
    <w:p w:rsidR="00000000" w:rsidRDefault="000C147A">
      <w:pPr>
        <w:ind w:hanging="360"/>
        <w:jc w:val="both"/>
        <w:divId w:val="35853825"/>
        <w:rPr>
          <w:rFonts w:eastAsia="Times New Roman"/>
        </w:rPr>
      </w:pPr>
      <w:r>
        <w:rPr>
          <w:rFonts w:eastAsia="Times New Roman"/>
          <w:color w:val="000000"/>
          <w:sz w:val="20"/>
          <w:szCs w:val="20"/>
        </w:rPr>
        <w:t>(ii)     the amended restatement of the interim financial statements for the nine months ended September 30, 2017 and t</w:t>
      </w:r>
      <w:r>
        <w:rPr>
          <w:rFonts w:eastAsia="Times New Roman"/>
          <w:color w:val="000000"/>
          <w:sz w:val="20"/>
          <w:szCs w:val="20"/>
        </w:rPr>
        <w:t xml:space="preserve">he six months ended June 30, 2017, and the year ended December 31, 2016 and revisions for the six and three months ended June 30, 2018 and March 31, 2018, respectively, and the three months ended March 31, 2017 and the years ended December 31, 2017, 2015, </w:t>
      </w:r>
      <w:r>
        <w:rPr>
          <w:rFonts w:eastAsia="Times New Roman"/>
          <w:color w:val="000000"/>
          <w:sz w:val="20"/>
          <w:szCs w:val="20"/>
        </w:rPr>
        <w:t>2014, and 2013, respectively;</w:t>
      </w:r>
    </w:p>
    <w:p w:rsidR="00000000" w:rsidRDefault="000C147A">
      <w:pPr>
        <w:ind w:hanging="360"/>
        <w:jc w:val="both"/>
        <w:divId w:val="1132013949"/>
        <w:rPr>
          <w:rFonts w:eastAsia="Times New Roman"/>
        </w:rPr>
      </w:pPr>
      <w:r>
        <w:rPr>
          <w:rFonts w:eastAsia="Times New Roman"/>
          <w:color w:val="000000"/>
          <w:sz w:val="20"/>
          <w:szCs w:val="20"/>
        </w:rPr>
        <w:t>(iii)     the revision of the annual financial statements for the year ended December 31, 2017 and amended the restated annual financial statements for the year ended December 31, 2016, and amended the restated interim financi</w:t>
      </w:r>
      <w:r>
        <w:rPr>
          <w:rFonts w:eastAsia="Times New Roman"/>
          <w:color w:val="000000"/>
          <w:sz w:val="20"/>
          <w:szCs w:val="20"/>
        </w:rPr>
        <w:t>al statements for the nine and six months ended September 30, 2017, and June 30, 2017, respectively;</w:t>
      </w:r>
    </w:p>
    <w:p w:rsidR="00000000" w:rsidRDefault="000C147A">
      <w:pPr>
        <w:ind w:hanging="360"/>
        <w:jc w:val="both"/>
        <w:divId w:val="789855614"/>
        <w:rPr>
          <w:rFonts w:eastAsia="Times New Roman"/>
        </w:rPr>
      </w:pPr>
      <w:r>
        <w:rPr>
          <w:rFonts w:eastAsia="Times New Roman"/>
          <w:color w:val="000000"/>
          <w:sz w:val="20"/>
          <w:szCs w:val="20"/>
        </w:rPr>
        <w:t>(iv) the restatements of the interim financial statements for the nine and six months ended September 30, 2017 and June 30, 2017, respectively, the restate</w:t>
      </w:r>
      <w:r>
        <w:rPr>
          <w:rFonts w:eastAsia="Times New Roman"/>
          <w:color w:val="000000"/>
          <w:sz w:val="20"/>
          <w:szCs w:val="20"/>
        </w:rPr>
        <w:t>ment of the annual financial statements for the year ended December 31, 2016, the revision of the interim financial statements for the nine and six months ended September 30, 2016 and June 30, 2016, respectively, and the revision of the annual financial st</w:t>
      </w:r>
      <w:r>
        <w:rPr>
          <w:rFonts w:eastAsia="Times New Roman"/>
          <w:color w:val="000000"/>
          <w:sz w:val="20"/>
          <w:szCs w:val="20"/>
        </w:rPr>
        <w:t>atements for the year ended December 31, 2015; and</w:t>
      </w:r>
    </w:p>
    <w:p w:rsidR="00000000" w:rsidRDefault="000C147A">
      <w:pPr>
        <w:ind w:hanging="360"/>
        <w:jc w:val="both"/>
        <w:divId w:val="901791866"/>
        <w:rPr>
          <w:rFonts w:eastAsia="Times New Roman"/>
        </w:rPr>
      </w:pPr>
      <w:r>
        <w:rPr>
          <w:rFonts w:eastAsia="Times New Roman"/>
          <w:color w:val="000000"/>
          <w:sz w:val="20"/>
          <w:szCs w:val="20"/>
        </w:rPr>
        <w:t xml:space="preserve">(v) the restatement of the interim financial statements for the six months ended June 30, 2017 and the revision of the annual financial statements for the years ended December 31, 2016, 2015 and 2014, respectively, and the interim financial statements for </w:t>
      </w:r>
      <w:r>
        <w:rPr>
          <w:rFonts w:eastAsia="Times New Roman"/>
          <w:color w:val="000000"/>
          <w:sz w:val="20"/>
          <w:szCs w:val="20"/>
        </w:rPr>
        <w:t>the six months ended June 30, 2016.</w:t>
      </w:r>
    </w:p>
    <w:p w:rsidR="00000000" w:rsidRDefault="000C147A">
      <w:pPr>
        <w:ind w:firstLine="360"/>
        <w:divId w:val="738095119"/>
        <w:rPr>
          <w:rFonts w:eastAsia="Times New Roman"/>
        </w:rPr>
      </w:pPr>
      <w:r>
        <w:rPr>
          <w:rFonts w:eastAsia="Times New Roman"/>
          <w:color w:val="000000"/>
          <w:sz w:val="20"/>
          <w:szCs w:val="20"/>
        </w:rPr>
        <w:t>These revisions and restatements were directly related to the material weakness described above and not indicative of any new material weaknesses. Until remediated, there is a reasonable possibility that this material we</w:t>
      </w:r>
      <w:r>
        <w:rPr>
          <w:rFonts w:eastAsia="Times New Roman"/>
          <w:color w:val="000000"/>
          <w:sz w:val="20"/>
          <w:szCs w:val="20"/>
        </w:rPr>
        <w:t>akness could result in a material misstatement of the Company’s consolidated financial statements or disclosures that would not be prevented or detected.</w:t>
      </w:r>
    </w:p>
    <w:p w:rsidR="00000000" w:rsidRDefault="000C147A">
      <w:pPr>
        <w:divId w:val="348917572"/>
        <w:rPr>
          <w:rFonts w:eastAsia="Times New Roman"/>
        </w:rPr>
      </w:pPr>
      <w:r>
        <w:rPr>
          <w:rFonts w:eastAsia="Times New Roman"/>
          <w:b/>
          <w:bCs/>
          <w:color w:val="000000"/>
          <w:sz w:val="20"/>
          <w:szCs w:val="20"/>
        </w:rPr>
        <w:t>Remediation Status of Material Weakness</w:t>
      </w:r>
    </w:p>
    <w:p w:rsidR="00000000" w:rsidRDefault="000C147A">
      <w:pPr>
        <w:ind w:firstLine="360"/>
        <w:divId w:val="994723883"/>
        <w:rPr>
          <w:rFonts w:eastAsia="Times New Roman"/>
        </w:rPr>
      </w:pPr>
      <w:r>
        <w:rPr>
          <w:rFonts w:eastAsia="Times New Roman"/>
          <w:color w:val="000000"/>
          <w:sz w:val="20"/>
          <w:szCs w:val="20"/>
        </w:rPr>
        <w:t>For the material weakness related to Actuarial Models, Assumpt</w:t>
      </w:r>
      <w:r>
        <w:rPr>
          <w:rFonts w:eastAsia="Times New Roman"/>
          <w:color w:val="000000"/>
          <w:sz w:val="20"/>
          <w:szCs w:val="20"/>
        </w:rPr>
        <w:t>ions and Data, management has implemented and tested new or enhanced controls as described below but determined that further sustained operation is necessary.</w:t>
      </w:r>
    </w:p>
    <w:p w:rsidR="00000000" w:rsidRDefault="000C147A">
      <w:pPr>
        <w:divId w:val="838931730"/>
        <w:rPr>
          <w:rFonts w:eastAsia="Times New Roman"/>
        </w:rPr>
      </w:pPr>
      <w:r>
        <w:rPr>
          <w:rFonts w:eastAsia="Times New Roman"/>
          <w:b/>
          <w:bCs/>
          <w:i/>
          <w:iCs/>
          <w:color w:val="000000"/>
          <w:sz w:val="20"/>
          <w:szCs w:val="20"/>
        </w:rPr>
        <w:t xml:space="preserve">Remediation Activities: </w:t>
      </w:r>
      <w:r>
        <w:rPr>
          <w:rFonts w:eastAsia="Times New Roman"/>
          <w:i/>
          <w:iCs/>
          <w:color w:val="000000"/>
          <w:sz w:val="20"/>
          <w:szCs w:val="20"/>
          <w:u w:val="single"/>
        </w:rPr>
        <w:t>Material Weakness Related to Actuarial Models, Assumptions and Data</w:t>
      </w:r>
    </w:p>
    <w:p w:rsidR="00000000" w:rsidRDefault="000C147A">
      <w:pPr>
        <w:ind w:hanging="360"/>
        <w:jc w:val="both"/>
        <w:divId w:val="1513302972"/>
        <w:rPr>
          <w:rFonts w:eastAsia="Times New Roman"/>
        </w:rPr>
      </w:pPr>
      <w:r>
        <w:rPr>
          <w:rFonts w:eastAsia="Times New Roman"/>
          <w:color w:val="000000"/>
          <w:sz w:val="20"/>
          <w:szCs w:val="20"/>
        </w:rPr>
        <w:t>•We h</w:t>
      </w:r>
      <w:r>
        <w:rPr>
          <w:rFonts w:eastAsia="Times New Roman"/>
          <w:color w:val="000000"/>
          <w:sz w:val="20"/>
          <w:szCs w:val="20"/>
        </w:rPr>
        <w:t>ave designed, implemented and tested an enhanced model validation control framework, including a rotational schedule to periodically re-validate all U.S. GAAP models.</w:t>
      </w:r>
    </w:p>
    <w:p w:rsidR="00000000" w:rsidRDefault="000C147A">
      <w:pPr>
        <w:ind w:hanging="360"/>
        <w:jc w:val="both"/>
        <w:divId w:val="1921016191"/>
        <w:rPr>
          <w:rFonts w:eastAsia="Times New Roman"/>
        </w:rPr>
      </w:pPr>
      <w:r>
        <w:rPr>
          <w:rFonts w:eastAsia="Times New Roman"/>
          <w:color w:val="000000"/>
          <w:sz w:val="20"/>
          <w:szCs w:val="20"/>
        </w:rPr>
        <w:t xml:space="preserve">•We have designed, implemented and tested enhanced controls and governance processes for </w:t>
      </w:r>
      <w:r>
        <w:rPr>
          <w:rFonts w:eastAsia="Times New Roman"/>
          <w:color w:val="000000"/>
          <w:sz w:val="20"/>
          <w:szCs w:val="20"/>
        </w:rPr>
        <w:t>new model implementations.</w:t>
      </w:r>
    </w:p>
    <w:p w:rsidR="00000000" w:rsidRDefault="000C147A">
      <w:pPr>
        <w:ind w:hanging="360"/>
        <w:jc w:val="both"/>
        <w:divId w:val="1838496794"/>
        <w:rPr>
          <w:rFonts w:eastAsia="Times New Roman"/>
        </w:rPr>
      </w:pPr>
      <w:r>
        <w:rPr>
          <w:rFonts w:eastAsia="Times New Roman"/>
          <w:color w:val="000000"/>
          <w:sz w:val="20"/>
          <w:szCs w:val="20"/>
        </w:rPr>
        <w:t>•We have designed, implemented and tested enhanced controls for model changes.</w:t>
      </w:r>
    </w:p>
    <w:p w:rsidR="00000000" w:rsidRDefault="000C147A">
      <w:pPr>
        <w:ind w:hanging="360"/>
        <w:jc w:val="both"/>
        <w:divId w:val="1179730684"/>
        <w:rPr>
          <w:rFonts w:eastAsia="Times New Roman"/>
        </w:rPr>
      </w:pPr>
      <w:r>
        <w:rPr>
          <w:rFonts w:eastAsia="Times New Roman"/>
          <w:color w:val="000000"/>
          <w:sz w:val="20"/>
          <w:szCs w:val="20"/>
        </w:rPr>
        <w:t>•We have designed, implemented and tested enhanced controls over the annual assumption setting process, including a comprehensive master assumption in</w:t>
      </w:r>
      <w:r>
        <w:rPr>
          <w:rFonts w:eastAsia="Times New Roman"/>
          <w:color w:val="000000"/>
          <w:sz w:val="20"/>
          <w:szCs w:val="20"/>
        </w:rPr>
        <w:t>ventory and risk framework.</w:t>
      </w:r>
    </w:p>
    <w:p w:rsidR="00000000" w:rsidRDefault="000C147A">
      <w:pPr>
        <w:ind w:hanging="360"/>
        <w:jc w:val="both"/>
        <w:divId w:val="1244952061"/>
        <w:rPr>
          <w:rFonts w:eastAsia="Times New Roman"/>
        </w:rPr>
      </w:pPr>
      <w:r>
        <w:rPr>
          <w:rFonts w:eastAsia="Times New Roman"/>
          <w:color w:val="000000"/>
          <w:sz w:val="20"/>
          <w:szCs w:val="20"/>
        </w:rPr>
        <w:t>•We have designed, implemented and tested new controls and are redesigning certain of these controls to validate the reliability of significant data flows feeding actuarial models and assumptions</w:t>
      </w:r>
    </w:p>
    <w:p w:rsidR="00000000" w:rsidRDefault="000C147A">
      <w:pPr>
        <w:ind w:firstLine="360"/>
        <w:divId w:val="154030250"/>
        <w:rPr>
          <w:rFonts w:eastAsia="Times New Roman"/>
        </w:rPr>
      </w:pPr>
      <w:r>
        <w:rPr>
          <w:rFonts w:eastAsia="Times New Roman"/>
          <w:color w:val="000000"/>
          <w:sz w:val="20"/>
          <w:szCs w:val="20"/>
        </w:rPr>
        <w:t>Third quarter 2020 controls have</w:t>
      </w:r>
      <w:r>
        <w:rPr>
          <w:rFonts w:eastAsia="Times New Roman"/>
          <w:color w:val="000000"/>
          <w:sz w:val="20"/>
          <w:szCs w:val="20"/>
        </w:rPr>
        <w:t xml:space="preserve"> operated as designed. However, given that certain controls noted above have only operated effectively in one financial closing cycle during the year, and controls are still being redesigned, we have </w:t>
      </w:r>
    </w:p>
    <w:p w:rsidR="00000000" w:rsidRDefault="000C147A">
      <w:pPr>
        <w:jc w:val="center"/>
        <w:divId w:val="525866918"/>
        <w:rPr>
          <w:rFonts w:eastAsia="Times New Roman"/>
        </w:rPr>
      </w:pPr>
      <w:r>
        <w:rPr>
          <w:rFonts w:eastAsia="Times New Roman"/>
          <w:color w:val="000000"/>
          <w:sz w:val="20"/>
          <w:szCs w:val="20"/>
        </w:rPr>
        <w:t>129</w:t>
      </w:r>
    </w:p>
    <w:p w:rsidR="00000000" w:rsidRDefault="000C147A">
      <w:pPr>
        <w:rPr>
          <w:rFonts w:eastAsia="Times New Roman"/>
        </w:rPr>
      </w:pPr>
      <w:r>
        <w:rPr>
          <w:rFonts w:eastAsia="Times New Roman"/>
        </w:rPr>
        <w:pict>
          <v:rect id="_x0000_i1155" style="width:0;height:1.5pt" o:hralign="center" o:hrstd="t" o:hr="t" fillcolor="#a0a0a0" stroked="f"/>
        </w:pict>
      </w:r>
    </w:p>
    <w:p w:rsidR="00000000" w:rsidRDefault="000C147A">
      <w:pPr>
        <w:divId w:val="541867296"/>
        <w:rPr>
          <w:rFonts w:eastAsia="Times New Roman"/>
        </w:rPr>
      </w:pPr>
    </w:p>
    <w:p w:rsidR="00000000" w:rsidRDefault="000C147A">
      <w:pPr>
        <w:divId w:val="300887439"/>
        <w:rPr>
          <w:rFonts w:eastAsia="Times New Roman"/>
        </w:rPr>
      </w:pPr>
      <w:r>
        <w:rPr>
          <w:rFonts w:eastAsia="Times New Roman"/>
          <w:color w:val="000000"/>
          <w:sz w:val="20"/>
          <w:szCs w:val="20"/>
        </w:rPr>
        <w:t>determined t</w:t>
      </w:r>
      <w:r>
        <w:rPr>
          <w:rFonts w:eastAsia="Times New Roman"/>
          <w:color w:val="000000"/>
          <w:sz w:val="20"/>
          <w:szCs w:val="20"/>
        </w:rPr>
        <w:t>hat further work and sustained operation is appropriate before concluding the controls are operationally effective.</w:t>
      </w:r>
    </w:p>
    <w:p w:rsidR="00000000" w:rsidRDefault="000C147A">
      <w:pPr>
        <w:divId w:val="1757091243"/>
        <w:rPr>
          <w:rFonts w:eastAsia="Times New Roman"/>
        </w:rPr>
      </w:pPr>
      <w:r>
        <w:rPr>
          <w:rFonts w:eastAsia="Times New Roman"/>
          <w:b/>
          <w:bCs/>
          <w:color w:val="000000"/>
          <w:sz w:val="20"/>
          <w:szCs w:val="20"/>
        </w:rPr>
        <w:t>Changes in Internal Control Over Financial Reporting</w:t>
      </w:r>
    </w:p>
    <w:p w:rsidR="00000000" w:rsidRDefault="000C147A">
      <w:pPr>
        <w:divId w:val="1120104020"/>
        <w:rPr>
          <w:rFonts w:eastAsia="Times New Roman"/>
        </w:rPr>
      </w:pPr>
      <w:r>
        <w:rPr>
          <w:rFonts w:eastAsia="Times New Roman"/>
          <w:color w:val="000000"/>
          <w:sz w:val="20"/>
          <w:szCs w:val="20"/>
        </w:rPr>
        <w:t>As described above, the Company continues to design certain controls in connection with</w:t>
      </w:r>
      <w:r>
        <w:rPr>
          <w:rFonts w:eastAsia="Times New Roman"/>
          <w:color w:val="000000"/>
          <w:sz w:val="20"/>
          <w:szCs w:val="20"/>
        </w:rPr>
        <w:t xml:space="preserve"> its remediation plan. These remediation efforts related to the material weakness described above represent changes in our internal control over financial reporting for the quarter ended September 30, 2020 that have materially affected, or are reasonably l</w:t>
      </w:r>
      <w:r>
        <w:rPr>
          <w:rFonts w:eastAsia="Times New Roman"/>
          <w:color w:val="000000"/>
          <w:sz w:val="20"/>
          <w:szCs w:val="20"/>
        </w:rPr>
        <w:t>ikely to materially affect, the Company’s internal control over financial reporting.</w:t>
      </w:r>
    </w:p>
    <w:p w:rsidR="00000000" w:rsidRDefault="000C147A">
      <w:pPr>
        <w:divId w:val="746154002"/>
        <w:rPr>
          <w:rFonts w:eastAsia="Times New Roman"/>
        </w:rPr>
      </w:pPr>
    </w:p>
    <w:p w:rsidR="00000000" w:rsidRDefault="000C147A">
      <w:pPr>
        <w:jc w:val="center"/>
        <w:divId w:val="858347974"/>
        <w:rPr>
          <w:rFonts w:eastAsia="Times New Roman"/>
        </w:rPr>
      </w:pPr>
      <w:r>
        <w:rPr>
          <w:rFonts w:eastAsia="Times New Roman"/>
          <w:color w:val="000000"/>
          <w:sz w:val="20"/>
          <w:szCs w:val="20"/>
        </w:rPr>
        <w:t>130</w:t>
      </w:r>
    </w:p>
    <w:p w:rsidR="00000000" w:rsidRDefault="000C147A">
      <w:pPr>
        <w:rPr>
          <w:rFonts w:eastAsia="Times New Roman"/>
        </w:rPr>
      </w:pPr>
      <w:r>
        <w:rPr>
          <w:rFonts w:eastAsia="Times New Roman"/>
        </w:rPr>
        <w:pict>
          <v:rect id="_x0000_i1156" style="width:0;height:1.5pt" o:hralign="center" o:hrstd="t" o:hr="t" fillcolor="#a0a0a0" stroked="f"/>
        </w:pict>
      </w:r>
    </w:p>
    <w:p w:rsidR="00000000" w:rsidRDefault="000C147A">
      <w:pPr>
        <w:divId w:val="965545183"/>
        <w:rPr>
          <w:rFonts w:eastAsia="Times New Roman"/>
        </w:rPr>
      </w:pPr>
    </w:p>
    <w:p w:rsidR="00000000" w:rsidRDefault="000C147A">
      <w:pPr>
        <w:divId w:val="329333121"/>
        <w:rPr>
          <w:rFonts w:eastAsia="Times New Roman"/>
        </w:rPr>
      </w:pPr>
      <w:r>
        <w:rPr>
          <w:rFonts w:eastAsia="Times New Roman"/>
          <w:b/>
          <w:bCs/>
          <w:color w:val="000000"/>
          <w:sz w:val="20"/>
          <w:szCs w:val="20"/>
        </w:rPr>
        <w:t>PART II. OTHER INFORMATION</w:t>
      </w:r>
    </w:p>
    <w:p w:rsidR="00000000" w:rsidRDefault="000C147A">
      <w:pPr>
        <w:divId w:val="696738447"/>
        <w:rPr>
          <w:rFonts w:eastAsia="Times New Roman"/>
        </w:rPr>
      </w:pPr>
      <w:r>
        <w:rPr>
          <w:rFonts w:eastAsia="Times New Roman"/>
          <w:b/>
          <w:bCs/>
          <w:color w:val="000000"/>
          <w:sz w:val="20"/>
          <w:szCs w:val="20"/>
        </w:rPr>
        <w:t xml:space="preserve">Item 1.     Legal Proceedings </w:t>
      </w:r>
    </w:p>
    <w:p w:rsidR="00000000" w:rsidRDefault="000C147A">
      <w:pPr>
        <w:ind w:firstLine="360"/>
        <w:divId w:val="466124243"/>
        <w:rPr>
          <w:rFonts w:eastAsia="Times New Roman"/>
        </w:rPr>
      </w:pPr>
      <w:r>
        <w:rPr>
          <w:rFonts w:eastAsia="Times New Roman"/>
          <w:color w:val="000000"/>
          <w:sz w:val="20"/>
          <w:szCs w:val="20"/>
        </w:rPr>
        <w:t xml:space="preserve">For information regarding certain legal proceedings pending against us, see Note 13 of the Notes to the Consolidated Financial Statements (unaudited) in this Form 10-Q. See “Risk Factors—Legal and Regulatory Risks—Legal and regulatory actions could have a </w:t>
      </w:r>
      <w:r>
        <w:rPr>
          <w:rFonts w:eastAsia="Times New Roman"/>
          <w:color w:val="000000"/>
          <w:sz w:val="20"/>
          <w:szCs w:val="20"/>
        </w:rPr>
        <w:t>material adverse effect on our reputation, business, results of operations or financial condition” in our Form 10-K for the year ended December 31, 2019.</w:t>
      </w:r>
    </w:p>
    <w:p w:rsidR="00000000" w:rsidRDefault="000C147A">
      <w:pPr>
        <w:divId w:val="683361554"/>
        <w:rPr>
          <w:rFonts w:eastAsia="Times New Roman"/>
        </w:rPr>
      </w:pPr>
      <w:r>
        <w:rPr>
          <w:rFonts w:eastAsia="Times New Roman"/>
          <w:b/>
          <w:bCs/>
          <w:color w:val="000000"/>
          <w:sz w:val="20"/>
          <w:szCs w:val="20"/>
        </w:rPr>
        <w:t xml:space="preserve">Item 1A. Risk Factors </w:t>
      </w:r>
    </w:p>
    <w:p w:rsidR="00000000" w:rsidRDefault="000C147A">
      <w:pPr>
        <w:divId w:val="1595556882"/>
        <w:rPr>
          <w:rFonts w:eastAsia="Times New Roman"/>
        </w:rPr>
      </w:pPr>
      <w:r>
        <w:rPr>
          <w:rFonts w:eastAsia="Times New Roman"/>
          <w:i/>
          <w:iCs/>
          <w:color w:val="000000"/>
          <w:sz w:val="20"/>
          <w:szCs w:val="20"/>
        </w:rPr>
        <w:t>You should carefully consider the risks described in the “Risk Factors” section</w:t>
      </w:r>
      <w:r>
        <w:rPr>
          <w:rFonts w:eastAsia="Times New Roman"/>
          <w:i/>
          <w:iCs/>
          <w:color w:val="000000"/>
          <w:sz w:val="20"/>
          <w:szCs w:val="20"/>
        </w:rPr>
        <w:t xml:space="preserve"> included in our Annual Report on Form 10-K for the year ended December 31, 2019 and our Quarterly Reports on Form 10-Q for the quarters ended March 31, 2020 and June 30, 2020. Risks to which we are subject include, but are not limited to, the factors ment</w:t>
      </w:r>
      <w:r>
        <w:rPr>
          <w:rFonts w:eastAsia="Times New Roman"/>
          <w:i/>
          <w:iCs/>
          <w:color w:val="000000"/>
          <w:sz w:val="20"/>
          <w:szCs w:val="20"/>
        </w:rPr>
        <w:t>ioned under “</w:t>
      </w:r>
      <w:r>
        <w:rPr>
          <w:rFonts w:eastAsia="Times New Roman"/>
          <w:i/>
          <w:iCs/>
          <w:color w:val="0000FF"/>
          <w:sz w:val="20"/>
          <w:szCs w:val="20"/>
          <w:u w:val="single"/>
        </w:rPr>
        <w:t>Note Regarding Forward-Looking Statements and Information</w:t>
      </w:r>
      <w:r>
        <w:rPr>
          <w:rFonts w:eastAsia="Times New Roman"/>
          <w:i/>
          <w:iCs/>
          <w:color w:val="000000"/>
          <w:sz w:val="20"/>
          <w:szCs w:val="20"/>
        </w:rPr>
        <w:t>” above and the risks of our businesses described elsewhere in this Quarterly Report on Form 10-Q.</w:t>
      </w:r>
    </w:p>
    <w:p w:rsidR="00000000" w:rsidRDefault="000C147A">
      <w:pPr>
        <w:divId w:val="172884528"/>
        <w:rPr>
          <w:rFonts w:eastAsia="Times New Roman"/>
        </w:rPr>
      </w:pPr>
      <w:r>
        <w:rPr>
          <w:rFonts w:eastAsia="Times New Roman"/>
          <w:b/>
          <w:bCs/>
          <w:color w:val="000000"/>
          <w:sz w:val="20"/>
          <w:szCs w:val="20"/>
        </w:rPr>
        <w:t xml:space="preserve">Item 2.     Unregistered Sales of Equity Securities and Use of Proceeds </w:t>
      </w:r>
    </w:p>
    <w:p w:rsidR="00000000" w:rsidRDefault="000C147A">
      <w:pPr>
        <w:ind w:firstLine="360"/>
        <w:divId w:val="1842159189"/>
        <w:rPr>
          <w:rFonts w:eastAsia="Times New Roman"/>
        </w:rPr>
      </w:pPr>
      <w:r>
        <w:rPr>
          <w:rFonts w:eastAsia="Times New Roman"/>
          <w:color w:val="000000"/>
          <w:sz w:val="20"/>
          <w:szCs w:val="20"/>
        </w:rPr>
        <w:t>The following table provides information about purchases by Holdings during the three months ended September 30, 2020,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1"/>
        <w:gridCol w:w="1896"/>
        <w:gridCol w:w="36"/>
        <w:gridCol w:w="120"/>
        <w:gridCol w:w="1386"/>
        <w:gridCol w:w="36"/>
        <w:gridCol w:w="36"/>
        <w:gridCol w:w="36"/>
        <w:gridCol w:w="36"/>
        <w:gridCol w:w="37"/>
        <w:gridCol w:w="1355"/>
        <w:gridCol w:w="36"/>
        <w:gridCol w:w="36"/>
        <w:gridCol w:w="36"/>
        <w:gridCol w:w="36"/>
        <w:gridCol w:w="120"/>
        <w:gridCol w:w="1351"/>
        <w:gridCol w:w="36"/>
        <w:gridCol w:w="36"/>
        <w:gridCol w:w="36"/>
        <w:gridCol w:w="36"/>
        <w:gridCol w:w="120"/>
        <w:gridCol w:w="1351"/>
        <w:gridCol w:w="36"/>
      </w:tblGrid>
      <w:tr w:rsidR="00000000">
        <w:trPr>
          <w:divId w:val="1092891152"/>
        </w:trPr>
        <w:tc>
          <w:tcPr>
            <w:tcW w:w="50" w:type="pct"/>
            <w:vAlign w:val="center"/>
            <w:hideMark/>
          </w:tcPr>
          <w:p w:rsidR="00000000" w:rsidRDefault="000C147A">
            <w:pPr>
              <w:ind w:firstLine="360"/>
              <w:rPr>
                <w:rFonts w:eastAsia="Times New Roman"/>
              </w:rPr>
            </w:pPr>
          </w:p>
        </w:tc>
        <w:tc>
          <w:tcPr>
            <w:tcW w:w="1169"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2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861"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092891152"/>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Approximate Dollar Value of Shares that May Yet Be Purchased Under the Plans or Programs</w:t>
            </w:r>
          </w:p>
        </w:tc>
      </w:tr>
      <w:tr w:rsidR="00000000">
        <w:trPr>
          <w:divId w:val="109289115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7/1/20 through 7/31/20</w:t>
            </w:r>
          </w:p>
        </w:tc>
        <w:tc>
          <w:tcPr>
            <w:tcW w:w="0" w:type="auto"/>
            <w:tcBorders>
              <w:top w:val="single" w:sz="8" w:space="0" w:color="000000"/>
            </w:tcBorders>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370,431,157 </w:t>
            </w:r>
          </w:p>
        </w:tc>
        <w:tc>
          <w:tcPr>
            <w:tcW w:w="0" w:type="auto"/>
            <w:tcBorders>
              <w:top w:val="single" w:sz="8" w:space="0" w:color="000000"/>
            </w:tcBorders>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9289115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8/1/20 through 8/31/20</w:t>
            </w: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3,259,806 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21.28 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3,259,806 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301,069,442 </w:t>
            </w:r>
          </w:p>
        </w:tc>
        <w:tc>
          <w:tcPr>
            <w:tcW w:w="0" w:type="auto"/>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92891152"/>
        </w:trPr>
        <w:tc>
          <w:tcPr>
            <w:tcW w:w="0" w:type="auto"/>
            <w:gridSpan w:val="3"/>
            <w:shd w:val="clear" w:color="auto" w:fill="FFFFFF"/>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9/1/20 through 9/30/20</w:t>
            </w: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1,473,143 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20.80 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1,473,143 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C147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color w:val="000000"/>
                <w:sz w:val="20"/>
                <w:szCs w:val="20"/>
              </w:rPr>
              <w:t>270,431,173 </w:t>
            </w:r>
          </w:p>
        </w:tc>
        <w:tc>
          <w:tcPr>
            <w:tcW w:w="0" w:type="auto"/>
            <w:shd w:val="clear" w:color="auto" w:fill="FFFFFF"/>
            <w:tcMar>
              <w:top w:w="30" w:type="dxa"/>
              <w:left w:w="0" w:type="dxa"/>
              <w:bottom w:w="30" w:type="dxa"/>
              <w:right w:w="20" w:type="dxa"/>
            </w:tcMar>
            <w:vAlign w:val="bottom"/>
            <w:hideMark/>
          </w:tcPr>
          <w:p w:rsidR="00000000" w:rsidRDefault="000C147A">
            <w:pPr>
              <w:jc w:val="right"/>
              <w:rPr>
                <w:rFonts w:eastAsia="Times New Roman"/>
              </w:rPr>
            </w:pPr>
          </w:p>
        </w:tc>
      </w:tr>
      <w:tr w:rsidR="00000000">
        <w:trPr>
          <w:divId w:val="1092891152"/>
        </w:trPr>
        <w:tc>
          <w:tcPr>
            <w:tcW w:w="0" w:type="auto"/>
            <w:gridSpan w:val="3"/>
            <w:shd w:val="clear" w:color="auto" w:fill="CCEEFF"/>
            <w:tcMar>
              <w:top w:w="30" w:type="dxa"/>
              <w:left w:w="20" w:type="dxa"/>
              <w:bottom w:w="30" w:type="dxa"/>
              <w:right w:w="20" w:type="dxa"/>
            </w:tcMar>
            <w:vAlign w:val="bottom"/>
            <w:hideMark/>
          </w:tcPr>
          <w:p w:rsidR="00000000" w:rsidRDefault="000C147A">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4,732,949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21.13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4,732,949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C147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C147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C147A">
            <w:pPr>
              <w:jc w:val="right"/>
              <w:rPr>
                <w:rFonts w:eastAsia="Times New Roman"/>
              </w:rPr>
            </w:pPr>
            <w:r>
              <w:rPr>
                <w:rFonts w:eastAsia="Times New Roman"/>
                <w:b/>
                <w:bCs/>
                <w:color w:val="000000"/>
                <w:sz w:val="20"/>
                <w:szCs w:val="20"/>
              </w:rPr>
              <w:t>270,431,173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C147A">
            <w:pPr>
              <w:jc w:val="right"/>
              <w:rPr>
                <w:rFonts w:eastAsia="Times New Roman"/>
              </w:rPr>
            </w:pPr>
          </w:p>
        </w:tc>
      </w:tr>
    </w:tbl>
    <w:p w:rsidR="00000000" w:rsidRDefault="000C147A">
      <w:pPr>
        <w:divId w:val="862549492"/>
        <w:rPr>
          <w:rFonts w:eastAsia="Times New Roman"/>
        </w:rPr>
      </w:pPr>
      <w:r>
        <w:rPr>
          <w:rFonts w:eastAsia="Times New Roman"/>
          <w:b/>
          <w:bCs/>
          <w:color w:val="000000"/>
          <w:sz w:val="20"/>
          <w:szCs w:val="20"/>
        </w:rPr>
        <w:t xml:space="preserve">Item 3.     Defaults Upon Senior Securities </w:t>
      </w:r>
    </w:p>
    <w:p w:rsidR="00000000" w:rsidRDefault="000C147A">
      <w:pPr>
        <w:ind w:firstLine="360"/>
        <w:divId w:val="1194609282"/>
        <w:rPr>
          <w:rFonts w:eastAsia="Times New Roman"/>
        </w:rPr>
      </w:pPr>
      <w:r>
        <w:rPr>
          <w:rFonts w:eastAsia="Times New Roman"/>
          <w:color w:val="000000"/>
          <w:sz w:val="20"/>
          <w:szCs w:val="20"/>
        </w:rPr>
        <w:t>None.</w:t>
      </w:r>
    </w:p>
    <w:p w:rsidR="00000000" w:rsidRDefault="000C147A">
      <w:pPr>
        <w:divId w:val="196936614"/>
        <w:rPr>
          <w:rFonts w:eastAsia="Times New Roman"/>
        </w:rPr>
      </w:pPr>
      <w:r>
        <w:rPr>
          <w:rFonts w:eastAsia="Times New Roman"/>
          <w:b/>
          <w:bCs/>
          <w:color w:val="000000"/>
          <w:sz w:val="20"/>
          <w:szCs w:val="20"/>
        </w:rPr>
        <w:t xml:space="preserve">Item 4.     Mine Safety Disclosures </w:t>
      </w:r>
    </w:p>
    <w:p w:rsidR="00000000" w:rsidRDefault="000C147A">
      <w:pPr>
        <w:ind w:firstLine="360"/>
        <w:divId w:val="177500485"/>
        <w:rPr>
          <w:rFonts w:eastAsia="Times New Roman"/>
        </w:rPr>
      </w:pPr>
      <w:r>
        <w:rPr>
          <w:rFonts w:eastAsia="Times New Roman"/>
          <w:color w:val="000000"/>
          <w:sz w:val="20"/>
          <w:szCs w:val="20"/>
        </w:rPr>
        <w:t>Not applicable.</w:t>
      </w:r>
    </w:p>
    <w:p w:rsidR="00000000" w:rsidRDefault="000C147A">
      <w:pPr>
        <w:divId w:val="406155270"/>
        <w:rPr>
          <w:rFonts w:eastAsia="Times New Roman"/>
        </w:rPr>
      </w:pPr>
      <w:r>
        <w:rPr>
          <w:rFonts w:eastAsia="Times New Roman"/>
          <w:b/>
          <w:bCs/>
          <w:color w:val="000000"/>
          <w:sz w:val="20"/>
          <w:szCs w:val="20"/>
        </w:rPr>
        <w:t xml:space="preserve">Item 5.      </w:t>
      </w:r>
      <w:r>
        <w:rPr>
          <w:rFonts w:eastAsia="Times New Roman"/>
          <w:b/>
          <w:bCs/>
          <w:color w:val="000000"/>
          <w:sz w:val="20"/>
          <w:szCs w:val="20"/>
        </w:rPr>
        <w:t xml:space="preserve">Other Information </w:t>
      </w:r>
    </w:p>
    <w:p w:rsidR="00000000" w:rsidRDefault="000C147A">
      <w:pPr>
        <w:ind w:firstLine="360"/>
        <w:divId w:val="956915678"/>
        <w:rPr>
          <w:rFonts w:eastAsia="Times New Roman"/>
        </w:rPr>
      </w:pPr>
      <w:r>
        <w:rPr>
          <w:rFonts w:eastAsia="Times New Roman"/>
          <w:color w:val="000000"/>
          <w:sz w:val="20"/>
          <w:szCs w:val="20"/>
        </w:rPr>
        <w:t>None.</w:t>
      </w:r>
    </w:p>
    <w:p w:rsidR="00000000" w:rsidRDefault="000C147A">
      <w:pPr>
        <w:jc w:val="center"/>
        <w:divId w:val="2135710785"/>
        <w:rPr>
          <w:rFonts w:eastAsia="Times New Roman"/>
        </w:rPr>
      </w:pPr>
      <w:r>
        <w:rPr>
          <w:rFonts w:eastAsia="Times New Roman"/>
          <w:color w:val="000000"/>
          <w:sz w:val="20"/>
          <w:szCs w:val="20"/>
        </w:rPr>
        <w:t>131</w:t>
      </w:r>
    </w:p>
    <w:p w:rsidR="00000000" w:rsidRDefault="000C147A">
      <w:pPr>
        <w:rPr>
          <w:rFonts w:eastAsia="Times New Roman"/>
        </w:rPr>
      </w:pPr>
      <w:r>
        <w:rPr>
          <w:rFonts w:eastAsia="Times New Roman"/>
        </w:rPr>
        <w:pict>
          <v:rect id="_x0000_i1157" style="width:0;height:1.5pt" o:hralign="center" o:hrstd="t" o:hr="t" fillcolor="#a0a0a0" stroked="f"/>
        </w:pict>
      </w:r>
    </w:p>
    <w:p w:rsidR="00000000" w:rsidRDefault="000C147A">
      <w:pPr>
        <w:divId w:val="412438814"/>
        <w:rPr>
          <w:rFonts w:eastAsia="Times New Roman"/>
        </w:rPr>
      </w:pPr>
    </w:p>
    <w:p w:rsidR="00000000" w:rsidRDefault="000C147A">
      <w:pPr>
        <w:divId w:val="173960270"/>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8"/>
        <w:gridCol w:w="7227"/>
        <w:gridCol w:w="37"/>
      </w:tblGrid>
      <w:tr w:rsidR="00000000">
        <w:trPr>
          <w:divId w:val="1399280112"/>
        </w:trPr>
        <w:tc>
          <w:tcPr>
            <w:tcW w:w="50" w:type="pct"/>
            <w:vAlign w:val="center"/>
            <w:hideMark/>
          </w:tcPr>
          <w:p w:rsidR="00000000" w:rsidRDefault="000C147A">
            <w:pPr>
              <w:rPr>
                <w:rFonts w:eastAsia="Times New Roman"/>
              </w:rPr>
            </w:pPr>
          </w:p>
        </w:tc>
        <w:tc>
          <w:tcPr>
            <w:tcW w:w="412"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70"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4396"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1399280112"/>
        </w:trPr>
        <w:tc>
          <w:tcPr>
            <w:tcW w:w="0" w:type="auto"/>
            <w:gridSpan w:val="3"/>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0C147A">
            <w:pPr>
              <w:jc w:val="center"/>
              <w:rPr>
                <w:rFonts w:eastAsia="Times New Roman"/>
              </w:rPr>
            </w:pPr>
            <w:r>
              <w:rPr>
                <w:rFonts w:eastAsia="Times New Roman"/>
                <w:b/>
                <w:bCs/>
                <w:color w:val="000000"/>
                <w:sz w:val="16"/>
                <w:szCs w:val="16"/>
              </w:rPr>
              <w:t>Description and Method of Filing</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hyperlink r:id="rId6"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 xml:space="preserve">Certificate of Designations with respect to the Series B Preferred Stock of the Company, filed August 7, 2020 (incorporated by reference to Exhibit </w:t>
            </w:r>
            <w:r>
              <w:rPr>
                <w:rFonts w:eastAsia="Times New Roman"/>
                <w:color w:val="000000"/>
                <w:sz w:val="20"/>
                <w:szCs w:val="20"/>
              </w:rPr>
              <w:t>3.1 to our Form 8-K filed on August 11, 2020).</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hyperlink r:id="rId7"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 xml:space="preserve">Third Amended and Restated By-laws of Equitable Holdings, Inc. (incorporated by reference to Exhibit 3.1 to our Form 8-K filed on September 23, 2020). </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divId w:val="262610699"/>
              <w:rPr>
                <w:rFonts w:eastAsia="Times New Roman"/>
              </w:rPr>
            </w:pPr>
            <w:hyperlink r:id="rId8"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 xml:space="preserve">Certification of the Registrant’s Chief Executive </w:t>
            </w:r>
            <w:r>
              <w:rPr>
                <w:rFonts w:eastAsia="Times New Roman"/>
                <w:color w:val="000000"/>
                <w:sz w:val="20"/>
                <w:szCs w:val="20"/>
              </w:rPr>
              <w:t>Officer pursuant to Section 302 of the Sarbanes-Oxley Act of 2002</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divId w:val="1937245706"/>
              <w:rPr>
                <w:rFonts w:eastAsia="Times New Roman"/>
              </w:rPr>
            </w:pPr>
            <w:hyperlink r:id="rId9"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Certification of the Registrant’s Chief Financial Officer pursuant to Section 302 of the Sarbanes-Oxley Act of 2002</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divId w:val="1248078348"/>
              <w:rPr>
                <w:rFonts w:eastAsia="Times New Roman"/>
              </w:rPr>
            </w:pPr>
            <w:hyperlink r:id="rId10"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Certification of the Registrant’s Chief Executive Officer pursuant to Section 906 of the Sarbanes-Oxley Act of 2002</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divId w:val="638923668"/>
              <w:rPr>
                <w:rFonts w:eastAsia="Times New Roman"/>
              </w:rPr>
            </w:pPr>
            <w:hyperlink r:id="rId11"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906 of the Sarbanes-Oxley Act of 2002</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Inline XBRL Taxonomy Extension Schema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Inline XBRL Taxon</w:t>
            </w:r>
            <w:r>
              <w:rPr>
                <w:rFonts w:eastAsia="Times New Roman"/>
                <w:color w:val="000000"/>
                <w:sz w:val="20"/>
                <w:szCs w:val="20"/>
              </w:rPr>
              <w:t>omy Extension Calculation Linkbase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Inline XBRL Taxonomy Extension Label Linkbase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Inline XBRL Taxonomy Extension Presentation Linkbase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Inline XBRL Taxonomy Extension Definition Linkbase Document</w:t>
            </w:r>
          </w:p>
        </w:tc>
      </w:tr>
      <w:tr w:rsidR="00000000">
        <w:trPr>
          <w:divId w:val="1399280112"/>
        </w:trPr>
        <w:tc>
          <w:tcPr>
            <w:tcW w:w="0" w:type="auto"/>
            <w:gridSpan w:val="3"/>
            <w:tcMar>
              <w:top w:w="30" w:type="dxa"/>
              <w:left w:w="20" w:type="dxa"/>
              <w:bottom w:w="30" w:type="dxa"/>
              <w:right w:w="20" w:type="dxa"/>
            </w:tcMar>
            <w:hideMark/>
          </w:tcPr>
          <w:p w:rsidR="00000000" w:rsidRDefault="000C147A">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0C147A">
            <w:pPr>
              <w:jc w:val="center"/>
              <w:rPr>
                <w:rFonts w:eastAsia="Times New Roman"/>
              </w:rPr>
            </w:pP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Cover Page Interactive Data File (formatted in Inline XBRL and contained in Exhibits 101).</w:t>
            </w:r>
          </w:p>
        </w:tc>
      </w:tr>
    </w:tbl>
    <w:p w:rsidR="00000000" w:rsidRDefault="000C147A">
      <w:pPr>
        <w:ind w:hanging="360"/>
        <w:divId w:val="250088143"/>
        <w:rPr>
          <w:rFonts w:eastAsia="Times New Roman"/>
        </w:rPr>
      </w:pPr>
      <w:r>
        <w:rPr>
          <w:rFonts w:eastAsia="Times New Roman"/>
          <w:color w:val="000000"/>
          <w:sz w:val="18"/>
          <w:szCs w:val="18"/>
        </w:rPr>
        <w:t>______________</w:t>
      </w:r>
    </w:p>
    <w:p w:rsidR="00000000" w:rsidRDefault="000C147A">
      <w:pPr>
        <w:ind w:hanging="360"/>
        <w:divId w:val="1066030566"/>
        <w:rPr>
          <w:rFonts w:eastAsia="Times New Roman"/>
        </w:rPr>
      </w:pPr>
      <w:r>
        <w:rPr>
          <w:rFonts w:eastAsia="Times New Roman"/>
          <w:color w:val="000000"/>
          <w:sz w:val="18"/>
          <w:szCs w:val="18"/>
        </w:rPr>
        <w:t>#    Filed herewith.</w:t>
      </w:r>
    </w:p>
    <w:p w:rsidR="00000000" w:rsidRDefault="000C147A">
      <w:pPr>
        <w:jc w:val="center"/>
        <w:divId w:val="163279607"/>
        <w:rPr>
          <w:rFonts w:eastAsia="Times New Roman"/>
        </w:rPr>
      </w:pPr>
      <w:r>
        <w:rPr>
          <w:rFonts w:eastAsia="Times New Roman"/>
          <w:b/>
          <w:bCs/>
          <w:color w:val="000000"/>
          <w:sz w:val="20"/>
          <w:szCs w:val="20"/>
        </w:rPr>
        <w:t>SIGNATURES</w:t>
      </w:r>
    </w:p>
    <w:p w:rsidR="00000000" w:rsidRDefault="000C147A">
      <w:pPr>
        <w:ind w:firstLine="360"/>
        <w:divId w:val="624392464"/>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640885055"/>
        </w:trPr>
        <w:tc>
          <w:tcPr>
            <w:tcW w:w="50" w:type="pct"/>
            <w:vAlign w:val="center"/>
            <w:hideMark/>
          </w:tcPr>
          <w:p w:rsidR="00000000" w:rsidRDefault="000C147A">
            <w:pPr>
              <w:ind w:firstLine="360"/>
              <w:rPr>
                <w:rFonts w:eastAsia="Times New Roman"/>
              </w:rPr>
            </w:pPr>
          </w:p>
        </w:tc>
        <w:tc>
          <w:tcPr>
            <w:tcW w:w="158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157"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78"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c>
          <w:tcPr>
            <w:tcW w:w="50" w:type="pct"/>
            <w:vAlign w:val="center"/>
            <w:hideMark/>
          </w:tcPr>
          <w:p w:rsidR="00000000" w:rsidRDefault="000C147A">
            <w:pPr>
              <w:rPr>
                <w:rFonts w:eastAsia="Times New Roman"/>
                <w:sz w:val="20"/>
                <w:szCs w:val="20"/>
              </w:rPr>
            </w:pPr>
          </w:p>
        </w:tc>
        <w:tc>
          <w:tcPr>
            <w:tcW w:w="2755" w:type="pct"/>
            <w:vAlign w:val="center"/>
            <w:hideMark/>
          </w:tcPr>
          <w:p w:rsidR="00000000" w:rsidRDefault="000C147A">
            <w:pPr>
              <w:rPr>
                <w:rFonts w:eastAsia="Times New Roman"/>
                <w:sz w:val="20"/>
                <w:szCs w:val="20"/>
              </w:rPr>
            </w:pPr>
          </w:p>
        </w:tc>
        <w:tc>
          <w:tcPr>
            <w:tcW w:w="5" w:type="pct"/>
            <w:vAlign w:val="center"/>
            <w:hideMark/>
          </w:tcPr>
          <w:p w:rsidR="00000000" w:rsidRDefault="000C147A">
            <w:pPr>
              <w:rPr>
                <w:rFonts w:eastAsia="Times New Roman"/>
                <w:sz w:val="20"/>
                <w:szCs w:val="20"/>
              </w:rPr>
            </w:pPr>
          </w:p>
        </w:tc>
      </w:tr>
      <w:tr w:rsidR="00000000">
        <w:trPr>
          <w:divId w:val="640885055"/>
        </w:trPr>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Date: November 5, 2020</w:t>
            </w:r>
          </w:p>
        </w:tc>
        <w:tc>
          <w:tcPr>
            <w:tcW w:w="0" w:type="auto"/>
            <w:gridSpan w:val="9"/>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EQUITABLE HOLDINGS, IN</w:t>
            </w:r>
            <w:r>
              <w:rPr>
                <w:rFonts w:eastAsia="Times New Roman"/>
                <w:color w:val="000000"/>
                <w:sz w:val="20"/>
                <w:szCs w:val="20"/>
              </w:rPr>
              <w:t>C.</w:t>
            </w:r>
          </w:p>
        </w:tc>
      </w:tr>
      <w:tr w:rsidR="00000000">
        <w:trPr>
          <w:divId w:val="640885055"/>
          <w:trHeight w:val="300"/>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0885055"/>
        </w:trPr>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C147A">
            <w:pPr>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0C147A">
            <w:pPr>
              <w:jc w:val="both"/>
              <w:rPr>
                <w:rFonts w:eastAsia="Times New Roman"/>
              </w:rPr>
            </w:pPr>
            <w:r>
              <w:rPr>
                <w:rFonts w:eastAsia="Times New Roman"/>
                <w:color w:val="000000"/>
                <w:sz w:val="20"/>
                <w:szCs w:val="20"/>
              </w:rPr>
              <w:t>/s/ Anders Malmström</w:t>
            </w:r>
          </w:p>
        </w:tc>
      </w:tr>
      <w:tr w:rsidR="00000000">
        <w:trPr>
          <w:divId w:val="640885055"/>
        </w:trPr>
        <w:tc>
          <w:tcPr>
            <w:tcW w:w="0" w:type="auto"/>
            <w:gridSpan w:val="3"/>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20"/>
                <w:szCs w:val="20"/>
              </w:rPr>
              <w:t>Anders Malmström</w:t>
            </w:r>
          </w:p>
        </w:tc>
      </w:tr>
      <w:tr w:rsidR="00000000">
        <w:trPr>
          <w:divId w:val="640885055"/>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0C147A">
            <w:pPr>
              <w:rPr>
                <w:rFonts w:eastAsia="Times New Roman"/>
              </w:rPr>
            </w:pPr>
            <w:r>
              <w:rPr>
                <w:rFonts w:eastAsia="Times New Roman"/>
                <w:color w:val="000000"/>
                <w:sz w:val="20"/>
                <w:szCs w:val="20"/>
              </w:rPr>
              <w:t>Senior Executive Vice President and Chief Financial Officer</w:t>
            </w:r>
            <w:r>
              <w:rPr>
                <w:rFonts w:eastAsia="Times New Roman"/>
                <w:color w:val="000000"/>
                <w:sz w:val="20"/>
                <w:szCs w:val="20"/>
              </w:rPr>
              <w:br/>
              <w:t>(Principal Financial Officer)</w:t>
            </w:r>
          </w:p>
        </w:tc>
      </w:tr>
      <w:tr w:rsidR="00000000">
        <w:trPr>
          <w:divId w:val="640885055"/>
          <w:trHeight w:val="300"/>
        </w:trPr>
        <w:tc>
          <w:tcPr>
            <w:tcW w:w="0" w:type="auto"/>
            <w:gridSpan w:val="3"/>
            <w:tcMar>
              <w:top w:w="0" w:type="dxa"/>
              <w:left w:w="20" w:type="dxa"/>
              <w:bottom w:w="0" w:type="dxa"/>
              <w:right w:w="20" w:type="dxa"/>
            </w:tcMar>
            <w:vAlign w:val="center"/>
            <w:hideMark/>
          </w:tcPr>
          <w:p w:rsidR="00000000" w:rsidRDefault="000C147A">
            <w:pPr>
              <w:rPr>
                <w:rFonts w:eastAsia="Times New Roman"/>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C147A">
            <w:pPr>
              <w:rPr>
                <w:rFonts w:eastAsia="Times New Roman"/>
                <w:sz w:val="20"/>
                <w:szCs w:val="20"/>
              </w:rPr>
            </w:pPr>
          </w:p>
        </w:tc>
      </w:tr>
      <w:tr w:rsidR="00000000">
        <w:trPr>
          <w:divId w:val="640885055"/>
        </w:trPr>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Date: November 5, 2020</w:t>
            </w: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0C147A">
            <w:pPr>
              <w:jc w:val="both"/>
              <w:rPr>
                <w:rFonts w:eastAsia="Times New Roman"/>
              </w:rPr>
            </w:pPr>
            <w:r>
              <w:rPr>
                <w:rFonts w:eastAsia="Times New Roman"/>
                <w:color w:val="000000"/>
                <w:sz w:val="20"/>
                <w:szCs w:val="20"/>
              </w:rPr>
              <w:t>/s/ William Eckert</w:t>
            </w:r>
          </w:p>
        </w:tc>
      </w:tr>
      <w:tr w:rsidR="00000000">
        <w:trPr>
          <w:divId w:val="640885055"/>
        </w:trPr>
        <w:tc>
          <w:tcPr>
            <w:tcW w:w="0" w:type="auto"/>
            <w:gridSpan w:val="3"/>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C147A">
            <w:pPr>
              <w:jc w:val="both"/>
              <w:rPr>
                <w:rFonts w:eastAsia="Times New Roman"/>
              </w:rPr>
            </w:pPr>
            <w:r>
              <w:rPr>
                <w:rFonts w:eastAsia="Times New Roman"/>
                <w:color w:val="000000"/>
                <w:sz w:val="20"/>
                <w:szCs w:val="20"/>
              </w:rPr>
              <w:t>William Eckert</w:t>
            </w:r>
          </w:p>
        </w:tc>
      </w:tr>
      <w:tr w:rsidR="00000000">
        <w:trPr>
          <w:divId w:val="640885055"/>
        </w:trPr>
        <w:tc>
          <w:tcPr>
            <w:tcW w:w="0" w:type="auto"/>
            <w:gridSpan w:val="3"/>
            <w:tcMar>
              <w:top w:w="0" w:type="dxa"/>
              <w:left w:w="20" w:type="dxa"/>
              <w:bottom w:w="0" w:type="dxa"/>
              <w:right w:w="20" w:type="dxa"/>
            </w:tcMar>
            <w:vAlign w:val="center"/>
            <w:hideMark/>
          </w:tcPr>
          <w:p w:rsidR="00000000" w:rsidRDefault="000C147A">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C147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0C147A">
            <w:pPr>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0C147A">
            <w:pPr>
              <w:jc w:val="both"/>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r>
    </w:tbl>
    <w:p w:rsidR="00000000" w:rsidRDefault="000C147A">
      <w:pPr>
        <w:divId w:val="30496093"/>
        <w:rPr>
          <w:rFonts w:eastAsia="Times New Roman"/>
        </w:rPr>
      </w:pPr>
    </w:p>
    <w:p w:rsidR="00000000" w:rsidRDefault="000C147A">
      <w:pPr>
        <w:jc w:val="center"/>
        <w:divId w:val="1786650939"/>
        <w:rPr>
          <w:rFonts w:eastAsia="Times New Roman"/>
        </w:rPr>
      </w:pPr>
      <w:r>
        <w:rPr>
          <w:rFonts w:eastAsia="Times New Roman"/>
          <w:color w:val="000000"/>
          <w:sz w:val="20"/>
          <w:szCs w:val="20"/>
        </w:rPr>
        <w:t>132</w:t>
      </w: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00000" w:rsidRDefault="000C147A">
      <w:pPr>
        <w:jc w:val="center"/>
        <w:divId w:val="1786650939"/>
        <w:rPr>
          <w:rFonts w:eastAsia="Times New Roman"/>
        </w:rPr>
      </w:pPr>
    </w:p>
    <w:p w:rsidR="000C147A" w:rsidRDefault="000C147A">
      <w:pPr>
        <w:jc w:val="center"/>
        <w:divId w:val="1786650939"/>
        <w:rPr>
          <w:rFonts w:eastAsia="Times New Roman"/>
        </w:rPr>
      </w:pPr>
    </w:p>
    <w:sectPr w:rsidR="000C147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147A"/>
    <w:rsid w:val="000C147A"/>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www.xbrl.org/2003/linkbase"/>
  <w:attachedSchema w:val="http://www.xbrl.org/2003/iso4217"/>
  <w:attachedSchema w:val="http://www.sec.gov/inlineXBRL/transformation/2015-08-31"/>
  <w:attachedSchema w:val="http://www.xbrl.org/2003/instance"/>
  <w:attachedSchema w:val="http://www.w3.org/1999/xlink"/>
  <w:attachedSchema w:val="http://fasb.org/srt/2020-01-31"/>
  <w:attachedSchema w:val="http://www.xbrl.org/inlineXBRL/transformation/2015-02-26"/>
  <w:attachedSchema w:val="http://xbrl.sec.gov/dei/2019-01-31"/>
  <w:attachedSchema w:val="http://xbrl.org/2006/xbrldi"/>
  <w:attachedSchema w:val="http://fasb.org/us-gaap/2020-01-31"/>
  <w:attachedSchema w:val="http://www.xbrl.org/2013/inlineXBRL"/>
  <w:attachedSchema w:val="http://www.equitable.com/20200930"/>
  <w:attachedSchema w:val="http://xbrl.sec.gov/exch/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838">
      <w:marLeft w:val="0"/>
      <w:marRight w:val="0"/>
      <w:marTop w:val="0"/>
      <w:marBottom w:val="180"/>
      <w:divBdr>
        <w:top w:val="none" w:sz="0" w:space="0" w:color="auto"/>
        <w:left w:val="none" w:sz="0" w:space="0" w:color="auto"/>
        <w:bottom w:val="none" w:sz="0" w:space="0" w:color="auto"/>
        <w:right w:val="none" w:sz="0" w:space="0" w:color="auto"/>
      </w:divBdr>
    </w:div>
    <w:div w:id="1400350">
      <w:marLeft w:val="0"/>
      <w:marRight w:val="0"/>
      <w:marTop w:val="120"/>
      <w:marBottom w:val="120"/>
      <w:divBdr>
        <w:top w:val="none" w:sz="0" w:space="0" w:color="auto"/>
        <w:left w:val="none" w:sz="0" w:space="0" w:color="auto"/>
        <w:bottom w:val="none" w:sz="0" w:space="0" w:color="auto"/>
        <w:right w:val="none" w:sz="0" w:space="0" w:color="auto"/>
      </w:divBdr>
    </w:div>
    <w:div w:id="3439982">
      <w:marLeft w:val="0"/>
      <w:marRight w:val="0"/>
      <w:marTop w:val="0"/>
      <w:marBottom w:val="180"/>
      <w:divBdr>
        <w:top w:val="none" w:sz="0" w:space="0" w:color="auto"/>
        <w:left w:val="none" w:sz="0" w:space="0" w:color="auto"/>
        <w:bottom w:val="none" w:sz="0" w:space="0" w:color="auto"/>
        <w:right w:val="none" w:sz="0" w:space="0" w:color="auto"/>
      </w:divBdr>
    </w:div>
    <w:div w:id="4595810">
      <w:marLeft w:val="0"/>
      <w:marRight w:val="0"/>
      <w:marTop w:val="120"/>
      <w:marBottom w:val="120"/>
      <w:divBdr>
        <w:top w:val="none" w:sz="0" w:space="0" w:color="auto"/>
        <w:left w:val="none" w:sz="0" w:space="0" w:color="auto"/>
        <w:bottom w:val="none" w:sz="0" w:space="0" w:color="auto"/>
        <w:right w:val="none" w:sz="0" w:space="0" w:color="auto"/>
      </w:divBdr>
    </w:div>
    <w:div w:id="6685265">
      <w:marLeft w:val="0"/>
      <w:marRight w:val="0"/>
      <w:marTop w:val="0"/>
      <w:marBottom w:val="240"/>
      <w:divBdr>
        <w:top w:val="none" w:sz="0" w:space="0" w:color="auto"/>
        <w:left w:val="none" w:sz="0" w:space="0" w:color="auto"/>
        <w:bottom w:val="none" w:sz="0" w:space="0" w:color="auto"/>
        <w:right w:val="none" w:sz="0" w:space="0" w:color="auto"/>
      </w:divBdr>
    </w:div>
    <w:div w:id="6910200">
      <w:marLeft w:val="0"/>
      <w:marRight w:val="0"/>
      <w:marTop w:val="180"/>
      <w:marBottom w:val="180"/>
      <w:divBdr>
        <w:top w:val="none" w:sz="0" w:space="0" w:color="auto"/>
        <w:left w:val="none" w:sz="0" w:space="0" w:color="auto"/>
        <w:bottom w:val="none" w:sz="0" w:space="0" w:color="auto"/>
        <w:right w:val="none" w:sz="0" w:space="0" w:color="auto"/>
      </w:divBdr>
    </w:div>
    <w:div w:id="7681054">
      <w:marLeft w:val="0"/>
      <w:marRight w:val="0"/>
      <w:marTop w:val="0"/>
      <w:marBottom w:val="240"/>
      <w:divBdr>
        <w:top w:val="none" w:sz="0" w:space="0" w:color="auto"/>
        <w:left w:val="none" w:sz="0" w:space="0" w:color="auto"/>
        <w:bottom w:val="none" w:sz="0" w:space="0" w:color="auto"/>
        <w:right w:val="none" w:sz="0" w:space="0" w:color="auto"/>
      </w:divBdr>
    </w:div>
    <w:div w:id="8072275">
      <w:marLeft w:val="0"/>
      <w:marRight w:val="0"/>
      <w:marTop w:val="0"/>
      <w:marBottom w:val="0"/>
      <w:divBdr>
        <w:top w:val="none" w:sz="0" w:space="0" w:color="auto"/>
        <w:left w:val="none" w:sz="0" w:space="0" w:color="auto"/>
        <w:bottom w:val="none" w:sz="0" w:space="0" w:color="auto"/>
        <w:right w:val="none" w:sz="0" w:space="0" w:color="auto"/>
      </w:divBdr>
    </w:div>
    <w:div w:id="8341853">
      <w:marLeft w:val="0"/>
      <w:marRight w:val="0"/>
      <w:marTop w:val="0"/>
      <w:marBottom w:val="240"/>
      <w:divBdr>
        <w:top w:val="none" w:sz="0" w:space="0" w:color="auto"/>
        <w:left w:val="none" w:sz="0" w:space="0" w:color="auto"/>
        <w:bottom w:val="none" w:sz="0" w:space="0" w:color="auto"/>
        <w:right w:val="none" w:sz="0" w:space="0" w:color="auto"/>
      </w:divBdr>
    </w:div>
    <w:div w:id="8484940">
      <w:marLeft w:val="0"/>
      <w:marRight w:val="0"/>
      <w:marTop w:val="0"/>
      <w:marBottom w:val="0"/>
      <w:divBdr>
        <w:top w:val="none" w:sz="0" w:space="0" w:color="auto"/>
        <w:left w:val="none" w:sz="0" w:space="0" w:color="auto"/>
        <w:bottom w:val="none" w:sz="0" w:space="0" w:color="auto"/>
        <w:right w:val="none" w:sz="0" w:space="0" w:color="auto"/>
      </w:divBdr>
    </w:div>
    <w:div w:id="10574891">
      <w:marLeft w:val="0"/>
      <w:marRight w:val="0"/>
      <w:marTop w:val="0"/>
      <w:marBottom w:val="0"/>
      <w:divBdr>
        <w:top w:val="none" w:sz="0" w:space="0" w:color="auto"/>
        <w:left w:val="none" w:sz="0" w:space="0" w:color="auto"/>
        <w:bottom w:val="none" w:sz="0" w:space="0" w:color="auto"/>
        <w:right w:val="none" w:sz="0" w:space="0" w:color="auto"/>
      </w:divBdr>
      <w:divsChild>
        <w:div w:id="1320768164">
          <w:marLeft w:val="0"/>
          <w:marRight w:val="0"/>
          <w:marTop w:val="0"/>
          <w:marBottom w:val="180"/>
          <w:divBdr>
            <w:top w:val="none" w:sz="0" w:space="0" w:color="auto"/>
            <w:left w:val="none" w:sz="0" w:space="0" w:color="auto"/>
            <w:bottom w:val="none" w:sz="0" w:space="0" w:color="auto"/>
            <w:right w:val="none" w:sz="0" w:space="0" w:color="auto"/>
          </w:divBdr>
        </w:div>
      </w:divsChild>
    </w:div>
    <w:div w:id="10691563">
      <w:marLeft w:val="0"/>
      <w:marRight w:val="0"/>
      <w:marTop w:val="120"/>
      <w:marBottom w:val="120"/>
      <w:divBdr>
        <w:top w:val="none" w:sz="0" w:space="0" w:color="auto"/>
        <w:left w:val="none" w:sz="0" w:space="0" w:color="auto"/>
        <w:bottom w:val="none" w:sz="0" w:space="0" w:color="auto"/>
        <w:right w:val="none" w:sz="0" w:space="0" w:color="auto"/>
      </w:divBdr>
    </w:div>
    <w:div w:id="13654503">
      <w:marLeft w:val="0"/>
      <w:marRight w:val="0"/>
      <w:marTop w:val="0"/>
      <w:marBottom w:val="180"/>
      <w:divBdr>
        <w:top w:val="none" w:sz="0" w:space="0" w:color="auto"/>
        <w:left w:val="none" w:sz="0" w:space="0" w:color="auto"/>
        <w:bottom w:val="none" w:sz="0" w:space="0" w:color="auto"/>
        <w:right w:val="none" w:sz="0" w:space="0" w:color="auto"/>
      </w:divBdr>
    </w:div>
    <w:div w:id="14426469">
      <w:marLeft w:val="0"/>
      <w:marRight w:val="0"/>
      <w:marTop w:val="180"/>
      <w:marBottom w:val="180"/>
      <w:divBdr>
        <w:top w:val="none" w:sz="0" w:space="0" w:color="auto"/>
        <w:left w:val="none" w:sz="0" w:space="0" w:color="auto"/>
        <w:bottom w:val="none" w:sz="0" w:space="0" w:color="auto"/>
        <w:right w:val="none" w:sz="0" w:space="0" w:color="auto"/>
      </w:divBdr>
    </w:div>
    <w:div w:id="17586407">
      <w:marLeft w:val="0"/>
      <w:marRight w:val="0"/>
      <w:marTop w:val="0"/>
      <w:marBottom w:val="60"/>
      <w:divBdr>
        <w:top w:val="none" w:sz="0" w:space="0" w:color="auto"/>
        <w:left w:val="none" w:sz="0" w:space="0" w:color="auto"/>
        <w:bottom w:val="none" w:sz="0" w:space="0" w:color="auto"/>
        <w:right w:val="none" w:sz="0" w:space="0" w:color="auto"/>
      </w:divBdr>
    </w:div>
    <w:div w:id="24261320">
      <w:marLeft w:val="0"/>
      <w:marRight w:val="0"/>
      <w:marTop w:val="0"/>
      <w:marBottom w:val="0"/>
      <w:divBdr>
        <w:top w:val="none" w:sz="0" w:space="0" w:color="auto"/>
        <w:left w:val="none" w:sz="0" w:space="0" w:color="auto"/>
        <w:bottom w:val="none" w:sz="0" w:space="0" w:color="auto"/>
        <w:right w:val="none" w:sz="0" w:space="0" w:color="auto"/>
      </w:divBdr>
    </w:div>
    <w:div w:id="24644791">
      <w:marLeft w:val="0"/>
      <w:marRight w:val="0"/>
      <w:marTop w:val="120"/>
      <w:marBottom w:val="120"/>
      <w:divBdr>
        <w:top w:val="none" w:sz="0" w:space="0" w:color="auto"/>
        <w:left w:val="none" w:sz="0" w:space="0" w:color="auto"/>
        <w:bottom w:val="none" w:sz="0" w:space="0" w:color="auto"/>
        <w:right w:val="none" w:sz="0" w:space="0" w:color="auto"/>
      </w:divBdr>
    </w:div>
    <w:div w:id="25251494">
      <w:marLeft w:val="0"/>
      <w:marRight w:val="0"/>
      <w:marTop w:val="100"/>
      <w:marBottom w:val="220"/>
      <w:divBdr>
        <w:top w:val="none" w:sz="0" w:space="0" w:color="auto"/>
        <w:left w:val="none" w:sz="0" w:space="0" w:color="auto"/>
        <w:bottom w:val="none" w:sz="0" w:space="0" w:color="auto"/>
        <w:right w:val="none" w:sz="0" w:space="0" w:color="auto"/>
      </w:divBdr>
    </w:div>
    <w:div w:id="25562970">
      <w:marLeft w:val="0"/>
      <w:marRight w:val="0"/>
      <w:marTop w:val="0"/>
      <w:marBottom w:val="0"/>
      <w:divBdr>
        <w:top w:val="none" w:sz="0" w:space="0" w:color="auto"/>
        <w:left w:val="none" w:sz="0" w:space="0" w:color="auto"/>
        <w:bottom w:val="none" w:sz="0" w:space="0" w:color="auto"/>
        <w:right w:val="none" w:sz="0" w:space="0" w:color="auto"/>
      </w:divBdr>
    </w:div>
    <w:div w:id="25568285">
      <w:marLeft w:val="0"/>
      <w:marRight w:val="0"/>
      <w:marTop w:val="0"/>
      <w:marBottom w:val="0"/>
      <w:divBdr>
        <w:top w:val="none" w:sz="0" w:space="0" w:color="auto"/>
        <w:left w:val="none" w:sz="0" w:space="0" w:color="auto"/>
        <w:bottom w:val="none" w:sz="0" w:space="0" w:color="auto"/>
        <w:right w:val="none" w:sz="0" w:space="0" w:color="auto"/>
      </w:divBdr>
      <w:divsChild>
        <w:div w:id="696588149">
          <w:marLeft w:val="0"/>
          <w:marRight w:val="0"/>
          <w:marTop w:val="0"/>
          <w:marBottom w:val="0"/>
          <w:divBdr>
            <w:top w:val="none" w:sz="0" w:space="0" w:color="auto"/>
            <w:left w:val="none" w:sz="0" w:space="0" w:color="auto"/>
            <w:bottom w:val="none" w:sz="0" w:space="0" w:color="auto"/>
            <w:right w:val="none" w:sz="0" w:space="0" w:color="auto"/>
          </w:divBdr>
        </w:div>
      </w:divsChild>
    </w:div>
    <w:div w:id="25640953">
      <w:marLeft w:val="0"/>
      <w:marRight w:val="0"/>
      <w:marTop w:val="0"/>
      <w:marBottom w:val="0"/>
      <w:divBdr>
        <w:top w:val="none" w:sz="0" w:space="0" w:color="auto"/>
        <w:left w:val="none" w:sz="0" w:space="0" w:color="auto"/>
        <w:bottom w:val="none" w:sz="0" w:space="0" w:color="auto"/>
        <w:right w:val="none" w:sz="0" w:space="0" w:color="auto"/>
      </w:divBdr>
    </w:div>
    <w:div w:id="27491218">
      <w:marLeft w:val="0"/>
      <w:marRight w:val="0"/>
      <w:marTop w:val="0"/>
      <w:marBottom w:val="0"/>
      <w:divBdr>
        <w:top w:val="none" w:sz="0" w:space="0" w:color="auto"/>
        <w:left w:val="none" w:sz="0" w:space="0" w:color="auto"/>
        <w:bottom w:val="none" w:sz="0" w:space="0" w:color="auto"/>
        <w:right w:val="none" w:sz="0" w:space="0" w:color="auto"/>
      </w:divBdr>
      <w:divsChild>
        <w:div w:id="57409696">
          <w:marLeft w:val="0"/>
          <w:marRight w:val="0"/>
          <w:marTop w:val="0"/>
          <w:marBottom w:val="0"/>
          <w:divBdr>
            <w:top w:val="none" w:sz="0" w:space="0" w:color="auto"/>
            <w:left w:val="none" w:sz="0" w:space="0" w:color="auto"/>
            <w:bottom w:val="none" w:sz="0" w:space="0" w:color="auto"/>
            <w:right w:val="none" w:sz="0" w:space="0" w:color="auto"/>
          </w:divBdr>
        </w:div>
      </w:divsChild>
    </w:div>
    <w:div w:id="27680938">
      <w:marLeft w:val="0"/>
      <w:marRight w:val="0"/>
      <w:marTop w:val="100"/>
      <w:marBottom w:val="100"/>
      <w:divBdr>
        <w:top w:val="none" w:sz="0" w:space="0" w:color="auto"/>
        <w:left w:val="none" w:sz="0" w:space="0" w:color="auto"/>
        <w:bottom w:val="none" w:sz="0" w:space="0" w:color="auto"/>
        <w:right w:val="none" w:sz="0" w:space="0" w:color="auto"/>
      </w:divBdr>
    </w:div>
    <w:div w:id="29230348">
      <w:marLeft w:val="0"/>
      <w:marRight w:val="0"/>
      <w:marTop w:val="180"/>
      <w:marBottom w:val="180"/>
      <w:divBdr>
        <w:top w:val="none" w:sz="0" w:space="0" w:color="auto"/>
        <w:left w:val="none" w:sz="0" w:space="0" w:color="auto"/>
        <w:bottom w:val="none" w:sz="0" w:space="0" w:color="auto"/>
        <w:right w:val="none" w:sz="0" w:space="0" w:color="auto"/>
      </w:divBdr>
    </w:div>
    <w:div w:id="29770169">
      <w:marLeft w:val="0"/>
      <w:marRight w:val="0"/>
      <w:marTop w:val="0"/>
      <w:marBottom w:val="0"/>
      <w:divBdr>
        <w:top w:val="none" w:sz="0" w:space="0" w:color="auto"/>
        <w:left w:val="none" w:sz="0" w:space="0" w:color="auto"/>
        <w:bottom w:val="none" w:sz="0" w:space="0" w:color="auto"/>
        <w:right w:val="none" w:sz="0" w:space="0" w:color="auto"/>
      </w:divBdr>
    </w:div>
    <w:div w:id="30496093">
      <w:marLeft w:val="0"/>
      <w:marRight w:val="0"/>
      <w:marTop w:val="0"/>
      <w:marBottom w:val="0"/>
      <w:divBdr>
        <w:top w:val="none" w:sz="0" w:space="0" w:color="auto"/>
        <w:left w:val="none" w:sz="0" w:space="0" w:color="auto"/>
        <w:bottom w:val="none" w:sz="0" w:space="0" w:color="auto"/>
        <w:right w:val="none" w:sz="0" w:space="0" w:color="auto"/>
      </w:divBdr>
    </w:div>
    <w:div w:id="33435354">
      <w:marLeft w:val="0"/>
      <w:marRight w:val="0"/>
      <w:marTop w:val="0"/>
      <w:marBottom w:val="240"/>
      <w:divBdr>
        <w:top w:val="none" w:sz="0" w:space="0" w:color="auto"/>
        <w:left w:val="none" w:sz="0" w:space="0" w:color="auto"/>
        <w:bottom w:val="none" w:sz="0" w:space="0" w:color="auto"/>
        <w:right w:val="none" w:sz="0" w:space="0" w:color="auto"/>
      </w:divBdr>
    </w:div>
    <w:div w:id="34354151">
      <w:marLeft w:val="0"/>
      <w:marRight w:val="0"/>
      <w:marTop w:val="0"/>
      <w:marBottom w:val="0"/>
      <w:divBdr>
        <w:top w:val="none" w:sz="0" w:space="0" w:color="auto"/>
        <w:left w:val="none" w:sz="0" w:space="0" w:color="auto"/>
        <w:bottom w:val="none" w:sz="0" w:space="0" w:color="auto"/>
        <w:right w:val="none" w:sz="0" w:space="0" w:color="auto"/>
      </w:divBdr>
    </w:div>
    <w:div w:id="35204608">
      <w:marLeft w:val="0"/>
      <w:marRight w:val="0"/>
      <w:marTop w:val="0"/>
      <w:marBottom w:val="240"/>
      <w:divBdr>
        <w:top w:val="none" w:sz="0" w:space="0" w:color="auto"/>
        <w:left w:val="none" w:sz="0" w:space="0" w:color="auto"/>
        <w:bottom w:val="none" w:sz="0" w:space="0" w:color="auto"/>
        <w:right w:val="none" w:sz="0" w:space="0" w:color="auto"/>
      </w:divBdr>
    </w:div>
    <w:div w:id="35744747">
      <w:marLeft w:val="0"/>
      <w:marRight w:val="0"/>
      <w:marTop w:val="0"/>
      <w:marBottom w:val="0"/>
      <w:divBdr>
        <w:top w:val="none" w:sz="0" w:space="0" w:color="auto"/>
        <w:left w:val="none" w:sz="0" w:space="0" w:color="auto"/>
        <w:bottom w:val="none" w:sz="0" w:space="0" w:color="auto"/>
        <w:right w:val="none" w:sz="0" w:space="0" w:color="auto"/>
      </w:divBdr>
      <w:divsChild>
        <w:div w:id="2131238410">
          <w:marLeft w:val="0"/>
          <w:marRight w:val="0"/>
          <w:marTop w:val="0"/>
          <w:marBottom w:val="0"/>
          <w:divBdr>
            <w:top w:val="none" w:sz="0" w:space="0" w:color="auto"/>
            <w:left w:val="none" w:sz="0" w:space="0" w:color="auto"/>
            <w:bottom w:val="none" w:sz="0" w:space="0" w:color="auto"/>
            <w:right w:val="none" w:sz="0" w:space="0" w:color="auto"/>
          </w:divBdr>
        </w:div>
      </w:divsChild>
    </w:div>
    <w:div w:id="35853825">
      <w:marLeft w:val="0"/>
      <w:marRight w:val="0"/>
      <w:marTop w:val="120"/>
      <w:marBottom w:val="120"/>
      <w:divBdr>
        <w:top w:val="none" w:sz="0" w:space="0" w:color="auto"/>
        <w:left w:val="none" w:sz="0" w:space="0" w:color="auto"/>
        <w:bottom w:val="none" w:sz="0" w:space="0" w:color="auto"/>
        <w:right w:val="none" w:sz="0" w:space="0" w:color="auto"/>
      </w:divBdr>
    </w:div>
    <w:div w:id="36318958">
      <w:marLeft w:val="0"/>
      <w:marRight w:val="0"/>
      <w:marTop w:val="0"/>
      <w:marBottom w:val="0"/>
      <w:divBdr>
        <w:top w:val="none" w:sz="0" w:space="0" w:color="auto"/>
        <w:left w:val="none" w:sz="0" w:space="0" w:color="auto"/>
        <w:bottom w:val="none" w:sz="0" w:space="0" w:color="auto"/>
        <w:right w:val="none" w:sz="0" w:space="0" w:color="auto"/>
      </w:divBdr>
    </w:div>
    <w:div w:id="37097684">
      <w:marLeft w:val="0"/>
      <w:marRight w:val="0"/>
      <w:marTop w:val="0"/>
      <w:marBottom w:val="180"/>
      <w:divBdr>
        <w:top w:val="none" w:sz="0" w:space="0" w:color="auto"/>
        <w:left w:val="none" w:sz="0" w:space="0" w:color="auto"/>
        <w:bottom w:val="none" w:sz="0" w:space="0" w:color="auto"/>
        <w:right w:val="none" w:sz="0" w:space="0" w:color="auto"/>
      </w:divBdr>
    </w:div>
    <w:div w:id="39521358">
      <w:marLeft w:val="0"/>
      <w:marRight w:val="0"/>
      <w:marTop w:val="0"/>
      <w:marBottom w:val="0"/>
      <w:divBdr>
        <w:top w:val="none" w:sz="0" w:space="0" w:color="auto"/>
        <w:left w:val="none" w:sz="0" w:space="0" w:color="auto"/>
        <w:bottom w:val="none" w:sz="0" w:space="0" w:color="auto"/>
        <w:right w:val="none" w:sz="0" w:space="0" w:color="auto"/>
      </w:divBdr>
    </w:div>
    <w:div w:id="39591991">
      <w:marLeft w:val="0"/>
      <w:marRight w:val="0"/>
      <w:marTop w:val="0"/>
      <w:marBottom w:val="240"/>
      <w:divBdr>
        <w:top w:val="none" w:sz="0" w:space="0" w:color="auto"/>
        <w:left w:val="none" w:sz="0" w:space="0" w:color="auto"/>
        <w:bottom w:val="none" w:sz="0" w:space="0" w:color="auto"/>
        <w:right w:val="none" w:sz="0" w:space="0" w:color="auto"/>
      </w:divBdr>
    </w:div>
    <w:div w:id="40597752">
      <w:marLeft w:val="0"/>
      <w:marRight w:val="0"/>
      <w:marTop w:val="0"/>
      <w:marBottom w:val="0"/>
      <w:divBdr>
        <w:top w:val="none" w:sz="0" w:space="0" w:color="auto"/>
        <w:left w:val="none" w:sz="0" w:space="0" w:color="auto"/>
        <w:bottom w:val="none" w:sz="0" w:space="0" w:color="auto"/>
        <w:right w:val="none" w:sz="0" w:space="0" w:color="auto"/>
      </w:divBdr>
    </w:div>
    <w:div w:id="46030902">
      <w:marLeft w:val="0"/>
      <w:marRight w:val="0"/>
      <w:marTop w:val="0"/>
      <w:marBottom w:val="240"/>
      <w:divBdr>
        <w:top w:val="none" w:sz="0" w:space="0" w:color="auto"/>
        <w:left w:val="none" w:sz="0" w:space="0" w:color="auto"/>
        <w:bottom w:val="none" w:sz="0" w:space="0" w:color="auto"/>
        <w:right w:val="none" w:sz="0" w:space="0" w:color="auto"/>
      </w:divBdr>
    </w:div>
    <w:div w:id="51004896">
      <w:marLeft w:val="0"/>
      <w:marRight w:val="0"/>
      <w:marTop w:val="0"/>
      <w:marBottom w:val="0"/>
      <w:divBdr>
        <w:top w:val="none" w:sz="0" w:space="0" w:color="auto"/>
        <w:left w:val="none" w:sz="0" w:space="0" w:color="auto"/>
        <w:bottom w:val="none" w:sz="0" w:space="0" w:color="auto"/>
        <w:right w:val="none" w:sz="0" w:space="0" w:color="auto"/>
      </w:divBdr>
    </w:div>
    <w:div w:id="56709865">
      <w:marLeft w:val="0"/>
      <w:marRight w:val="0"/>
      <w:marTop w:val="0"/>
      <w:marBottom w:val="0"/>
      <w:divBdr>
        <w:top w:val="none" w:sz="0" w:space="0" w:color="auto"/>
        <w:left w:val="none" w:sz="0" w:space="0" w:color="auto"/>
        <w:bottom w:val="none" w:sz="0" w:space="0" w:color="auto"/>
        <w:right w:val="none" w:sz="0" w:space="0" w:color="auto"/>
      </w:divBdr>
    </w:div>
    <w:div w:id="57823145">
      <w:marLeft w:val="0"/>
      <w:marRight w:val="0"/>
      <w:marTop w:val="0"/>
      <w:marBottom w:val="0"/>
      <w:divBdr>
        <w:top w:val="none" w:sz="0" w:space="0" w:color="auto"/>
        <w:left w:val="none" w:sz="0" w:space="0" w:color="auto"/>
        <w:bottom w:val="none" w:sz="0" w:space="0" w:color="auto"/>
        <w:right w:val="none" w:sz="0" w:space="0" w:color="auto"/>
      </w:divBdr>
      <w:divsChild>
        <w:div w:id="1010182073">
          <w:marLeft w:val="0"/>
          <w:marRight w:val="0"/>
          <w:marTop w:val="0"/>
          <w:marBottom w:val="0"/>
          <w:divBdr>
            <w:top w:val="none" w:sz="0" w:space="0" w:color="auto"/>
            <w:left w:val="none" w:sz="0" w:space="0" w:color="auto"/>
            <w:bottom w:val="none" w:sz="0" w:space="0" w:color="auto"/>
            <w:right w:val="none" w:sz="0" w:space="0" w:color="auto"/>
          </w:divBdr>
        </w:div>
      </w:divsChild>
    </w:div>
    <w:div w:id="58358859">
      <w:marLeft w:val="0"/>
      <w:marRight w:val="0"/>
      <w:marTop w:val="120"/>
      <w:marBottom w:val="120"/>
      <w:divBdr>
        <w:top w:val="none" w:sz="0" w:space="0" w:color="auto"/>
        <w:left w:val="none" w:sz="0" w:space="0" w:color="auto"/>
        <w:bottom w:val="none" w:sz="0" w:space="0" w:color="auto"/>
        <w:right w:val="none" w:sz="0" w:space="0" w:color="auto"/>
      </w:divBdr>
    </w:div>
    <w:div w:id="59790096">
      <w:marLeft w:val="0"/>
      <w:marRight w:val="0"/>
      <w:marTop w:val="0"/>
      <w:marBottom w:val="0"/>
      <w:divBdr>
        <w:top w:val="none" w:sz="0" w:space="0" w:color="auto"/>
        <w:left w:val="none" w:sz="0" w:space="0" w:color="auto"/>
        <w:bottom w:val="none" w:sz="0" w:space="0" w:color="auto"/>
        <w:right w:val="none" w:sz="0" w:space="0" w:color="auto"/>
      </w:divBdr>
    </w:div>
    <w:div w:id="60100745">
      <w:marLeft w:val="0"/>
      <w:marRight w:val="0"/>
      <w:marTop w:val="0"/>
      <w:marBottom w:val="0"/>
      <w:divBdr>
        <w:top w:val="none" w:sz="0" w:space="0" w:color="auto"/>
        <w:left w:val="none" w:sz="0" w:space="0" w:color="auto"/>
        <w:bottom w:val="none" w:sz="0" w:space="0" w:color="auto"/>
        <w:right w:val="none" w:sz="0" w:space="0" w:color="auto"/>
      </w:divBdr>
    </w:div>
    <w:div w:id="61414289">
      <w:marLeft w:val="0"/>
      <w:marRight w:val="0"/>
      <w:marTop w:val="0"/>
      <w:marBottom w:val="180"/>
      <w:divBdr>
        <w:top w:val="none" w:sz="0" w:space="0" w:color="auto"/>
        <w:left w:val="none" w:sz="0" w:space="0" w:color="auto"/>
        <w:bottom w:val="none" w:sz="0" w:space="0" w:color="auto"/>
        <w:right w:val="none" w:sz="0" w:space="0" w:color="auto"/>
      </w:divBdr>
    </w:div>
    <w:div w:id="65492476">
      <w:marLeft w:val="0"/>
      <w:marRight w:val="0"/>
      <w:marTop w:val="0"/>
      <w:marBottom w:val="240"/>
      <w:divBdr>
        <w:top w:val="none" w:sz="0" w:space="0" w:color="auto"/>
        <w:left w:val="none" w:sz="0" w:space="0" w:color="auto"/>
        <w:bottom w:val="none" w:sz="0" w:space="0" w:color="auto"/>
        <w:right w:val="none" w:sz="0" w:space="0" w:color="auto"/>
      </w:divBdr>
    </w:div>
    <w:div w:id="65803232">
      <w:marLeft w:val="0"/>
      <w:marRight w:val="0"/>
      <w:marTop w:val="120"/>
      <w:marBottom w:val="180"/>
      <w:divBdr>
        <w:top w:val="none" w:sz="0" w:space="0" w:color="auto"/>
        <w:left w:val="none" w:sz="0" w:space="0" w:color="auto"/>
        <w:bottom w:val="none" w:sz="0" w:space="0" w:color="auto"/>
        <w:right w:val="none" w:sz="0" w:space="0" w:color="auto"/>
      </w:divBdr>
    </w:div>
    <w:div w:id="66420126">
      <w:marLeft w:val="0"/>
      <w:marRight w:val="0"/>
      <w:marTop w:val="0"/>
      <w:marBottom w:val="240"/>
      <w:divBdr>
        <w:top w:val="none" w:sz="0" w:space="0" w:color="auto"/>
        <w:left w:val="none" w:sz="0" w:space="0" w:color="auto"/>
        <w:bottom w:val="none" w:sz="0" w:space="0" w:color="auto"/>
        <w:right w:val="none" w:sz="0" w:space="0" w:color="auto"/>
      </w:divBdr>
    </w:div>
    <w:div w:id="68113194">
      <w:marLeft w:val="0"/>
      <w:marRight w:val="0"/>
      <w:marTop w:val="0"/>
      <w:marBottom w:val="240"/>
      <w:divBdr>
        <w:top w:val="none" w:sz="0" w:space="0" w:color="auto"/>
        <w:left w:val="none" w:sz="0" w:space="0" w:color="auto"/>
        <w:bottom w:val="none" w:sz="0" w:space="0" w:color="auto"/>
        <w:right w:val="none" w:sz="0" w:space="0" w:color="auto"/>
      </w:divBdr>
    </w:div>
    <w:div w:id="68578877">
      <w:marLeft w:val="0"/>
      <w:marRight w:val="0"/>
      <w:marTop w:val="0"/>
      <w:marBottom w:val="0"/>
      <w:divBdr>
        <w:top w:val="none" w:sz="0" w:space="0" w:color="auto"/>
        <w:left w:val="none" w:sz="0" w:space="0" w:color="auto"/>
        <w:bottom w:val="none" w:sz="0" w:space="0" w:color="auto"/>
        <w:right w:val="none" w:sz="0" w:space="0" w:color="auto"/>
      </w:divBdr>
    </w:div>
    <w:div w:id="68815989">
      <w:marLeft w:val="0"/>
      <w:marRight w:val="0"/>
      <w:marTop w:val="0"/>
      <w:marBottom w:val="0"/>
      <w:divBdr>
        <w:top w:val="none" w:sz="0" w:space="0" w:color="auto"/>
        <w:left w:val="none" w:sz="0" w:space="0" w:color="auto"/>
        <w:bottom w:val="none" w:sz="0" w:space="0" w:color="auto"/>
        <w:right w:val="none" w:sz="0" w:space="0" w:color="auto"/>
      </w:divBdr>
      <w:divsChild>
        <w:div w:id="681471881">
          <w:marLeft w:val="0"/>
          <w:marRight w:val="0"/>
          <w:marTop w:val="0"/>
          <w:marBottom w:val="0"/>
          <w:divBdr>
            <w:top w:val="none" w:sz="0" w:space="0" w:color="auto"/>
            <w:left w:val="none" w:sz="0" w:space="0" w:color="auto"/>
            <w:bottom w:val="none" w:sz="0" w:space="0" w:color="auto"/>
            <w:right w:val="none" w:sz="0" w:space="0" w:color="auto"/>
          </w:divBdr>
        </w:div>
      </w:divsChild>
    </w:div>
    <w:div w:id="71124108">
      <w:marLeft w:val="0"/>
      <w:marRight w:val="0"/>
      <w:marTop w:val="180"/>
      <w:marBottom w:val="180"/>
      <w:divBdr>
        <w:top w:val="none" w:sz="0" w:space="0" w:color="auto"/>
        <w:left w:val="none" w:sz="0" w:space="0" w:color="auto"/>
        <w:bottom w:val="none" w:sz="0" w:space="0" w:color="auto"/>
        <w:right w:val="none" w:sz="0" w:space="0" w:color="auto"/>
      </w:divBdr>
    </w:div>
    <w:div w:id="72314294">
      <w:marLeft w:val="0"/>
      <w:marRight w:val="0"/>
      <w:marTop w:val="120"/>
      <w:marBottom w:val="240"/>
      <w:divBdr>
        <w:top w:val="none" w:sz="0" w:space="0" w:color="auto"/>
        <w:left w:val="none" w:sz="0" w:space="0" w:color="auto"/>
        <w:bottom w:val="none" w:sz="0" w:space="0" w:color="auto"/>
        <w:right w:val="none" w:sz="0" w:space="0" w:color="auto"/>
      </w:divBdr>
    </w:div>
    <w:div w:id="74211739">
      <w:marLeft w:val="0"/>
      <w:marRight w:val="0"/>
      <w:marTop w:val="0"/>
      <w:marBottom w:val="60"/>
      <w:divBdr>
        <w:top w:val="none" w:sz="0" w:space="0" w:color="auto"/>
        <w:left w:val="none" w:sz="0" w:space="0" w:color="auto"/>
        <w:bottom w:val="none" w:sz="0" w:space="0" w:color="auto"/>
        <w:right w:val="none" w:sz="0" w:space="0" w:color="auto"/>
      </w:divBdr>
    </w:div>
    <w:div w:id="74284830">
      <w:marLeft w:val="0"/>
      <w:marRight w:val="0"/>
      <w:marTop w:val="100"/>
      <w:marBottom w:val="100"/>
      <w:divBdr>
        <w:top w:val="none" w:sz="0" w:space="0" w:color="auto"/>
        <w:left w:val="none" w:sz="0" w:space="0" w:color="auto"/>
        <w:bottom w:val="none" w:sz="0" w:space="0" w:color="auto"/>
        <w:right w:val="none" w:sz="0" w:space="0" w:color="auto"/>
      </w:divBdr>
    </w:div>
    <w:div w:id="75327174">
      <w:marLeft w:val="0"/>
      <w:marRight w:val="0"/>
      <w:marTop w:val="0"/>
      <w:marBottom w:val="180"/>
      <w:divBdr>
        <w:top w:val="none" w:sz="0" w:space="0" w:color="auto"/>
        <w:left w:val="none" w:sz="0" w:space="0" w:color="auto"/>
        <w:bottom w:val="none" w:sz="0" w:space="0" w:color="auto"/>
        <w:right w:val="none" w:sz="0" w:space="0" w:color="auto"/>
      </w:divBdr>
    </w:div>
    <w:div w:id="75710505">
      <w:marLeft w:val="0"/>
      <w:marRight w:val="0"/>
      <w:marTop w:val="0"/>
      <w:marBottom w:val="0"/>
      <w:divBdr>
        <w:top w:val="none" w:sz="0" w:space="0" w:color="auto"/>
        <w:left w:val="none" w:sz="0" w:space="0" w:color="auto"/>
        <w:bottom w:val="none" w:sz="0" w:space="0" w:color="auto"/>
        <w:right w:val="none" w:sz="0" w:space="0" w:color="auto"/>
      </w:divBdr>
      <w:divsChild>
        <w:div w:id="1300383305">
          <w:marLeft w:val="0"/>
          <w:marRight w:val="0"/>
          <w:marTop w:val="0"/>
          <w:marBottom w:val="0"/>
          <w:divBdr>
            <w:top w:val="none" w:sz="0" w:space="0" w:color="auto"/>
            <w:left w:val="none" w:sz="0" w:space="0" w:color="auto"/>
            <w:bottom w:val="none" w:sz="0" w:space="0" w:color="auto"/>
            <w:right w:val="none" w:sz="0" w:space="0" w:color="auto"/>
          </w:divBdr>
        </w:div>
      </w:divsChild>
    </w:div>
    <w:div w:id="75901586">
      <w:marLeft w:val="0"/>
      <w:marRight w:val="0"/>
      <w:marTop w:val="120"/>
      <w:marBottom w:val="180"/>
      <w:divBdr>
        <w:top w:val="none" w:sz="0" w:space="0" w:color="auto"/>
        <w:left w:val="none" w:sz="0" w:space="0" w:color="auto"/>
        <w:bottom w:val="none" w:sz="0" w:space="0" w:color="auto"/>
        <w:right w:val="none" w:sz="0" w:space="0" w:color="auto"/>
      </w:divBdr>
    </w:div>
    <w:div w:id="78333054">
      <w:marLeft w:val="0"/>
      <w:marRight w:val="0"/>
      <w:marTop w:val="0"/>
      <w:marBottom w:val="240"/>
      <w:divBdr>
        <w:top w:val="none" w:sz="0" w:space="0" w:color="auto"/>
        <w:left w:val="none" w:sz="0" w:space="0" w:color="auto"/>
        <w:bottom w:val="none" w:sz="0" w:space="0" w:color="auto"/>
        <w:right w:val="none" w:sz="0" w:space="0" w:color="auto"/>
      </w:divBdr>
    </w:div>
    <w:div w:id="78449200">
      <w:marLeft w:val="0"/>
      <w:marRight w:val="0"/>
      <w:marTop w:val="0"/>
      <w:marBottom w:val="240"/>
      <w:divBdr>
        <w:top w:val="none" w:sz="0" w:space="0" w:color="auto"/>
        <w:left w:val="none" w:sz="0" w:space="0" w:color="auto"/>
        <w:bottom w:val="none" w:sz="0" w:space="0" w:color="auto"/>
        <w:right w:val="none" w:sz="0" w:space="0" w:color="auto"/>
      </w:divBdr>
    </w:div>
    <w:div w:id="80373453">
      <w:marLeft w:val="0"/>
      <w:marRight w:val="0"/>
      <w:marTop w:val="180"/>
      <w:marBottom w:val="180"/>
      <w:divBdr>
        <w:top w:val="none" w:sz="0" w:space="0" w:color="auto"/>
        <w:left w:val="none" w:sz="0" w:space="0" w:color="auto"/>
        <w:bottom w:val="none" w:sz="0" w:space="0" w:color="auto"/>
        <w:right w:val="none" w:sz="0" w:space="0" w:color="auto"/>
      </w:divBdr>
    </w:div>
    <w:div w:id="81027492">
      <w:marLeft w:val="0"/>
      <w:marRight w:val="0"/>
      <w:marTop w:val="100"/>
      <w:marBottom w:val="100"/>
      <w:divBdr>
        <w:top w:val="none" w:sz="0" w:space="0" w:color="auto"/>
        <w:left w:val="none" w:sz="0" w:space="0" w:color="auto"/>
        <w:bottom w:val="none" w:sz="0" w:space="0" w:color="auto"/>
        <w:right w:val="none" w:sz="0" w:space="0" w:color="auto"/>
      </w:divBdr>
    </w:div>
    <w:div w:id="84034367">
      <w:marLeft w:val="0"/>
      <w:marRight w:val="0"/>
      <w:marTop w:val="0"/>
      <w:marBottom w:val="240"/>
      <w:divBdr>
        <w:top w:val="none" w:sz="0" w:space="0" w:color="auto"/>
        <w:left w:val="none" w:sz="0" w:space="0" w:color="auto"/>
        <w:bottom w:val="none" w:sz="0" w:space="0" w:color="auto"/>
        <w:right w:val="none" w:sz="0" w:space="0" w:color="auto"/>
      </w:divBdr>
    </w:div>
    <w:div w:id="87629038">
      <w:marLeft w:val="0"/>
      <w:marRight w:val="0"/>
      <w:marTop w:val="0"/>
      <w:marBottom w:val="0"/>
      <w:divBdr>
        <w:top w:val="none" w:sz="0" w:space="0" w:color="auto"/>
        <w:left w:val="none" w:sz="0" w:space="0" w:color="auto"/>
        <w:bottom w:val="none" w:sz="0" w:space="0" w:color="auto"/>
        <w:right w:val="none" w:sz="0" w:space="0" w:color="auto"/>
      </w:divBdr>
    </w:div>
    <w:div w:id="89084897">
      <w:marLeft w:val="0"/>
      <w:marRight w:val="0"/>
      <w:marTop w:val="0"/>
      <w:marBottom w:val="180"/>
      <w:divBdr>
        <w:top w:val="none" w:sz="0" w:space="0" w:color="auto"/>
        <w:left w:val="none" w:sz="0" w:space="0" w:color="auto"/>
        <w:bottom w:val="none" w:sz="0" w:space="0" w:color="auto"/>
        <w:right w:val="none" w:sz="0" w:space="0" w:color="auto"/>
      </w:divBdr>
    </w:div>
    <w:div w:id="90515641">
      <w:marLeft w:val="0"/>
      <w:marRight w:val="0"/>
      <w:marTop w:val="0"/>
      <w:marBottom w:val="240"/>
      <w:divBdr>
        <w:top w:val="none" w:sz="0" w:space="0" w:color="auto"/>
        <w:left w:val="none" w:sz="0" w:space="0" w:color="auto"/>
        <w:bottom w:val="none" w:sz="0" w:space="0" w:color="auto"/>
        <w:right w:val="none" w:sz="0" w:space="0" w:color="auto"/>
      </w:divBdr>
    </w:div>
    <w:div w:id="90859910">
      <w:marLeft w:val="0"/>
      <w:marRight w:val="0"/>
      <w:marTop w:val="0"/>
      <w:marBottom w:val="240"/>
      <w:divBdr>
        <w:top w:val="none" w:sz="0" w:space="0" w:color="auto"/>
        <w:left w:val="none" w:sz="0" w:space="0" w:color="auto"/>
        <w:bottom w:val="none" w:sz="0" w:space="0" w:color="auto"/>
        <w:right w:val="none" w:sz="0" w:space="0" w:color="auto"/>
      </w:divBdr>
    </w:div>
    <w:div w:id="91173505">
      <w:marLeft w:val="0"/>
      <w:marRight w:val="0"/>
      <w:marTop w:val="0"/>
      <w:marBottom w:val="0"/>
      <w:divBdr>
        <w:top w:val="none" w:sz="0" w:space="0" w:color="auto"/>
        <w:left w:val="none" w:sz="0" w:space="0" w:color="auto"/>
        <w:bottom w:val="none" w:sz="0" w:space="0" w:color="auto"/>
        <w:right w:val="none" w:sz="0" w:space="0" w:color="auto"/>
      </w:divBdr>
      <w:divsChild>
        <w:div w:id="634215901">
          <w:marLeft w:val="0"/>
          <w:marRight w:val="0"/>
          <w:marTop w:val="0"/>
          <w:marBottom w:val="0"/>
          <w:divBdr>
            <w:top w:val="none" w:sz="0" w:space="0" w:color="auto"/>
            <w:left w:val="none" w:sz="0" w:space="0" w:color="auto"/>
            <w:bottom w:val="none" w:sz="0" w:space="0" w:color="auto"/>
            <w:right w:val="none" w:sz="0" w:space="0" w:color="auto"/>
          </w:divBdr>
        </w:div>
      </w:divsChild>
    </w:div>
    <w:div w:id="92480382">
      <w:marLeft w:val="0"/>
      <w:marRight w:val="0"/>
      <w:marTop w:val="120"/>
      <w:marBottom w:val="120"/>
      <w:divBdr>
        <w:top w:val="none" w:sz="0" w:space="0" w:color="auto"/>
        <w:left w:val="none" w:sz="0" w:space="0" w:color="auto"/>
        <w:bottom w:val="none" w:sz="0" w:space="0" w:color="auto"/>
        <w:right w:val="none" w:sz="0" w:space="0" w:color="auto"/>
      </w:divBdr>
    </w:div>
    <w:div w:id="94253537">
      <w:marLeft w:val="0"/>
      <w:marRight w:val="0"/>
      <w:marTop w:val="0"/>
      <w:marBottom w:val="0"/>
      <w:divBdr>
        <w:top w:val="none" w:sz="0" w:space="0" w:color="auto"/>
        <w:left w:val="none" w:sz="0" w:space="0" w:color="auto"/>
        <w:bottom w:val="none" w:sz="0" w:space="0" w:color="auto"/>
        <w:right w:val="none" w:sz="0" w:space="0" w:color="auto"/>
      </w:divBdr>
      <w:divsChild>
        <w:div w:id="1575428398">
          <w:marLeft w:val="0"/>
          <w:marRight w:val="0"/>
          <w:marTop w:val="0"/>
          <w:marBottom w:val="0"/>
          <w:divBdr>
            <w:top w:val="none" w:sz="0" w:space="0" w:color="auto"/>
            <w:left w:val="none" w:sz="0" w:space="0" w:color="auto"/>
            <w:bottom w:val="none" w:sz="0" w:space="0" w:color="auto"/>
            <w:right w:val="none" w:sz="0" w:space="0" w:color="auto"/>
          </w:divBdr>
        </w:div>
      </w:divsChild>
    </w:div>
    <w:div w:id="96415517">
      <w:marLeft w:val="0"/>
      <w:marRight w:val="0"/>
      <w:marTop w:val="180"/>
      <w:marBottom w:val="180"/>
      <w:divBdr>
        <w:top w:val="none" w:sz="0" w:space="0" w:color="auto"/>
        <w:left w:val="none" w:sz="0" w:space="0" w:color="auto"/>
        <w:bottom w:val="none" w:sz="0" w:space="0" w:color="auto"/>
        <w:right w:val="none" w:sz="0" w:space="0" w:color="auto"/>
      </w:divBdr>
    </w:div>
    <w:div w:id="96758587">
      <w:marLeft w:val="0"/>
      <w:marRight w:val="0"/>
      <w:marTop w:val="0"/>
      <w:marBottom w:val="0"/>
      <w:divBdr>
        <w:top w:val="none" w:sz="0" w:space="0" w:color="auto"/>
        <w:left w:val="none" w:sz="0" w:space="0" w:color="auto"/>
        <w:bottom w:val="none" w:sz="0" w:space="0" w:color="auto"/>
        <w:right w:val="none" w:sz="0" w:space="0" w:color="auto"/>
      </w:divBdr>
    </w:div>
    <w:div w:id="104538832">
      <w:marLeft w:val="0"/>
      <w:marRight w:val="0"/>
      <w:marTop w:val="120"/>
      <w:marBottom w:val="120"/>
      <w:divBdr>
        <w:top w:val="none" w:sz="0" w:space="0" w:color="auto"/>
        <w:left w:val="none" w:sz="0" w:space="0" w:color="auto"/>
        <w:bottom w:val="none" w:sz="0" w:space="0" w:color="auto"/>
        <w:right w:val="none" w:sz="0" w:space="0" w:color="auto"/>
      </w:divBdr>
    </w:div>
    <w:div w:id="105271453">
      <w:marLeft w:val="0"/>
      <w:marRight w:val="0"/>
      <w:marTop w:val="0"/>
      <w:marBottom w:val="0"/>
      <w:divBdr>
        <w:top w:val="none" w:sz="0" w:space="0" w:color="auto"/>
        <w:left w:val="none" w:sz="0" w:space="0" w:color="auto"/>
        <w:bottom w:val="none" w:sz="0" w:space="0" w:color="auto"/>
        <w:right w:val="none" w:sz="0" w:space="0" w:color="auto"/>
      </w:divBdr>
      <w:divsChild>
        <w:div w:id="1130439012">
          <w:marLeft w:val="0"/>
          <w:marRight w:val="0"/>
          <w:marTop w:val="0"/>
          <w:marBottom w:val="0"/>
          <w:divBdr>
            <w:top w:val="none" w:sz="0" w:space="0" w:color="auto"/>
            <w:left w:val="none" w:sz="0" w:space="0" w:color="auto"/>
            <w:bottom w:val="none" w:sz="0" w:space="0" w:color="auto"/>
            <w:right w:val="none" w:sz="0" w:space="0" w:color="auto"/>
          </w:divBdr>
        </w:div>
      </w:divsChild>
    </w:div>
    <w:div w:id="105734463">
      <w:marLeft w:val="0"/>
      <w:marRight w:val="0"/>
      <w:marTop w:val="0"/>
      <w:marBottom w:val="240"/>
      <w:divBdr>
        <w:top w:val="none" w:sz="0" w:space="0" w:color="auto"/>
        <w:left w:val="none" w:sz="0" w:space="0" w:color="auto"/>
        <w:bottom w:val="none" w:sz="0" w:space="0" w:color="auto"/>
        <w:right w:val="none" w:sz="0" w:space="0" w:color="auto"/>
      </w:divBdr>
    </w:div>
    <w:div w:id="106781971">
      <w:marLeft w:val="0"/>
      <w:marRight w:val="0"/>
      <w:marTop w:val="0"/>
      <w:marBottom w:val="60"/>
      <w:divBdr>
        <w:top w:val="none" w:sz="0" w:space="0" w:color="auto"/>
        <w:left w:val="none" w:sz="0" w:space="0" w:color="auto"/>
        <w:bottom w:val="none" w:sz="0" w:space="0" w:color="auto"/>
        <w:right w:val="none" w:sz="0" w:space="0" w:color="auto"/>
      </w:divBdr>
    </w:div>
    <w:div w:id="107741201">
      <w:marLeft w:val="0"/>
      <w:marRight w:val="0"/>
      <w:marTop w:val="0"/>
      <w:marBottom w:val="60"/>
      <w:divBdr>
        <w:top w:val="none" w:sz="0" w:space="0" w:color="auto"/>
        <w:left w:val="none" w:sz="0" w:space="0" w:color="auto"/>
        <w:bottom w:val="none" w:sz="0" w:space="0" w:color="auto"/>
        <w:right w:val="none" w:sz="0" w:space="0" w:color="auto"/>
      </w:divBdr>
    </w:div>
    <w:div w:id="109785765">
      <w:marLeft w:val="0"/>
      <w:marRight w:val="0"/>
      <w:marTop w:val="0"/>
      <w:marBottom w:val="240"/>
      <w:divBdr>
        <w:top w:val="none" w:sz="0" w:space="0" w:color="auto"/>
        <w:left w:val="none" w:sz="0" w:space="0" w:color="auto"/>
        <w:bottom w:val="none" w:sz="0" w:space="0" w:color="auto"/>
        <w:right w:val="none" w:sz="0" w:space="0" w:color="auto"/>
      </w:divBdr>
    </w:div>
    <w:div w:id="110514420">
      <w:marLeft w:val="0"/>
      <w:marRight w:val="0"/>
      <w:marTop w:val="0"/>
      <w:marBottom w:val="240"/>
      <w:divBdr>
        <w:top w:val="none" w:sz="0" w:space="0" w:color="auto"/>
        <w:left w:val="none" w:sz="0" w:space="0" w:color="auto"/>
        <w:bottom w:val="none" w:sz="0" w:space="0" w:color="auto"/>
        <w:right w:val="none" w:sz="0" w:space="0" w:color="auto"/>
      </w:divBdr>
    </w:div>
    <w:div w:id="112290083">
      <w:marLeft w:val="0"/>
      <w:marRight w:val="0"/>
      <w:marTop w:val="180"/>
      <w:marBottom w:val="180"/>
      <w:divBdr>
        <w:top w:val="none" w:sz="0" w:space="0" w:color="auto"/>
        <w:left w:val="none" w:sz="0" w:space="0" w:color="auto"/>
        <w:bottom w:val="none" w:sz="0" w:space="0" w:color="auto"/>
        <w:right w:val="none" w:sz="0" w:space="0" w:color="auto"/>
      </w:divBdr>
    </w:div>
    <w:div w:id="114492012">
      <w:marLeft w:val="0"/>
      <w:marRight w:val="0"/>
      <w:marTop w:val="0"/>
      <w:marBottom w:val="240"/>
      <w:divBdr>
        <w:top w:val="none" w:sz="0" w:space="0" w:color="auto"/>
        <w:left w:val="none" w:sz="0" w:space="0" w:color="auto"/>
        <w:bottom w:val="none" w:sz="0" w:space="0" w:color="auto"/>
        <w:right w:val="none" w:sz="0" w:space="0" w:color="auto"/>
      </w:divBdr>
    </w:div>
    <w:div w:id="116410751">
      <w:marLeft w:val="0"/>
      <w:marRight w:val="0"/>
      <w:marTop w:val="0"/>
      <w:marBottom w:val="0"/>
      <w:divBdr>
        <w:top w:val="none" w:sz="0" w:space="0" w:color="auto"/>
        <w:left w:val="none" w:sz="0" w:space="0" w:color="auto"/>
        <w:bottom w:val="none" w:sz="0" w:space="0" w:color="auto"/>
        <w:right w:val="none" w:sz="0" w:space="0" w:color="auto"/>
      </w:divBdr>
      <w:divsChild>
        <w:div w:id="1389185439">
          <w:marLeft w:val="0"/>
          <w:marRight w:val="0"/>
          <w:marTop w:val="0"/>
          <w:marBottom w:val="0"/>
          <w:divBdr>
            <w:top w:val="none" w:sz="0" w:space="0" w:color="auto"/>
            <w:left w:val="none" w:sz="0" w:space="0" w:color="auto"/>
            <w:bottom w:val="none" w:sz="0" w:space="0" w:color="auto"/>
            <w:right w:val="none" w:sz="0" w:space="0" w:color="auto"/>
          </w:divBdr>
        </w:div>
      </w:divsChild>
    </w:div>
    <w:div w:id="116611046">
      <w:marLeft w:val="0"/>
      <w:marRight w:val="0"/>
      <w:marTop w:val="240"/>
      <w:marBottom w:val="240"/>
      <w:divBdr>
        <w:top w:val="none" w:sz="0" w:space="0" w:color="auto"/>
        <w:left w:val="none" w:sz="0" w:space="0" w:color="auto"/>
        <w:bottom w:val="none" w:sz="0" w:space="0" w:color="auto"/>
        <w:right w:val="none" w:sz="0" w:space="0" w:color="auto"/>
      </w:divBdr>
    </w:div>
    <w:div w:id="119691722">
      <w:marLeft w:val="0"/>
      <w:marRight w:val="0"/>
      <w:marTop w:val="0"/>
      <w:marBottom w:val="0"/>
      <w:divBdr>
        <w:top w:val="none" w:sz="0" w:space="0" w:color="auto"/>
        <w:left w:val="none" w:sz="0" w:space="0" w:color="auto"/>
        <w:bottom w:val="none" w:sz="0" w:space="0" w:color="auto"/>
        <w:right w:val="none" w:sz="0" w:space="0" w:color="auto"/>
      </w:divBdr>
    </w:div>
    <w:div w:id="121928320">
      <w:marLeft w:val="0"/>
      <w:marRight w:val="0"/>
      <w:marTop w:val="0"/>
      <w:marBottom w:val="180"/>
      <w:divBdr>
        <w:top w:val="none" w:sz="0" w:space="0" w:color="auto"/>
        <w:left w:val="none" w:sz="0" w:space="0" w:color="auto"/>
        <w:bottom w:val="none" w:sz="0" w:space="0" w:color="auto"/>
        <w:right w:val="none" w:sz="0" w:space="0" w:color="auto"/>
      </w:divBdr>
    </w:div>
    <w:div w:id="123475388">
      <w:marLeft w:val="0"/>
      <w:marRight w:val="0"/>
      <w:marTop w:val="0"/>
      <w:marBottom w:val="180"/>
      <w:divBdr>
        <w:top w:val="none" w:sz="0" w:space="0" w:color="auto"/>
        <w:left w:val="none" w:sz="0" w:space="0" w:color="auto"/>
        <w:bottom w:val="none" w:sz="0" w:space="0" w:color="auto"/>
        <w:right w:val="none" w:sz="0" w:space="0" w:color="auto"/>
      </w:divBdr>
    </w:div>
    <w:div w:id="123542710">
      <w:marLeft w:val="0"/>
      <w:marRight w:val="0"/>
      <w:marTop w:val="180"/>
      <w:marBottom w:val="180"/>
      <w:divBdr>
        <w:top w:val="none" w:sz="0" w:space="0" w:color="auto"/>
        <w:left w:val="none" w:sz="0" w:space="0" w:color="auto"/>
        <w:bottom w:val="none" w:sz="0" w:space="0" w:color="auto"/>
        <w:right w:val="none" w:sz="0" w:space="0" w:color="auto"/>
      </w:divBdr>
    </w:div>
    <w:div w:id="124079667">
      <w:marLeft w:val="0"/>
      <w:marRight w:val="0"/>
      <w:marTop w:val="0"/>
      <w:marBottom w:val="180"/>
      <w:divBdr>
        <w:top w:val="none" w:sz="0" w:space="0" w:color="auto"/>
        <w:left w:val="none" w:sz="0" w:space="0" w:color="auto"/>
        <w:bottom w:val="none" w:sz="0" w:space="0" w:color="auto"/>
        <w:right w:val="none" w:sz="0" w:space="0" w:color="auto"/>
      </w:divBdr>
    </w:div>
    <w:div w:id="124853205">
      <w:marLeft w:val="0"/>
      <w:marRight w:val="0"/>
      <w:marTop w:val="180"/>
      <w:marBottom w:val="180"/>
      <w:divBdr>
        <w:top w:val="none" w:sz="0" w:space="0" w:color="auto"/>
        <w:left w:val="none" w:sz="0" w:space="0" w:color="auto"/>
        <w:bottom w:val="none" w:sz="0" w:space="0" w:color="auto"/>
        <w:right w:val="none" w:sz="0" w:space="0" w:color="auto"/>
      </w:divBdr>
    </w:div>
    <w:div w:id="129833086">
      <w:marLeft w:val="0"/>
      <w:marRight w:val="0"/>
      <w:marTop w:val="0"/>
      <w:marBottom w:val="180"/>
      <w:divBdr>
        <w:top w:val="none" w:sz="0" w:space="0" w:color="auto"/>
        <w:left w:val="none" w:sz="0" w:space="0" w:color="auto"/>
        <w:bottom w:val="none" w:sz="0" w:space="0" w:color="auto"/>
        <w:right w:val="none" w:sz="0" w:space="0" w:color="auto"/>
      </w:divBdr>
    </w:div>
    <w:div w:id="130095212">
      <w:marLeft w:val="0"/>
      <w:marRight w:val="0"/>
      <w:marTop w:val="100"/>
      <w:marBottom w:val="100"/>
      <w:divBdr>
        <w:top w:val="none" w:sz="0" w:space="0" w:color="auto"/>
        <w:left w:val="none" w:sz="0" w:space="0" w:color="auto"/>
        <w:bottom w:val="none" w:sz="0" w:space="0" w:color="auto"/>
        <w:right w:val="none" w:sz="0" w:space="0" w:color="auto"/>
      </w:divBdr>
      <w:divsChild>
        <w:div w:id="1820270202">
          <w:marLeft w:val="0"/>
          <w:marRight w:val="0"/>
          <w:marTop w:val="0"/>
          <w:marBottom w:val="0"/>
          <w:divBdr>
            <w:top w:val="none" w:sz="0" w:space="0" w:color="auto"/>
            <w:left w:val="none" w:sz="0" w:space="0" w:color="auto"/>
            <w:bottom w:val="none" w:sz="0" w:space="0" w:color="auto"/>
            <w:right w:val="none" w:sz="0" w:space="0" w:color="auto"/>
          </w:divBdr>
        </w:div>
        <w:div w:id="833765118">
          <w:marLeft w:val="0"/>
          <w:marRight w:val="0"/>
          <w:marTop w:val="0"/>
          <w:marBottom w:val="0"/>
          <w:divBdr>
            <w:top w:val="none" w:sz="0" w:space="0" w:color="auto"/>
            <w:left w:val="none" w:sz="0" w:space="0" w:color="auto"/>
            <w:bottom w:val="none" w:sz="0" w:space="0" w:color="auto"/>
            <w:right w:val="none" w:sz="0" w:space="0" w:color="auto"/>
          </w:divBdr>
        </w:div>
        <w:div w:id="1128864623">
          <w:marLeft w:val="0"/>
          <w:marRight w:val="0"/>
          <w:marTop w:val="0"/>
          <w:marBottom w:val="0"/>
          <w:divBdr>
            <w:top w:val="none" w:sz="0" w:space="0" w:color="auto"/>
            <w:left w:val="none" w:sz="0" w:space="0" w:color="auto"/>
            <w:bottom w:val="none" w:sz="0" w:space="0" w:color="auto"/>
            <w:right w:val="none" w:sz="0" w:space="0" w:color="auto"/>
          </w:divBdr>
        </w:div>
        <w:div w:id="322203185">
          <w:marLeft w:val="0"/>
          <w:marRight w:val="0"/>
          <w:marTop w:val="0"/>
          <w:marBottom w:val="0"/>
          <w:divBdr>
            <w:top w:val="none" w:sz="0" w:space="0" w:color="auto"/>
            <w:left w:val="none" w:sz="0" w:space="0" w:color="auto"/>
            <w:bottom w:val="none" w:sz="0" w:space="0" w:color="auto"/>
            <w:right w:val="none" w:sz="0" w:space="0" w:color="auto"/>
          </w:divBdr>
        </w:div>
        <w:div w:id="1808666585">
          <w:marLeft w:val="0"/>
          <w:marRight w:val="0"/>
          <w:marTop w:val="0"/>
          <w:marBottom w:val="0"/>
          <w:divBdr>
            <w:top w:val="none" w:sz="0" w:space="0" w:color="auto"/>
            <w:left w:val="none" w:sz="0" w:space="0" w:color="auto"/>
            <w:bottom w:val="none" w:sz="0" w:space="0" w:color="auto"/>
            <w:right w:val="none" w:sz="0" w:space="0" w:color="auto"/>
          </w:divBdr>
        </w:div>
        <w:div w:id="341207635">
          <w:marLeft w:val="0"/>
          <w:marRight w:val="0"/>
          <w:marTop w:val="0"/>
          <w:marBottom w:val="0"/>
          <w:divBdr>
            <w:top w:val="none" w:sz="0" w:space="0" w:color="auto"/>
            <w:left w:val="none" w:sz="0" w:space="0" w:color="auto"/>
            <w:bottom w:val="none" w:sz="0" w:space="0" w:color="auto"/>
            <w:right w:val="none" w:sz="0" w:space="0" w:color="auto"/>
          </w:divBdr>
        </w:div>
        <w:div w:id="537821146">
          <w:marLeft w:val="0"/>
          <w:marRight w:val="0"/>
          <w:marTop w:val="0"/>
          <w:marBottom w:val="0"/>
          <w:divBdr>
            <w:top w:val="none" w:sz="0" w:space="0" w:color="auto"/>
            <w:left w:val="none" w:sz="0" w:space="0" w:color="auto"/>
            <w:bottom w:val="none" w:sz="0" w:space="0" w:color="auto"/>
            <w:right w:val="none" w:sz="0" w:space="0" w:color="auto"/>
          </w:divBdr>
        </w:div>
        <w:div w:id="2082749697">
          <w:marLeft w:val="0"/>
          <w:marRight w:val="0"/>
          <w:marTop w:val="0"/>
          <w:marBottom w:val="0"/>
          <w:divBdr>
            <w:top w:val="none" w:sz="0" w:space="0" w:color="auto"/>
            <w:left w:val="none" w:sz="0" w:space="0" w:color="auto"/>
            <w:bottom w:val="none" w:sz="0" w:space="0" w:color="auto"/>
            <w:right w:val="none" w:sz="0" w:space="0" w:color="auto"/>
          </w:divBdr>
        </w:div>
      </w:divsChild>
    </w:div>
    <w:div w:id="131678685">
      <w:marLeft w:val="0"/>
      <w:marRight w:val="0"/>
      <w:marTop w:val="0"/>
      <w:marBottom w:val="240"/>
      <w:divBdr>
        <w:top w:val="none" w:sz="0" w:space="0" w:color="auto"/>
        <w:left w:val="none" w:sz="0" w:space="0" w:color="auto"/>
        <w:bottom w:val="none" w:sz="0" w:space="0" w:color="auto"/>
        <w:right w:val="none" w:sz="0" w:space="0" w:color="auto"/>
      </w:divBdr>
    </w:div>
    <w:div w:id="133759943">
      <w:marLeft w:val="0"/>
      <w:marRight w:val="0"/>
      <w:marTop w:val="60"/>
      <w:marBottom w:val="0"/>
      <w:divBdr>
        <w:top w:val="none" w:sz="0" w:space="0" w:color="auto"/>
        <w:left w:val="none" w:sz="0" w:space="0" w:color="auto"/>
        <w:bottom w:val="none" w:sz="0" w:space="0" w:color="auto"/>
        <w:right w:val="none" w:sz="0" w:space="0" w:color="auto"/>
      </w:divBdr>
    </w:div>
    <w:div w:id="135032884">
      <w:marLeft w:val="0"/>
      <w:marRight w:val="0"/>
      <w:marTop w:val="100"/>
      <w:marBottom w:val="100"/>
      <w:divBdr>
        <w:top w:val="none" w:sz="0" w:space="0" w:color="auto"/>
        <w:left w:val="none" w:sz="0" w:space="0" w:color="auto"/>
        <w:bottom w:val="none" w:sz="0" w:space="0" w:color="auto"/>
        <w:right w:val="none" w:sz="0" w:space="0" w:color="auto"/>
      </w:divBdr>
      <w:divsChild>
        <w:div w:id="1505321473">
          <w:marLeft w:val="0"/>
          <w:marRight w:val="0"/>
          <w:marTop w:val="0"/>
          <w:marBottom w:val="0"/>
          <w:divBdr>
            <w:top w:val="none" w:sz="0" w:space="0" w:color="auto"/>
            <w:left w:val="none" w:sz="0" w:space="0" w:color="auto"/>
            <w:bottom w:val="none" w:sz="0" w:space="0" w:color="auto"/>
            <w:right w:val="none" w:sz="0" w:space="0" w:color="auto"/>
          </w:divBdr>
        </w:div>
      </w:divsChild>
    </w:div>
    <w:div w:id="135489975">
      <w:marLeft w:val="0"/>
      <w:marRight w:val="0"/>
      <w:marTop w:val="100"/>
      <w:marBottom w:val="100"/>
      <w:divBdr>
        <w:top w:val="none" w:sz="0" w:space="0" w:color="auto"/>
        <w:left w:val="none" w:sz="0" w:space="0" w:color="auto"/>
        <w:bottom w:val="none" w:sz="0" w:space="0" w:color="auto"/>
        <w:right w:val="none" w:sz="0" w:space="0" w:color="auto"/>
      </w:divBdr>
      <w:divsChild>
        <w:div w:id="1899824279">
          <w:marLeft w:val="0"/>
          <w:marRight w:val="0"/>
          <w:marTop w:val="0"/>
          <w:marBottom w:val="0"/>
          <w:divBdr>
            <w:top w:val="none" w:sz="0" w:space="0" w:color="auto"/>
            <w:left w:val="none" w:sz="0" w:space="0" w:color="auto"/>
            <w:bottom w:val="none" w:sz="0" w:space="0" w:color="auto"/>
            <w:right w:val="none" w:sz="0" w:space="0" w:color="auto"/>
          </w:divBdr>
        </w:div>
        <w:div w:id="752943602">
          <w:marLeft w:val="0"/>
          <w:marRight w:val="0"/>
          <w:marTop w:val="0"/>
          <w:marBottom w:val="0"/>
          <w:divBdr>
            <w:top w:val="none" w:sz="0" w:space="0" w:color="auto"/>
            <w:left w:val="none" w:sz="0" w:space="0" w:color="auto"/>
            <w:bottom w:val="none" w:sz="0" w:space="0" w:color="auto"/>
            <w:right w:val="none" w:sz="0" w:space="0" w:color="auto"/>
          </w:divBdr>
        </w:div>
        <w:div w:id="978800793">
          <w:marLeft w:val="0"/>
          <w:marRight w:val="0"/>
          <w:marTop w:val="0"/>
          <w:marBottom w:val="0"/>
          <w:divBdr>
            <w:top w:val="none" w:sz="0" w:space="0" w:color="auto"/>
            <w:left w:val="none" w:sz="0" w:space="0" w:color="auto"/>
            <w:bottom w:val="none" w:sz="0" w:space="0" w:color="auto"/>
            <w:right w:val="none" w:sz="0" w:space="0" w:color="auto"/>
          </w:divBdr>
        </w:div>
        <w:div w:id="548297950">
          <w:marLeft w:val="0"/>
          <w:marRight w:val="0"/>
          <w:marTop w:val="0"/>
          <w:marBottom w:val="0"/>
          <w:divBdr>
            <w:top w:val="none" w:sz="0" w:space="0" w:color="auto"/>
            <w:left w:val="none" w:sz="0" w:space="0" w:color="auto"/>
            <w:bottom w:val="none" w:sz="0" w:space="0" w:color="auto"/>
            <w:right w:val="none" w:sz="0" w:space="0" w:color="auto"/>
          </w:divBdr>
        </w:div>
        <w:div w:id="1611280986">
          <w:marLeft w:val="0"/>
          <w:marRight w:val="0"/>
          <w:marTop w:val="0"/>
          <w:marBottom w:val="0"/>
          <w:divBdr>
            <w:top w:val="none" w:sz="0" w:space="0" w:color="auto"/>
            <w:left w:val="none" w:sz="0" w:space="0" w:color="auto"/>
            <w:bottom w:val="none" w:sz="0" w:space="0" w:color="auto"/>
            <w:right w:val="none" w:sz="0" w:space="0" w:color="auto"/>
          </w:divBdr>
        </w:div>
        <w:div w:id="926499921">
          <w:marLeft w:val="0"/>
          <w:marRight w:val="0"/>
          <w:marTop w:val="0"/>
          <w:marBottom w:val="0"/>
          <w:divBdr>
            <w:top w:val="none" w:sz="0" w:space="0" w:color="auto"/>
            <w:left w:val="none" w:sz="0" w:space="0" w:color="auto"/>
            <w:bottom w:val="none" w:sz="0" w:space="0" w:color="auto"/>
            <w:right w:val="none" w:sz="0" w:space="0" w:color="auto"/>
          </w:divBdr>
        </w:div>
        <w:div w:id="75177240">
          <w:marLeft w:val="0"/>
          <w:marRight w:val="0"/>
          <w:marTop w:val="0"/>
          <w:marBottom w:val="0"/>
          <w:divBdr>
            <w:top w:val="none" w:sz="0" w:space="0" w:color="auto"/>
            <w:left w:val="none" w:sz="0" w:space="0" w:color="auto"/>
            <w:bottom w:val="none" w:sz="0" w:space="0" w:color="auto"/>
            <w:right w:val="none" w:sz="0" w:space="0" w:color="auto"/>
          </w:divBdr>
        </w:div>
      </w:divsChild>
    </w:div>
    <w:div w:id="135877940">
      <w:marLeft w:val="0"/>
      <w:marRight w:val="0"/>
      <w:marTop w:val="0"/>
      <w:marBottom w:val="180"/>
      <w:divBdr>
        <w:top w:val="none" w:sz="0" w:space="0" w:color="auto"/>
        <w:left w:val="none" w:sz="0" w:space="0" w:color="auto"/>
        <w:bottom w:val="none" w:sz="0" w:space="0" w:color="auto"/>
        <w:right w:val="none" w:sz="0" w:space="0" w:color="auto"/>
      </w:divBdr>
    </w:div>
    <w:div w:id="139419535">
      <w:marLeft w:val="0"/>
      <w:marRight w:val="0"/>
      <w:marTop w:val="0"/>
      <w:marBottom w:val="0"/>
      <w:divBdr>
        <w:top w:val="none" w:sz="0" w:space="0" w:color="auto"/>
        <w:left w:val="none" w:sz="0" w:space="0" w:color="auto"/>
        <w:bottom w:val="none" w:sz="0" w:space="0" w:color="auto"/>
        <w:right w:val="none" w:sz="0" w:space="0" w:color="auto"/>
      </w:divBdr>
    </w:div>
    <w:div w:id="140469076">
      <w:marLeft w:val="0"/>
      <w:marRight w:val="0"/>
      <w:marTop w:val="0"/>
      <w:marBottom w:val="180"/>
      <w:divBdr>
        <w:top w:val="none" w:sz="0" w:space="0" w:color="auto"/>
        <w:left w:val="none" w:sz="0" w:space="0" w:color="auto"/>
        <w:bottom w:val="none" w:sz="0" w:space="0" w:color="auto"/>
        <w:right w:val="none" w:sz="0" w:space="0" w:color="auto"/>
      </w:divBdr>
    </w:div>
    <w:div w:id="141628946">
      <w:marLeft w:val="0"/>
      <w:marRight w:val="0"/>
      <w:marTop w:val="0"/>
      <w:marBottom w:val="240"/>
      <w:divBdr>
        <w:top w:val="none" w:sz="0" w:space="0" w:color="auto"/>
        <w:left w:val="none" w:sz="0" w:space="0" w:color="auto"/>
        <w:bottom w:val="none" w:sz="0" w:space="0" w:color="auto"/>
        <w:right w:val="none" w:sz="0" w:space="0" w:color="auto"/>
      </w:divBdr>
    </w:div>
    <w:div w:id="142040208">
      <w:marLeft w:val="0"/>
      <w:marRight w:val="0"/>
      <w:marTop w:val="0"/>
      <w:marBottom w:val="0"/>
      <w:divBdr>
        <w:top w:val="none" w:sz="0" w:space="0" w:color="auto"/>
        <w:left w:val="none" w:sz="0" w:space="0" w:color="auto"/>
        <w:bottom w:val="none" w:sz="0" w:space="0" w:color="auto"/>
        <w:right w:val="none" w:sz="0" w:space="0" w:color="auto"/>
      </w:divBdr>
    </w:div>
    <w:div w:id="142087931">
      <w:marLeft w:val="0"/>
      <w:marRight w:val="0"/>
      <w:marTop w:val="180"/>
      <w:marBottom w:val="180"/>
      <w:divBdr>
        <w:top w:val="none" w:sz="0" w:space="0" w:color="auto"/>
        <w:left w:val="none" w:sz="0" w:space="0" w:color="auto"/>
        <w:bottom w:val="none" w:sz="0" w:space="0" w:color="auto"/>
        <w:right w:val="none" w:sz="0" w:space="0" w:color="auto"/>
      </w:divBdr>
    </w:div>
    <w:div w:id="143548868">
      <w:marLeft w:val="0"/>
      <w:marRight w:val="0"/>
      <w:marTop w:val="0"/>
      <w:marBottom w:val="0"/>
      <w:divBdr>
        <w:top w:val="none" w:sz="0" w:space="0" w:color="auto"/>
        <w:left w:val="none" w:sz="0" w:space="0" w:color="auto"/>
        <w:bottom w:val="none" w:sz="0" w:space="0" w:color="auto"/>
        <w:right w:val="none" w:sz="0" w:space="0" w:color="auto"/>
      </w:divBdr>
    </w:div>
    <w:div w:id="144444402">
      <w:marLeft w:val="0"/>
      <w:marRight w:val="0"/>
      <w:marTop w:val="0"/>
      <w:marBottom w:val="0"/>
      <w:divBdr>
        <w:top w:val="none" w:sz="0" w:space="0" w:color="auto"/>
        <w:left w:val="none" w:sz="0" w:space="0" w:color="auto"/>
        <w:bottom w:val="none" w:sz="0" w:space="0" w:color="auto"/>
        <w:right w:val="none" w:sz="0" w:space="0" w:color="auto"/>
      </w:divBdr>
      <w:divsChild>
        <w:div w:id="723721979">
          <w:marLeft w:val="0"/>
          <w:marRight w:val="0"/>
          <w:marTop w:val="0"/>
          <w:marBottom w:val="0"/>
          <w:divBdr>
            <w:top w:val="none" w:sz="0" w:space="0" w:color="auto"/>
            <w:left w:val="none" w:sz="0" w:space="0" w:color="auto"/>
            <w:bottom w:val="none" w:sz="0" w:space="0" w:color="auto"/>
            <w:right w:val="none" w:sz="0" w:space="0" w:color="auto"/>
          </w:divBdr>
        </w:div>
      </w:divsChild>
    </w:div>
    <w:div w:id="146409297">
      <w:marLeft w:val="0"/>
      <w:marRight w:val="0"/>
      <w:marTop w:val="100"/>
      <w:marBottom w:val="100"/>
      <w:divBdr>
        <w:top w:val="none" w:sz="0" w:space="0" w:color="auto"/>
        <w:left w:val="none" w:sz="0" w:space="0" w:color="auto"/>
        <w:bottom w:val="none" w:sz="0" w:space="0" w:color="auto"/>
        <w:right w:val="none" w:sz="0" w:space="0" w:color="auto"/>
      </w:divBdr>
      <w:divsChild>
        <w:div w:id="559942096">
          <w:marLeft w:val="0"/>
          <w:marRight w:val="0"/>
          <w:marTop w:val="0"/>
          <w:marBottom w:val="0"/>
          <w:divBdr>
            <w:top w:val="none" w:sz="0" w:space="0" w:color="auto"/>
            <w:left w:val="none" w:sz="0" w:space="0" w:color="auto"/>
            <w:bottom w:val="none" w:sz="0" w:space="0" w:color="auto"/>
            <w:right w:val="none" w:sz="0" w:space="0" w:color="auto"/>
          </w:divBdr>
        </w:div>
      </w:divsChild>
    </w:div>
    <w:div w:id="146555887">
      <w:marLeft w:val="0"/>
      <w:marRight w:val="0"/>
      <w:marTop w:val="120"/>
      <w:marBottom w:val="120"/>
      <w:divBdr>
        <w:top w:val="none" w:sz="0" w:space="0" w:color="auto"/>
        <w:left w:val="none" w:sz="0" w:space="0" w:color="auto"/>
        <w:bottom w:val="none" w:sz="0" w:space="0" w:color="auto"/>
        <w:right w:val="none" w:sz="0" w:space="0" w:color="auto"/>
      </w:divBdr>
    </w:div>
    <w:div w:id="147325359">
      <w:marLeft w:val="0"/>
      <w:marRight w:val="0"/>
      <w:marTop w:val="0"/>
      <w:marBottom w:val="240"/>
      <w:divBdr>
        <w:top w:val="none" w:sz="0" w:space="0" w:color="auto"/>
        <w:left w:val="none" w:sz="0" w:space="0" w:color="auto"/>
        <w:bottom w:val="none" w:sz="0" w:space="0" w:color="auto"/>
        <w:right w:val="none" w:sz="0" w:space="0" w:color="auto"/>
      </w:divBdr>
    </w:div>
    <w:div w:id="147481172">
      <w:marLeft w:val="0"/>
      <w:marRight w:val="0"/>
      <w:marTop w:val="180"/>
      <w:marBottom w:val="180"/>
      <w:divBdr>
        <w:top w:val="none" w:sz="0" w:space="0" w:color="auto"/>
        <w:left w:val="none" w:sz="0" w:space="0" w:color="auto"/>
        <w:bottom w:val="none" w:sz="0" w:space="0" w:color="auto"/>
        <w:right w:val="none" w:sz="0" w:space="0" w:color="auto"/>
      </w:divBdr>
    </w:div>
    <w:div w:id="148717117">
      <w:marLeft w:val="0"/>
      <w:marRight w:val="0"/>
      <w:marTop w:val="0"/>
      <w:marBottom w:val="240"/>
      <w:divBdr>
        <w:top w:val="none" w:sz="0" w:space="0" w:color="auto"/>
        <w:left w:val="none" w:sz="0" w:space="0" w:color="auto"/>
        <w:bottom w:val="none" w:sz="0" w:space="0" w:color="auto"/>
        <w:right w:val="none" w:sz="0" w:space="0" w:color="auto"/>
      </w:divBdr>
    </w:div>
    <w:div w:id="149566862">
      <w:marLeft w:val="0"/>
      <w:marRight w:val="0"/>
      <w:marTop w:val="0"/>
      <w:marBottom w:val="0"/>
      <w:divBdr>
        <w:top w:val="none" w:sz="0" w:space="0" w:color="auto"/>
        <w:left w:val="none" w:sz="0" w:space="0" w:color="auto"/>
        <w:bottom w:val="none" w:sz="0" w:space="0" w:color="auto"/>
        <w:right w:val="none" w:sz="0" w:space="0" w:color="auto"/>
      </w:divBdr>
    </w:div>
    <w:div w:id="150222018">
      <w:marLeft w:val="0"/>
      <w:marRight w:val="0"/>
      <w:marTop w:val="0"/>
      <w:marBottom w:val="0"/>
      <w:divBdr>
        <w:top w:val="none" w:sz="0" w:space="0" w:color="auto"/>
        <w:left w:val="none" w:sz="0" w:space="0" w:color="auto"/>
        <w:bottom w:val="none" w:sz="0" w:space="0" w:color="auto"/>
        <w:right w:val="none" w:sz="0" w:space="0" w:color="auto"/>
      </w:divBdr>
      <w:divsChild>
        <w:div w:id="310595980">
          <w:marLeft w:val="0"/>
          <w:marRight w:val="0"/>
          <w:marTop w:val="0"/>
          <w:marBottom w:val="0"/>
          <w:divBdr>
            <w:top w:val="none" w:sz="0" w:space="0" w:color="auto"/>
            <w:left w:val="none" w:sz="0" w:space="0" w:color="auto"/>
            <w:bottom w:val="none" w:sz="0" w:space="0" w:color="auto"/>
            <w:right w:val="none" w:sz="0" w:space="0" w:color="auto"/>
          </w:divBdr>
        </w:div>
      </w:divsChild>
    </w:div>
    <w:div w:id="150944966">
      <w:marLeft w:val="0"/>
      <w:marRight w:val="0"/>
      <w:marTop w:val="180"/>
      <w:marBottom w:val="180"/>
      <w:divBdr>
        <w:top w:val="none" w:sz="0" w:space="0" w:color="auto"/>
        <w:left w:val="none" w:sz="0" w:space="0" w:color="auto"/>
        <w:bottom w:val="none" w:sz="0" w:space="0" w:color="auto"/>
        <w:right w:val="none" w:sz="0" w:space="0" w:color="auto"/>
      </w:divBdr>
    </w:div>
    <w:div w:id="151531000">
      <w:marLeft w:val="0"/>
      <w:marRight w:val="0"/>
      <w:marTop w:val="180"/>
      <w:marBottom w:val="180"/>
      <w:divBdr>
        <w:top w:val="none" w:sz="0" w:space="0" w:color="auto"/>
        <w:left w:val="none" w:sz="0" w:space="0" w:color="auto"/>
        <w:bottom w:val="none" w:sz="0" w:space="0" w:color="auto"/>
        <w:right w:val="none" w:sz="0" w:space="0" w:color="auto"/>
      </w:divBdr>
    </w:div>
    <w:div w:id="151876614">
      <w:marLeft w:val="0"/>
      <w:marRight w:val="0"/>
      <w:marTop w:val="0"/>
      <w:marBottom w:val="240"/>
      <w:divBdr>
        <w:top w:val="none" w:sz="0" w:space="0" w:color="auto"/>
        <w:left w:val="none" w:sz="0" w:space="0" w:color="auto"/>
        <w:bottom w:val="none" w:sz="0" w:space="0" w:color="auto"/>
        <w:right w:val="none" w:sz="0" w:space="0" w:color="auto"/>
      </w:divBdr>
    </w:div>
    <w:div w:id="154029703">
      <w:marLeft w:val="0"/>
      <w:marRight w:val="0"/>
      <w:marTop w:val="0"/>
      <w:marBottom w:val="180"/>
      <w:divBdr>
        <w:top w:val="none" w:sz="0" w:space="0" w:color="auto"/>
        <w:left w:val="none" w:sz="0" w:space="0" w:color="auto"/>
        <w:bottom w:val="none" w:sz="0" w:space="0" w:color="auto"/>
        <w:right w:val="none" w:sz="0" w:space="0" w:color="auto"/>
      </w:divBdr>
    </w:div>
    <w:div w:id="154030250">
      <w:marLeft w:val="0"/>
      <w:marRight w:val="0"/>
      <w:marTop w:val="0"/>
      <w:marBottom w:val="240"/>
      <w:divBdr>
        <w:top w:val="none" w:sz="0" w:space="0" w:color="auto"/>
        <w:left w:val="none" w:sz="0" w:space="0" w:color="auto"/>
        <w:bottom w:val="none" w:sz="0" w:space="0" w:color="auto"/>
        <w:right w:val="none" w:sz="0" w:space="0" w:color="auto"/>
      </w:divBdr>
    </w:div>
    <w:div w:id="158159948">
      <w:marLeft w:val="0"/>
      <w:marRight w:val="0"/>
      <w:marTop w:val="180"/>
      <w:marBottom w:val="180"/>
      <w:divBdr>
        <w:top w:val="none" w:sz="0" w:space="0" w:color="auto"/>
        <w:left w:val="none" w:sz="0" w:space="0" w:color="auto"/>
        <w:bottom w:val="none" w:sz="0" w:space="0" w:color="auto"/>
        <w:right w:val="none" w:sz="0" w:space="0" w:color="auto"/>
      </w:divBdr>
    </w:div>
    <w:div w:id="159539808">
      <w:marLeft w:val="0"/>
      <w:marRight w:val="0"/>
      <w:marTop w:val="0"/>
      <w:marBottom w:val="0"/>
      <w:divBdr>
        <w:top w:val="none" w:sz="0" w:space="0" w:color="auto"/>
        <w:left w:val="none" w:sz="0" w:space="0" w:color="auto"/>
        <w:bottom w:val="none" w:sz="0" w:space="0" w:color="auto"/>
        <w:right w:val="none" w:sz="0" w:space="0" w:color="auto"/>
      </w:divBdr>
      <w:divsChild>
        <w:div w:id="280306951">
          <w:marLeft w:val="0"/>
          <w:marRight w:val="0"/>
          <w:marTop w:val="0"/>
          <w:marBottom w:val="0"/>
          <w:divBdr>
            <w:top w:val="none" w:sz="0" w:space="0" w:color="auto"/>
            <w:left w:val="none" w:sz="0" w:space="0" w:color="auto"/>
            <w:bottom w:val="none" w:sz="0" w:space="0" w:color="auto"/>
            <w:right w:val="none" w:sz="0" w:space="0" w:color="auto"/>
          </w:divBdr>
        </w:div>
      </w:divsChild>
    </w:div>
    <w:div w:id="159855562">
      <w:marLeft w:val="0"/>
      <w:marRight w:val="0"/>
      <w:marTop w:val="0"/>
      <w:marBottom w:val="0"/>
      <w:divBdr>
        <w:top w:val="none" w:sz="0" w:space="0" w:color="auto"/>
        <w:left w:val="none" w:sz="0" w:space="0" w:color="auto"/>
        <w:bottom w:val="none" w:sz="0" w:space="0" w:color="auto"/>
        <w:right w:val="none" w:sz="0" w:space="0" w:color="auto"/>
      </w:divBdr>
    </w:div>
    <w:div w:id="161819354">
      <w:marLeft w:val="0"/>
      <w:marRight w:val="0"/>
      <w:marTop w:val="0"/>
      <w:marBottom w:val="240"/>
      <w:divBdr>
        <w:top w:val="none" w:sz="0" w:space="0" w:color="auto"/>
        <w:left w:val="none" w:sz="0" w:space="0" w:color="auto"/>
        <w:bottom w:val="none" w:sz="0" w:space="0" w:color="auto"/>
        <w:right w:val="none" w:sz="0" w:space="0" w:color="auto"/>
      </w:divBdr>
    </w:div>
    <w:div w:id="162161006">
      <w:marLeft w:val="0"/>
      <w:marRight w:val="0"/>
      <w:marTop w:val="0"/>
      <w:marBottom w:val="0"/>
      <w:divBdr>
        <w:top w:val="none" w:sz="0" w:space="0" w:color="auto"/>
        <w:left w:val="none" w:sz="0" w:space="0" w:color="auto"/>
        <w:bottom w:val="none" w:sz="0" w:space="0" w:color="auto"/>
        <w:right w:val="none" w:sz="0" w:space="0" w:color="auto"/>
      </w:divBdr>
      <w:divsChild>
        <w:div w:id="1593470607">
          <w:marLeft w:val="0"/>
          <w:marRight w:val="0"/>
          <w:marTop w:val="0"/>
          <w:marBottom w:val="0"/>
          <w:divBdr>
            <w:top w:val="none" w:sz="0" w:space="0" w:color="auto"/>
            <w:left w:val="none" w:sz="0" w:space="0" w:color="auto"/>
            <w:bottom w:val="none" w:sz="0" w:space="0" w:color="auto"/>
            <w:right w:val="none" w:sz="0" w:space="0" w:color="auto"/>
          </w:divBdr>
        </w:div>
      </w:divsChild>
    </w:div>
    <w:div w:id="162206318">
      <w:marLeft w:val="0"/>
      <w:marRight w:val="0"/>
      <w:marTop w:val="0"/>
      <w:marBottom w:val="180"/>
      <w:divBdr>
        <w:top w:val="none" w:sz="0" w:space="0" w:color="auto"/>
        <w:left w:val="none" w:sz="0" w:space="0" w:color="auto"/>
        <w:bottom w:val="none" w:sz="0" w:space="0" w:color="auto"/>
        <w:right w:val="none" w:sz="0" w:space="0" w:color="auto"/>
      </w:divBdr>
    </w:div>
    <w:div w:id="163279607">
      <w:marLeft w:val="0"/>
      <w:marRight w:val="0"/>
      <w:marTop w:val="0"/>
      <w:marBottom w:val="180"/>
      <w:divBdr>
        <w:top w:val="none" w:sz="0" w:space="0" w:color="auto"/>
        <w:left w:val="none" w:sz="0" w:space="0" w:color="auto"/>
        <w:bottom w:val="none" w:sz="0" w:space="0" w:color="auto"/>
        <w:right w:val="none" w:sz="0" w:space="0" w:color="auto"/>
      </w:divBdr>
    </w:div>
    <w:div w:id="166093033">
      <w:marLeft w:val="0"/>
      <w:marRight w:val="0"/>
      <w:marTop w:val="0"/>
      <w:marBottom w:val="120"/>
      <w:divBdr>
        <w:top w:val="none" w:sz="0" w:space="0" w:color="auto"/>
        <w:left w:val="none" w:sz="0" w:space="0" w:color="auto"/>
        <w:bottom w:val="none" w:sz="0" w:space="0" w:color="auto"/>
        <w:right w:val="none" w:sz="0" w:space="0" w:color="auto"/>
      </w:divBdr>
    </w:div>
    <w:div w:id="171452484">
      <w:marLeft w:val="0"/>
      <w:marRight w:val="0"/>
      <w:marTop w:val="0"/>
      <w:marBottom w:val="0"/>
      <w:divBdr>
        <w:top w:val="none" w:sz="0" w:space="0" w:color="auto"/>
        <w:left w:val="none" w:sz="0" w:space="0" w:color="auto"/>
        <w:bottom w:val="none" w:sz="0" w:space="0" w:color="auto"/>
        <w:right w:val="none" w:sz="0" w:space="0" w:color="auto"/>
      </w:divBdr>
    </w:div>
    <w:div w:id="172457741">
      <w:marLeft w:val="0"/>
      <w:marRight w:val="0"/>
      <w:marTop w:val="0"/>
      <w:marBottom w:val="0"/>
      <w:divBdr>
        <w:top w:val="none" w:sz="0" w:space="0" w:color="auto"/>
        <w:left w:val="none" w:sz="0" w:space="0" w:color="auto"/>
        <w:bottom w:val="none" w:sz="0" w:space="0" w:color="auto"/>
        <w:right w:val="none" w:sz="0" w:space="0" w:color="auto"/>
      </w:divBdr>
      <w:divsChild>
        <w:div w:id="700083992">
          <w:marLeft w:val="0"/>
          <w:marRight w:val="0"/>
          <w:marTop w:val="0"/>
          <w:marBottom w:val="0"/>
          <w:divBdr>
            <w:top w:val="none" w:sz="0" w:space="0" w:color="auto"/>
            <w:left w:val="none" w:sz="0" w:space="0" w:color="auto"/>
            <w:bottom w:val="none" w:sz="0" w:space="0" w:color="auto"/>
            <w:right w:val="none" w:sz="0" w:space="0" w:color="auto"/>
          </w:divBdr>
        </w:div>
      </w:divsChild>
    </w:div>
    <w:div w:id="172884528">
      <w:marLeft w:val="0"/>
      <w:marRight w:val="0"/>
      <w:marTop w:val="120"/>
      <w:marBottom w:val="240"/>
      <w:divBdr>
        <w:top w:val="none" w:sz="0" w:space="0" w:color="auto"/>
        <w:left w:val="none" w:sz="0" w:space="0" w:color="auto"/>
        <w:bottom w:val="none" w:sz="0" w:space="0" w:color="auto"/>
        <w:right w:val="none" w:sz="0" w:space="0" w:color="auto"/>
      </w:divBdr>
    </w:div>
    <w:div w:id="173157619">
      <w:marLeft w:val="0"/>
      <w:marRight w:val="0"/>
      <w:marTop w:val="120"/>
      <w:marBottom w:val="180"/>
      <w:divBdr>
        <w:top w:val="none" w:sz="0" w:space="0" w:color="auto"/>
        <w:left w:val="none" w:sz="0" w:space="0" w:color="auto"/>
        <w:bottom w:val="none" w:sz="0" w:space="0" w:color="auto"/>
        <w:right w:val="none" w:sz="0" w:space="0" w:color="auto"/>
      </w:divBdr>
    </w:div>
    <w:div w:id="173960270">
      <w:marLeft w:val="0"/>
      <w:marRight w:val="0"/>
      <w:marTop w:val="120"/>
      <w:marBottom w:val="240"/>
      <w:divBdr>
        <w:top w:val="none" w:sz="0" w:space="0" w:color="auto"/>
        <w:left w:val="none" w:sz="0" w:space="0" w:color="auto"/>
        <w:bottom w:val="none" w:sz="0" w:space="0" w:color="auto"/>
        <w:right w:val="none" w:sz="0" w:space="0" w:color="auto"/>
      </w:divBdr>
    </w:div>
    <w:div w:id="177500485">
      <w:marLeft w:val="0"/>
      <w:marRight w:val="0"/>
      <w:marTop w:val="0"/>
      <w:marBottom w:val="240"/>
      <w:divBdr>
        <w:top w:val="none" w:sz="0" w:space="0" w:color="auto"/>
        <w:left w:val="none" w:sz="0" w:space="0" w:color="auto"/>
        <w:bottom w:val="none" w:sz="0" w:space="0" w:color="auto"/>
        <w:right w:val="none" w:sz="0" w:space="0" w:color="auto"/>
      </w:divBdr>
    </w:div>
    <w:div w:id="177813839">
      <w:marLeft w:val="0"/>
      <w:marRight w:val="0"/>
      <w:marTop w:val="120"/>
      <w:marBottom w:val="120"/>
      <w:divBdr>
        <w:top w:val="none" w:sz="0" w:space="0" w:color="auto"/>
        <w:left w:val="none" w:sz="0" w:space="0" w:color="auto"/>
        <w:bottom w:val="none" w:sz="0" w:space="0" w:color="auto"/>
        <w:right w:val="none" w:sz="0" w:space="0" w:color="auto"/>
      </w:divBdr>
    </w:div>
    <w:div w:id="178011984">
      <w:marLeft w:val="0"/>
      <w:marRight w:val="0"/>
      <w:marTop w:val="100"/>
      <w:marBottom w:val="100"/>
      <w:divBdr>
        <w:top w:val="none" w:sz="0" w:space="0" w:color="auto"/>
        <w:left w:val="none" w:sz="0" w:space="0" w:color="auto"/>
        <w:bottom w:val="none" w:sz="0" w:space="0" w:color="auto"/>
        <w:right w:val="none" w:sz="0" w:space="0" w:color="auto"/>
      </w:divBdr>
    </w:div>
    <w:div w:id="180242559">
      <w:marLeft w:val="0"/>
      <w:marRight w:val="0"/>
      <w:marTop w:val="100"/>
      <w:marBottom w:val="100"/>
      <w:divBdr>
        <w:top w:val="none" w:sz="0" w:space="0" w:color="auto"/>
        <w:left w:val="none" w:sz="0" w:space="0" w:color="auto"/>
        <w:bottom w:val="none" w:sz="0" w:space="0" w:color="auto"/>
        <w:right w:val="none" w:sz="0" w:space="0" w:color="auto"/>
      </w:divBdr>
    </w:div>
    <w:div w:id="181212121">
      <w:marLeft w:val="0"/>
      <w:marRight w:val="0"/>
      <w:marTop w:val="0"/>
      <w:marBottom w:val="180"/>
      <w:divBdr>
        <w:top w:val="none" w:sz="0" w:space="0" w:color="auto"/>
        <w:left w:val="none" w:sz="0" w:space="0" w:color="auto"/>
        <w:bottom w:val="none" w:sz="0" w:space="0" w:color="auto"/>
        <w:right w:val="none" w:sz="0" w:space="0" w:color="auto"/>
      </w:divBdr>
    </w:div>
    <w:div w:id="182280587">
      <w:marLeft w:val="0"/>
      <w:marRight w:val="0"/>
      <w:marTop w:val="0"/>
      <w:marBottom w:val="0"/>
      <w:divBdr>
        <w:top w:val="none" w:sz="0" w:space="0" w:color="auto"/>
        <w:left w:val="none" w:sz="0" w:space="0" w:color="auto"/>
        <w:bottom w:val="none" w:sz="0" w:space="0" w:color="auto"/>
        <w:right w:val="none" w:sz="0" w:space="0" w:color="auto"/>
      </w:divBdr>
    </w:div>
    <w:div w:id="182671272">
      <w:marLeft w:val="0"/>
      <w:marRight w:val="0"/>
      <w:marTop w:val="0"/>
      <w:marBottom w:val="240"/>
      <w:divBdr>
        <w:top w:val="none" w:sz="0" w:space="0" w:color="auto"/>
        <w:left w:val="none" w:sz="0" w:space="0" w:color="auto"/>
        <w:bottom w:val="none" w:sz="0" w:space="0" w:color="auto"/>
        <w:right w:val="none" w:sz="0" w:space="0" w:color="auto"/>
      </w:divBdr>
    </w:div>
    <w:div w:id="183255064">
      <w:marLeft w:val="0"/>
      <w:marRight w:val="0"/>
      <w:marTop w:val="0"/>
      <w:marBottom w:val="0"/>
      <w:divBdr>
        <w:top w:val="none" w:sz="0" w:space="0" w:color="auto"/>
        <w:left w:val="none" w:sz="0" w:space="0" w:color="auto"/>
        <w:bottom w:val="none" w:sz="0" w:space="0" w:color="auto"/>
        <w:right w:val="none" w:sz="0" w:space="0" w:color="auto"/>
      </w:divBdr>
    </w:div>
    <w:div w:id="184288896">
      <w:marLeft w:val="0"/>
      <w:marRight w:val="0"/>
      <w:marTop w:val="0"/>
      <w:marBottom w:val="0"/>
      <w:divBdr>
        <w:top w:val="none" w:sz="0" w:space="0" w:color="auto"/>
        <w:left w:val="none" w:sz="0" w:space="0" w:color="auto"/>
        <w:bottom w:val="none" w:sz="0" w:space="0" w:color="auto"/>
        <w:right w:val="none" w:sz="0" w:space="0" w:color="auto"/>
      </w:divBdr>
      <w:divsChild>
        <w:div w:id="1390422086">
          <w:marLeft w:val="0"/>
          <w:marRight w:val="0"/>
          <w:marTop w:val="0"/>
          <w:marBottom w:val="0"/>
          <w:divBdr>
            <w:top w:val="none" w:sz="0" w:space="0" w:color="auto"/>
            <w:left w:val="none" w:sz="0" w:space="0" w:color="auto"/>
            <w:bottom w:val="none" w:sz="0" w:space="0" w:color="auto"/>
            <w:right w:val="none" w:sz="0" w:space="0" w:color="auto"/>
          </w:divBdr>
        </w:div>
      </w:divsChild>
    </w:div>
    <w:div w:id="186523857">
      <w:marLeft w:val="0"/>
      <w:marRight w:val="0"/>
      <w:marTop w:val="240"/>
      <w:marBottom w:val="240"/>
      <w:divBdr>
        <w:top w:val="none" w:sz="0" w:space="0" w:color="auto"/>
        <w:left w:val="none" w:sz="0" w:space="0" w:color="auto"/>
        <w:bottom w:val="none" w:sz="0" w:space="0" w:color="auto"/>
        <w:right w:val="none" w:sz="0" w:space="0" w:color="auto"/>
      </w:divBdr>
    </w:div>
    <w:div w:id="187569327">
      <w:marLeft w:val="0"/>
      <w:marRight w:val="0"/>
      <w:marTop w:val="180"/>
      <w:marBottom w:val="180"/>
      <w:divBdr>
        <w:top w:val="none" w:sz="0" w:space="0" w:color="auto"/>
        <w:left w:val="none" w:sz="0" w:space="0" w:color="auto"/>
        <w:bottom w:val="none" w:sz="0" w:space="0" w:color="auto"/>
        <w:right w:val="none" w:sz="0" w:space="0" w:color="auto"/>
      </w:divBdr>
    </w:div>
    <w:div w:id="188106861">
      <w:marLeft w:val="0"/>
      <w:marRight w:val="0"/>
      <w:marTop w:val="0"/>
      <w:marBottom w:val="0"/>
      <w:divBdr>
        <w:top w:val="none" w:sz="0" w:space="0" w:color="auto"/>
        <w:left w:val="none" w:sz="0" w:space="0" w:color="auto"/>
        <w:bottom w:val="none" w:sz="0" w:space="0" w:color="auto"/>
        <w:right w:val="none" w:sz="0" w:space="0" w:color="auto"/>
      </w:divBdr>
    </w:div>
    <w:div w:id="188762766">
      <w:marLeft w:val="0"/>
      <w:marRight w:val="0"/>
      <w:marTop w:val="0"/>
      <w:marBottom w:val="0"/>
      <w:divBdr>
        <w:top w:val="none" w:sz="0" w:space="0" w:color="auto"/>
        <w:left w:val="none" w:sz="0" w:space="0" w:color="auto"/>
        <w:bottom w:val="none" w:sz="0" w:space="0" w:color="auto"/>
        <w:right w:val="none" w:sz="0" w:space="0" w:color="auto"/>
      </w:divBdr>
      <w:divsChild>
        <w:div w:id="174809128">
          <w:marLeft w:val="0"/>
          <w:marRight w:val="0"/>
          <w:marTop w:val="0"/>
          <w:marBottom w:val="0"/>
          <w:divBdr>
            <w:top w:val="none" w:sz="0" w:space="0" w:color="auto"/>
            <w:left w:val="none" w:sz="0" w:space="0" w:color="auto"/>
            <w:bottom w:val="none" w:sz="0" w:space="0" w:color="auto"/>
            <w:right w:val="none" w:sz="0" w:space="0" w:color="auto"/>
          </w:divBdr>
        </w:div>
      </w:divsChild>
    </w:div>
    <w:div w:id="192232644">
      <w:marLeft w:val="0"/>
      <w:marRight w:val="0"/>
      <w:marTop w:val="0"/>
      <w:marBottom w:val="0"/>
      <w:divBdr>
        <w:top w:val="none" w:sz="0" w:space="0" w:color="auto"/>
        <w:left w:val="none" w:sz="0" w:space="0" w:color="auto"/>
        <w:bottom w:val="none" w:sz="0" w:space="0" w:color="auto"/>
        <w:right w:val="none" w:sz="0" w:space="0" w:color="auto"/>
      </w:divBdr>
      <w:divsChild>
        <w:div w:id="4674019">
          <w:marLeft w:val="0"/>
          <w:marRight w:val="0"/>
          <w:marTop w:val="0"/>
          <w:marBottom w:val="0"/>
          <w:divBdr>
            <w:top w:val="none" w:sz="0" w:space="0" w:color="auto"/>
            <w:left w:val="none" w:sz="0" w:space="0" w:color="auto"/>
            <w:bottom w:val="none" w:sz="0" w:space="0" w:color="auto"/>
            <w:right w:val="none" w:sz="0" w:space="0" w:color="auto"/>
          </w:divBdr>
        </w:div>
      </w:divsChild>
    </w:div>
    <w:div w:id="195967297">
      <w:marLeft w:val="0"/>
      <w:marRight w:val="0"/>
      <w:marTop w:val="0"/>
      <w:marBottom w:val="0"/>
      <w:divBdr>
        <w:top w:val="none" w:sz="0" w:space="0" w:color="auto"/>
        <w:left w:val="none" w:sz="0" w:space="0" w:color="auto"/>
        <w:bottom w:val="none" w:sz="0" w:space="0" w:color="auto"/>
        <w:right w:val="none" w:sz="0" w:space="0" w:color="auto"/>
      </w:divBdr>
      <w:divsChild>
        <w:div w:id="2003964179">
          <w:marLeft w:val="0"/>
          <w:marRight w:val="0"/>
          <w:marTop w:val="0"/>
          <w:marBottom w:val="0"/>
          <w:divBdr>
            <w:top w:val="none" w:sz="0" w:space="0" w:color="auto"/>
            <w:left w:val="none" w:sz="0" w:space="0" w:color="auto"/>
            <w:bottom w:val="none" w:sz="0" w:space="0" w:color="auto"/>
            <w:right w:val="none" w:sz="0" w:space="0" w:color="auto"/>
          </w:divBdr>
        </w:div>
      </w:divsChild>
    </w:div>
    <w:div w:id="196430777">
      <w:marLeft w:val="0"/>
      <w:marRight w:val="0"/>
      <w:marTop w:val="0"/>
      <w:marBottom w:val="240"/>
      <w:divBdr>
        <w:top w:val="none" w:sz="0" w:space="0" w:color="auto"/>
        <w:left w:val="none" w:sz="0" w:space="0" w:color="auto"/>
        <w:bottom w:val="none" w:sz="0" w:space="0" w:color="auto"/>
        <w:right w:val="none" w:sz="0" w:space="0" w:color="auto"/>
      </w:divBdr>
    </w:div>
    <w:div w:id="196936614">
      <w:marLeft w:val="0"/>
      <w:marRight w:val="0"/>
      <w:marTop w:val="120"/>
      <w:marBottom w:val="240"/>
      <w:divBdr>
        <w:top w:val="none" w:sz="0" w:space="0" w:color="auto"/>
        <w:left w:val="none" w:sz="0" w:space="0" w:color="auto"/>
        <w:bottom w:val="none" w:sz="0" w:space="0" w:color="auto"/>
        <w:right w:val="none" w:sz="0" w:space="0" w:color="auto"/>
      </w:divBdr>
    </w:div>
    <w:div w:id="201017736">
      <w:marLeft w:val="0"/>
      <w:marRight w:val="0"/>
      <w:marTop w:val="0"/>
      <w:marBottom w:val="0"/>
      <w:divBdr>
        <w:top w:val="none" w:sz="0" w:space="0" w:color="auto"/>
        <w:left w:val="none" w:sz="0" w:space="0" w:color="auto"/>
        <w:bottom w:val="none" w:sz="0" w:space="0" w:color="auto"/>
        <w:right w:val="none" w:sz="0" w:space="0" w:color="auto"/>
      </w:divBdr>
    </w:div>
    <w:div w:id="201283958">
      <w:marLeft w:val="0"/>
      <w:marRight w:val="0"/>
      <w:marTop w:val="0"/>
      <w:marBottom w:val="180"/>
      <w:divBdr>
        <w:top w:val="none" w:sz="0" w:space="0" w:color="auto"/>
        <w:left w:val="none" w:sz="0" w:space="0" w:color="auto"/>
        <w:bottom w:val="none" w:sz="0" w:space="0" w:color="auto"/>
        <w:right w:val="none" w:sz="0" w:space="0" w:color="auto"/>
      </w:divBdr>
    </w:div>
    <w:div w:id="204027762">
      <w:marLeft w:val="0"/>
      <w:marRight w:val="0"/>
      <w:marTop w:val="0"/>
      <w:marBottom w:val="0"/>
      <w:divBdr>
        <w:top w:val="none" w:sz="0" w:space="0" w:color="auto"/>
        <w:left w:val="none" w:sz="0" w:space="0" w:color="auto"/>
        <w:bottom w:val="none" w:sz="0" w:space="0" w:color="auto"/>
        <w:right w:val="none" w:sz="0" w:space="0" w:color="auto"/>
      </w:divBdr>
      <w:divsChild>
        <w:div w:id="322438648">
          <w:marLeft w:val="0"/>
          <w:marRight w:val="0"/>
          <w:marTop w:val="0"/>
          <w:marBottom w:val="0"/>
          <w:divBdr>
            <w:top w:val="none" w:sz="0" w:space="0" w:color="auto"/>
            <w:left w:val="none" w:sz="0" w:space="0" w:color="auto"/>
            <w:bottom w:val="none" w:sz="0" w:space="0" w:color="auto"/>
            <w:right w:val="none" w:sz="0" w:space="0" w:color="auto"/>
          </w:divBdr>
        </w:div>
      </w:divsChild>
    </w:div>
    <w:div w:id="205259548">
      <w:marLeft w:val="0"/>
      <w:marRight w:val="0"/>
      <w:marTop w:val="0"/>
      <w:marBottom w:val="240"/>
      <w:divBdr>
        <w:top w:val="none" w:sz="0" w:space="0" w:color="auto"/>
        <w:left w:val="none" w:sz="0" w:space="0" w:color="auto"/>
        <w:bottom w:val="none" w:sz="0" w:space="0" w:color="auto"/>
        <w:right w:val="none" w:sz="0" w:space="0" w:color="auto"/>
      </w:divBdr>
    </w:div>
    <w:div w:id="207687879">
      <w:marLeft w:val="0"/>
      <w:marRight w:val="0"/>
      <w:marTop w:val="0"/>
      <w:marBottom w:val="180"/>
      <w:divBdr>
        <w:top w:val="none" w:sz="0" w:space="0" w:color="auto"/>
        <w:left w:val="none" w:sz="0" w:space="0" w:color="auto"/>
        <w:bottom w:val="none" w:sz="0" w:space="0" w:color="auto"/>
        <w:right w:val="none" w:sz="0" w:space="0" w:color="auto"/>
      </w:divBdr>
    </w:div>
    <w:div w:id="208615144">
      <w:marLeft w:val="0"/>
      <w:marRight w:val="0"/>
      <w:marTop w:val="0"/>
      <w:marBottom w:val="0"/>
      <w:divBdr>
        <w:top w:val="none" w:sz="0" w:space="0" w:color="auto"/>
        <w:left w:val="none" w:sz="0" w:space="0" w:color="auto"/>
        <w:bottom w:val="none" w:sz="0" w:space="0" w:color="auto"/>
        <w:right w:val="none" w:sz="0" w:space="0" w:color="auto"/>
      </w:divBdr>
    </w:div>
    <w:div w:id="212084845">
      <w:marLeft w:val="0"/>
      <w:marRight w:val="0"/>
      <w:marTop w:val="0"/>
      <w:marBottom w:val="0"/>
      <w:divBdr>
        <w:top w:val="none" w:sz="0" w:space="0" w:color="auto"/>
        <w:left w:val="none" w:sz="0" w:space="0" w:color="auto"/>
        <w:bottom w:val="none" w:sz="0" w:space="0" w:color="auto"/>
        <w:right w:val="none" w:sz="0" w:space="0" w:color="auto"/>
      </w:divBdr>
    </w:div>
    <w:div w:id="213126651">
      <w:marLeft w:val="0"/>
      <w:marRight w:val="0"/>
      <w:marTop w:val="0"/>
      <w:marBottom w:val="240"/>
      <w:divBdr>
        <w:top w:val="none" w:sz="0" w:space="0" w:color="auto"/>
        <w:left w:val="none" w:sz="0" w:space="0" w:color="auto"/>
        <w:bottom w:val="none" w:sz="0" w:space="0" w:color="auto"/>
        <w:right w:val="none" w:sz="0" w:space="0" w:color="auto"/>
      </w:divBdr>
    </w:div>
    <w:div w:id="215433667">
      <w:marLeft w:val="0"/>
      <w:marRight w:val="0"/>
      <w:marTop w:val="0"/>
      <w:marBottom w:val="240"/>
      <w:divBdr>
        <w:top w:val="none" w:sz="0" w:space="0" w:color="auto"/>
        <w:left w:val="none" w:sz="0" w:space="0" w:color="auto"/>
        <w:bottom w:val="none" w:sz="0" w:space="0" w:color="auto"/>
        <w:right w:val="none" w:sz="0" w:space="0" w:color="auto"/>
      </w:divBdr>
    </w:div>
    <w:div w:id="215699125">
      <w:marLeft w:val="0"/>
      <w:marRight w:val="0"/>
      <w:marTop w:val="180"/>
      <w:marBottom w:val="180"/>
      <w:divBdr>
        <w:top w:val="none" w:sz="0" w:space="0" w:color="auto"/>
        <w:left w:val="none" w:sz="0" w:space="0" w:color="auto"/>
        <w:bottom w:val="none" w:sz="0" w:space="0" w:color="auto"/>
        <w:right w:val="none" w:sz="0" w:space="0" w:color="auto"/>
      </w:divBdr>
    </w:div>
    <w:div w:id="216206761">
      <w:marLeft w:val="0"/>
      <w:marRight w:val="0"/>
      <w:marTop w:val="120"/>
      <w:marBottom w:val="120"/>
      <w:divBdr>
        <w:top w:val="none" w:sz="0" w:space="0" w:color="auto"/>
        <w:left w:val="none" w:sz="0" w:space="0" w:color="auto"/>
        <w:bottom w:val="none" w:sz="0" w:space="0" w:color="auto"/>
        <w:right w:val="none" w:sz="0" w:space="0" w:color="auto"/>
      </w:divBdr>
    </w:div>
    <w:div w:id="216285355">
      <w:marLeft w:val="0"/>
      <w:marRight w:val="0"/>
      <w:marTop w:val="0"/>
      <w:marBottom w:val="180"/>
      <w:divBdr>
        <w:top w:val="none" w:sz="0" w:space="0" w:color="auto"/>
        <w:left w:val="none" w:sz="0" w:space="0" w:color="auto"/>
        <w:bottom w:val="none" w:sz="0" w:space="0" w:color="auto"/>
        <w:right w:val="none" w:sz="0" w:space="0" w:color="auto"/>
      </w:divBdr>
    </w:div>
    <w:div w:id="218323746">
      <w:marLeft w:val="0"/>
      <w:marRight w:val="0"/>
      <w:marTop w:val="360"/>
      <w:marBottom w:val="240"/>
      <w:divBdr>
        <w:top w:val="none" w:sz="0" w:space="0" w:color="auto"/>
        <w:left w:val="none" w:sz="0" w:space="0" w:color="auto"/>
        <w:bottom w:val="none" w:sz="0" w:space="0" w:color="auto"/>
        <w:right w:val="none" w:sz="0" w:space="0" w:color="auto"/>
      </w:divBdr>
    </w:div>
    <w:div w:id="220410128">
      <w:marLeft w:val="0"/>
      <w:marRight w:val="0"/>
      <w:marTop w:val="0"/>
      <w:marBottom w:val="0"/>
      <w:divBdr>
        <w:top w:val="none" w:sz="0" w:space="0" w:color="auto"/>
        <w:left w:val="none" w:sz="0" w:space="0" w:color="auto"/>
        <w:bottom w:val="none" w:sz="0" w:space="0" w:color="auto"/>
        <w:right w:val="none" w:sz="0" w:space="0" w:color="auto"/>
      </w:divBdr>
      <w:divsChild>
        <w:div w:id="54935964">
          <w:marLeft w:val="0"/>
          <w:marRight w:val="0"/>
          <w:marTop w:val="0"/>
          <w:marBottom w:val="0"/>
          <w:divBdr>
            <w:top w:val="none" w:sz="0" w:space="0" w:color="auto"/>
            <w:left w:val="none" w:sz="0" w:space="0" w:color="auto"/>
            <w:bottom w:val="none" w:sz="0" w:space="0" w:color="auto"/>
            <w:right w:val="none" w:sz="0" w:space="0" w:color="auto"/>
          </w:divBdr>
        </w:div>
      </w:divsChild>
    </w:div>
    <w:div w:id="220412847">
      <w:marLeft w:val="0"/>
      <w:marRight w:val="0"/>
      <w:marTop w:val="120"/>
      <w:marBottom w:val="120"/>
      <w:divBdr>
        <w:top w:val="none" w:sz="0" w:space="0" w:color="auto"/>
        <w:left w:val="none" w:sz="0" w:space="0" w:color="auto"/>
        <w:bottom w:val="none" w:sz="0" w:space="0" w:color="auto"/>
        <w:right w:val="none" w:sz="0" w:space="0" w:color="auto"/>
      </w:divBdr>
    </w:div>
    <w:div w:id="221721019">
      <w:marLeft w:val="0"/>
      <w:marRight w:val="0"/>
      <w:marTop w:val="0"/>
      <w:marBottom w:val="0"/>
      <w:divBdr>
        <w:top w:val="none" w:sz="0" w:space="0" w:color="auto"/>
        <w:left w:val="none" w:sz="0" w:space="0" w:color="auto"/>
        <w:bottom w:val="none" w:sz="0" w:space="0" w:color="auto"/>
        <w:right w:val="none" w:sz="0" w:space="0" w:color="auto"/>
      </w:divBdr>
      <w:divsChild>
        <w:div w:id="75438592">
          <w:marLeft w:val="0"/>
          <w:marRight w:val="0"/>
          <w:marTop w:val="0"/>
          <w:marBottom w:val="0"/>
          <w:divBdr>
            <w:top w:val="none" w:sz="0" w:space="0" w:color="auto"/>
            <w:left w:val="none" w:sz="0" w:space="0" w:color="auto"/>
            <w:bottom w:val="none" w:sz="0" w:space="0" w:color="auto"/>
            <w:right w:val="none" w:sz="0" w:space="0" w:color="auto"/>
          </w:divBdr>
        </w:div>
      </w:divsChild>
    </w:div>
    <w:div w:id="222255991">
      <w:marLeft w:val="0"/>
      <w:marRight w:val="0"/>
      <w:marTop w:val="0"/>
      <w:marBottom w:val="0"/>
      <w:divBdr>
        <w:top w:val="none" w:sz="0" w:space="0" w:color="auto"/>
        <w:left w:val="none" w:sz="0" w:space="0" w:color="auto"/>
        <w:bottom w:val="none" w:sz="0" w:space="0" w:color="auto"/>
        <w:right w:val="none" w:sz="0" w:space="0" w:color="auto"/>
      </w:divBdr>
      <w:divsChild>
        <w:div w:id="1107384396">
          <w:marLeft w:val="0"/>
          <w:marRight w:val="0"/>
          <w:marTop w:val="0"/>
          <w:marBottom w:val="0"/>
          <w:divBdr>
            <w:top w:val="none" w:sz="0" w:space="0" w:color="auto"/>
            <w:left w:val="none" w:sz="0" w:space="0" w:color="auto"/>
            <w:bottom w:val="none" w:sz="0" w:space="0" w:color="auto"/>
            <w:right w:val="none" w:sz="0" w:space="0" w:color="auto"/>
          </w:divBdr>
        </w:div>
      </w:divsChild>
    </w:div>
    <w:div w:id="223302834">
      <w:marLeft w:val="0"/>
      <w:marRight w:val="0"/>
      <w:marTop w:val="240"/>
      <w:marBottom w:val="240"/>
      <w:divBdr>
        <w:top w:val="none" w:sz="0" w:space="0" w:color="auto"/>
        <w:left w:val="none" w:sz="0" w:space="0" w:color="auto"/>
        <w:bottom w:val="none" w:sz="0" w:space="0" w:color="auto"/>
        <w:right w:val="none" w:sz="0" w:space="0" w:color="auto"/>
      </w:divBdr>
    </w:div>
    <w:div w:id="224266695">
      <w:marLeft w:val="0"/>
      <w:marRight w:val="0"/>
      <w:marTop w:val="180"/>
      <w:marBottom w:val="180"/>
      <w:divBdr>
        <w:top w:val="none" w:sz="0" w:space="0" w:color="auto"/>
        <w:left w:val="none" w:sz="0" w:space="0" w:color="auto"/>
        <w:bottom w:val="none" w:sz="0" w:space="0" w:color="auto"/>
        <w:right w:val="none" w:sz="0" w:space="0" w:color="auto"/>
      </w:divBdr>
    </w:div>
    <w:div w:id="225143869">
      <w:marLeft w:val="0"/>
      <w:marRight w:val="0"/>
      <w:marTop w:val="0"/>
      <w:marBottom w:val="240"/>
      <w:divBdr>
        <w:top w:val="none" w:sz="0" w:space="0" w:color="auto"/>
        <w:left w:val="none" w:sz="0" w:space="0" w:color="auto"/>
        <w:bottom w:val="none" w:sz="0" w:space="0" w:color="auto"/>
        <w:right w:val="none" w:sz="0" w:space="0" w:color="auto"/>
      </w:divBdr>
    </w:div>
    <w:div w:id="227150257">
      <w:marLeft w:val="0"/>
      <w:marRight w:val="0"/>
      <w:marTop w:val="0"/>
      <w:marBottom w:val="180"/>
      <w:divBdr>
        <w:top w:val="none" w:sz="0" w:space="0" w:color="auto"/>
        <w:left w:val="none" w:sz="0" w:space="0" w:color="auto"/>
        <w:bottom w:val="none" w:sz="0" w:space="0" w:color="auto"/>
        <w:right w:val="none" w:sz="0" w:space="0" w:color="auto"/>
      </w:divBdr>
    </w:div>
    <w:div w:id="228224070">
      <w:marLeft w:val="0"/>
      <w:marRight w:val="0"/>
      <w:marTop w:val="0"/>
      <w:marBottom w:val="0"/>
      <w:divBdr>
        <w:top w:val="none" w:sz="0" w:space="0" w:color="auto"/>
        <w:left w:val="none" w:sz="0" w:space="0" w:color="auto"/>
        <w:bottom w:val="none" w:sz="0" w:space="0" w:color="auto"/>
        <w:right w:val="none" w:sz="0" w:space="0" w:color="auto"/>
      </w:divBdr>
      <w:divsChild>
        <w:div w:id="742878019">
          <w:marLeft w:val="0"/>
          <w:marRight w:val="0"/>
          <w:marTop w:val="0"/>
          <w:marBottom w:val="0"/>
          <w:divBdr>
            <w:top w:val="none" w:sz="0" w:space="0" w:color="auto"/>
            <w:left w:val="none" w:sz="0" w:space="0" w:color="auto"/>
            <w:bottom w:val="none" w:sz="0" w:space="0" w:color="auto"/>
            <w:right w:val="none" w:sz="0" w:space="0" w:color="auto"/>
          </w:divBdr>
        </w:div>
      </w:divsChild>
    </w:div>
    <w:div w:id="228809336">
      <w:marLeft w:val="0"/>
      <w:marRight w:val="0"/>
      <w:marTop w:val="0"/>
      <w:marBottom w:val="0"/>
      <w:divBdr>
        <w:top w:val="none" w:sz="0" w:space="0" w:color="auto"/>
        <w:left w:val="none" w:sz="0" w:space="0" w:color="auto"/>
        <w:bottom w:val="none" w:sz="0" w:space="0" w:color="auto"/>
        <w:right w:val="none" w:sz="0" w:space="0" w:color="auto"/>
      </w:divBdr>
    </w:div>
    <w:div w:id="230115536">
      <w:marLeft w:val="0"/>
      <w:marRight w:val="0"/>
      <w:marTop w:val="100"/>
      <w:marBottom w:val="100"/>
      <w:divBdr>
        <w:top w:val="none" w:sz="0" w:space="0" w:color="auto"/>
        <w:left w:val="none" w:sz="0" w:space="0" w:color="auto"/>
        <w:bottom w:val="none" w:sz="0" w:space="0" w:color="auto"/>
        <w:right w:val="none" w:sz="0" w:space="0" w:color="auto"/>
      </w:divBdr>
    </w:div>
    <w:div w:id="230426382">
      <w:marLeft w:val="0"/>
      <w:marRight w:val="0"/>
      <w:marTop w:val="0"/>
      <w:marBottom w:val="0"/>
      <w:divBdr>
        <w:top w:val="none" w:sz="0" w:space="0" w:color="auto"/>
        <w:left w:val="none" w:sz="0" w:space="0" w:color="auto"/>
        <w:bottom w:val="none" w:sz="0" w:space="0" w:color="auto"/>
        <w:right w:val="none" w:sz="0" w:space="0" w:color="auto"/>
      </w:divBdr>
    </w:div>
    <w:div w:id="231433978">
      <w:marLeft w:val="0"/>
      <w:marRight w:val="0"/>
      <w:marTop w:val="120"/>
      <w:marBottom w:val="180"/>
      <w:divBdr>
        <w:top w:val="none" w:sz="0" w:space="0" w:color="auto"/>
        <w:left w:val="none" w:sz="0" w:space="0" w:color="auto"/>
        <w:bottom w:val="none" w:sz="0" w:space="0" w:color="auto"/>
        <w:right w:val="none" w:sz="0" w:space="0" w:color="auto"/>
      </w:divBdr>
    </w:div>
    <w:div w:id="233273724">
      <w:marLeft w:val="0"/>
      <w:marRight w:val="0"/>
      <w:marTop w:val="180"/>
      <w:marBottom w:val="180"/>
      <w:divBdr>
        <w:top w:val="none" w:sz="0" w:space="0" w:color="auto"/>
        <w:left w:val="none" w:sz="0" w:space="0" w:color="auto"/>
        <w:bottom w:val="none" w:sz="0" w:space="0" w:color="auto"/>
        <w:right w:val="none" w:sz="0" w:space="0" w:color="auto"/>
      </w:divBdr>
    </w:div>
    <w:div w:id="234517643">
      <w:marLeft w:val="0"/>
      <w:marRight w:val="0"/>
      <w:marTop w:val="120"/>
      <w:marBottom w:val="180"/>
      <w:divBdr>
        <w:top w:val="none" w:sz="0" w:space="0" w:color="auto"/>
        <w:left w:val="none" w:sz="0" w:space="0" w:color="auto"/>
        <w:bottom w:val="none" w:sz="0" w:space="0" w:color="auto"/>
        <w:right w:val="none" w:sz="0" w:space="0" w:color="auto"/>
      </w:divBdr>
    </w:div>
    <w:div w:id="234821805">
      <w:marLeft w:val="0"/>
      <w:marRight w:val="0"/>
      <w:marTop w:val="0"/>
      <w:marBottom w:val="0"/>
      <w:divBdr>
        <w:top w:val="none" w:sz="0" w:space="0" w:color="auto"/>
        <w:left w:val="none" w:sz="0" w:space="0" w:color="auto"/>
        <w:bottom w:val="none" w:sz="0" w:space="0" w:color="auto"/>
        <w:right w:val="none" w:sz="0" w:space="0" w:color="auto"/>
      </w:divBdr>
    </w:div>
    <w:div w:id="235559033">
      <w:marLeft w:val="0"/>
      <w:marRight w:val="0"/>
      <w:marTop w:val="120"/>
      <w:marBottom w:val="120"/>
      <w:divBdr>
        <w:top w:val="none" w:sz="0" w:space="0" w:color="auto"/>
        <w:left w:val="none" w:sz="0" w:space="0" w:color="auto"/>
        <w:bottom w:val="none" w:sz="0" w:space="0" w:color="auto"/>
        <w:right w:val="none" w:sz="0" w:space="0" w:color="auto"/>
      </w:divBdr>
    </w:div>
    <w:div w:id="236404669">
      <w:marLeft w:val="0"/>
      <w:marRight w:val="0"/>
      <w:marTop w:val="0"/>
      <w:marBottom w:val="240"/>
      <w:divBdr>
        <w:top w:val="none" w:sz="0" w:space="0" w:color="auto"/>
        <w:left w:val="none" w:sz="0" w:space="0" w:color="auto"/>
        <w:bottom w:val="none" w:sz="0" w:space="0" w:color="auto"/>
        <w:right w:val="none" w:sz="0" w:space="0" w:color="auto"/>
      </w:divBdr>
    </w:div>
    <w:div w:id="237255946">
      <w:marLeft w:val="0"/>
      <w:marRight w:val="0"/>
      <w:marTop w:val="0"/>
      <w:marBottom w:val="0"/>
      <w:divBdr>
        <w:top w:val="none" w:sz="0" w:space="0" w:color="auto"/>
        <w:left w:val="none" w:sz="0" w:space="0" w:color="auto"/>
        <w:bottom w:val="none" w:sz="0" w:space="0" w:color="auto"/>
        <w:right w:val="none" w:sz="0" w:space="0" w:color="auto"/>
      </w:divBdr>
    </w:div>
    <w:div w:id="237713746">
      <w:marLeft w:val="0"/>
      <w:marRight w:val="0"/>
      <w:marTop w:val="0"/>
      <w:marBottom w:val="240"/>
      <w:divBdr>
        <w:top w:val="none" w:sz="0" w:space="0" w:color="auto"/>
        <w:left w:val="none" w:sz="0" w:space="0" w:color="auto"/>
        <w:bottom w:val="none" w:sz="0" w:space="0" w:color="auto"/>
        <w:right w:val="none" w:sz="0" w:space="0" w:color="auto"/>
      </w:divBdr>
    </w:div>
    <w:div w:id="238176280">
      <w:marLeft w:val="0"/>
      <w:marRight w:val="0"/>
      <w:marTop w:val="120"/>
      <w:marBottom w:val="180"/>
      <w:divBdr>
        <w:top w:val="none" w:sz="0" w:space="0" w:color="auto"/>
        <w:left w:val="none" w:sz="0" w:space="0" w:color="auto"/>
        <w:bottom w:val="none" w:sz="0" w:space="0" w:color="auto"/>
        <w:right w:val="none" w:sz="0" w:space="0" w:color="auto"/>
      </w:divBdr>
    </w:div>
    <w:div w:id="239027933">
      <w:marLeft w:val="0"/>
      <w:marRight w:val="0"/>
      <w:marTop w:val="0"/>
      <w:marBottom w:val="0"/>
      <w:divBdr>
        <w:top w:val="none" w:sz="0" w:space="0" w:color="auto"/>
        <w:left w:val="none" w:sz="0" w:space="0" w:color="auto"/>
        <w:bottom w:val="none" w:sz="0" w:space="0" w:color="auto"/>
        <w:right w:val="none" w:sz="0" w:space="0" w:color="auto"/>
      </w:divBdr>
    </w:div>
    <w:div w:id="240913507">
      <w:marLeft w:val="0"/>
      <w:marRight w:val="0"/>
      <w:marTop w:val="0"/>
      <w:marBottom w:val="180"/>
      <w:divBdr>
        <w:top w:val="none" w:sz="0" w:space="0" w:color="auto"/>
        <w:left w:val="none" w:sz="0" w:space="0" w:color="auto"/>
        <w:bottom w:val="none" w:sz="0" w:space="0" w:color="auto"/>
        <w:right w:val="none" w:sz="0" w:space="0" w:color="auto"/>
      </w:divBdr>
    </w:div>
    <w:div w:id="241525404">
      <w:marLeft w:val="0"/>
      <w:marRight w:val="0"/>
      <w:marTop w:val="0"/>
      <w:marBottom w:val="0"/>
      <w:divBdr>
        <w:top w:val="none" w:sz="0" w:space="0" w:color="auto"/>
        <w:left w:val="none" w:sz="0" w:space="0" w:color="auto"/>
        <w:bottom w:val="none" w:sz="0" w:space="0" w:color="auto"/>
        <w:right w:val="none" w:sz="0" w:space="0" w:color="auto"/>
      </w:divBdr>
    </w:div>
    <w:div w:id="242110911">
      <w:marLeft w:val="0"/>
      <w:marRight w:val="0"/>
      <w:marTop w:val="120"/>
      <w:marBottom w:val="120"/>
      <w:divBdr>
        <w:top w:val="none" w:sz="0" w:space="0" w:color="auto"/>
        <w:left w:val="none" w:sz="0" w:space="0" w:color="auto"/>
        <w:bottom w:val="none" w:sz="0" w:space="0" w:color="auto"/>
        <w:right w:val="none" w:sz="0" w:space="0" w:color="auto"/>
      </w:divBdr>
    </w:div>
    <w:div w:id="242222267">
      <w:marLeft w:val="0"/>
      <w:marRight w:val="0"/>
      <w:marTop w:val="0"/>
      <w:marBottom w:val="240"/>
      <w:divBdr>
        <w:top w:val="none" w:sz="0" w:space="0" w:color="auto"/>
        <w:left w:val="none" w:sz="0" w:space="0" w:color="auto"/>
        <w:bottom w:val="none" w:sz="0" w:space="0" w:color="auto"/>
        <w:right w:val="none" w:sz="0" w:space="0" w:color="auto"/>
      </w:divBdr>
    </w:div>
    <w:div w:id="245724342">
      <w:marLeft w:val="0"/>
      <w:marRight w:val="0"/>
      <w:marTop w:val="100"/>
      <w:marBottom w:val="100"/>
      <w:divBdr>
        <w:top w:val="none" w:sz="0" w:space="0" w:color="auto"/>
        <w:left w:val="none" w:sz="0" w:space="0" w:color="auto"/>
        <w:bottom w:val="none" w:sz="0" w:space="0" w:color="auto"/>
        <w:right w:val="none" w:sz="0" w:space="0" w:color="auto"/>
      </w:divBdr>
    </w:div>
    <w:div w:id="249430442">
      <w:marLeft w:val="0"/>
      <w:marRight w:val="0"/>
      <w:marTop w:val="120"/>
      <w:marBottom w:val="120"/>
      <w:divBdr>
        <w:top w:val="none" w:sz="0" w:space="0" w:color="auto"/>
        <w:left w:val="none" w:sz="0" w:space="0" w:color="auto"/>
        <w:bottom w:val="none" w:sz="0" w:space="0" w:color="auto"/>
        <w:right w:val="none" w:sz="0" w:space="0" w:color="auto"/>
      </w:divBdr>
    </w:div>
    <w:div w:id="250088143">
      <w:marLeft w:val="0"/>
      <w:marRight w:val="0"/>
      <w:marTop w:val="0"/>
      <w:marBottom w:val="0"/>
      <w:divBdr>
        <w:top w:val="none" w:sz="0" w:space="0" w:color="auto"/>
        <w:left w:val="none" w:sz="0" w:space="0" w:color="auto"/>
        <w:bottom w:val="none" w:sz="0" w:space="0" w:color="auto"/>
        <w:right w:val="none" w:sz="0" w:space="0" w:color="auto"/>
      </w:divBdr>
    </w:div>
    <w:div w:id="250625966">
      <w:marLeft w:val="0"/>
      <w:marRight w:val="0"/>
      <w:marTop w:val="0"/>
      <w:marBottom w:val="180"/>
      <w:divBdr>
        <w:top w:val="none" w:sz="0" w:space="0" w:color="auto"/>
        <w:left w:val="none" w:sz="0" w:space="0" w:color="auto"/>
        <w:bottom w:val="none" w:sz="0" w:space="0" w:color="auto"/>
        <w:right w:val="none" w:sz="0" w:space="0" w:color="auto"/>
      </w:divBdr>
    </w:div>
    <w:div w:id="251360058">
      <w:marLeft w:val="0"/>
      <w:marRight w:val="0"/>
      <w:marTop w:val="0"/>
      <w:marBottom w:val="0"/>
      <w:divBdr>
        <w:top w:val="none" w:sz="0" w:space="0" w:color="auto"/>
        <w:left w:val="none" w:sz="0" w:space="0" w:color="auto"/>
        <w:bottom w:val="none" w:sz="0" w:space="0" w:color="auto"/>
        <w:right w:val="none" w:sz="0" w:space="0" w:color="auto"/>
      </w:divBdr>
    </w:div>
    <w:div w:id="251623636">
      <w:marLeft w:val="0"/>
      <w:marRight w:val="0"/>
      <w:marTop w:val="0"/>
      <w:marBottom w:val="0"/>
      <w:divBdr>
        <w:top w:val="none" w:sz="0" w:space="0" w:color="auto"/>
        <w:left w:val="none" w:sz="0" w:space="0" w:color="auto"/>
        <w:bottom w:val="none" w:sz="0" w:space="0" w:color="auto"/>
        <w:right w:val="none" w:sz="0" w:space="0" w:color="auto"/>
      </w:divBdr>
    </w:div>
    <w:div w:id="254286605">
      <w:marLeft w:val="0"/>
      <w:marRight w:val="0"/>
      <w:marTop w:val="180"/>
      <w:marBottom w:val="180"/>
      <w:divBdr>
        <w:top w:val="none" w:sz="0" w:space="0" w:color="auto"/>
        <w:left w:val="none" w:sz="0" w:space="0" w:color="auto"/>
        <w:bottom w:val="none" w:sz="0" w:space="0" w:color="auto"/>
        <w:right w:val="none" w:sz="0" w:space="0" w:color="auto"/>
      </w:divBdr>
    </w:div>
    <w:div w:id="256599907">
      <w:marLeft w:val="0"/>
      <w:marRight w:val="0"/>
      <w:marTop w:val="120"/>
      <w:marBottom w:val="240"/>
      <w:divBdr>
        <w:top w:val="none" w:sz="0" w:space="0" w:color="auto"/>
        <w:left w:val="none" w:sz="0" w:space="0" w:color="auto"/>
        <w:bottom w:val="none" w:sz="0" w:space="0" w:color="auto"/>
        <w:right w:val="none" w:sz="0" w:space="0" w:color="auto"/>
      </w:divBdr>
    </w:div>
    <w:div w:id="259066128">
      <w:marLeft w:val="0"/>
      <w:marRight w:val="0"/>
      <w:marTop w:val="0"/>
      <w:marBottom w:val="0"/>
      <w:divBdr>
        <w:top w:val="none" w:sz="0" w:space="0" w:color="auto"/>
        <w:left w:val="none" w:sz="0" w:space="0" w:color="auto"/>
        <w:bottom w:val="none" w:sz="0" w:space="0" w:color="auto"/>
        <w:right w:val="none" w:sz="0" w:space="0" w:color="auto"/>
      </w:divBdr>
      <w:divsChild>
        <w:div w:id="1594705021">
          <w:marLeft w:val="0"/>
          <w:marRight w:val="0"/>
          <w:marTop w:val="0"/>
          <w:marBottom w:val="0"/>
          <w:divBdr>
            <w:top w:val="none" w:sz="0" w:space="0" w:color="auto"/>
            <w:left w:val="none" w:sz="0" w:space="0" w:color="auto"/>
            <w:bottom w:val="none" w:sz="0" w:space="0" w:color="auto"/>
            <w:right w:val="none" w:sz="0" w:space="0" w:color="auto"/>
          </w:divBdr>
        </w:div>
      </w:divsChild>
    </w:div>
    <w:div w:id="260188376">
      <w:marLeft w:val="0"/>
      <w:marRight w:val="0"/>
      <w:marTop w:val="0"/>
      <w:marBottom w:val="0"/>
      <w:divBdr>
        <w:top w:val="none" w:sz="0" w:space="0" w:color="auto"/>
        <w:left w:val="none" w:sz="0" w:space="0" w:color="auto"/>
        <w:bottom w:val="none" w:sz="0" w:space="0" w:color="auto"/>
        <w:right w:val="none" w:sz="0" w:space="0" w:color="auto"/>
      </w:divBdr>
      <w:divsChild>
        <w:div w:id="498355125">
          <w:marLeft w:val="0"/>
          <w:marRight w:val="0"/>
          <w:marTop w:val="0"/>
          <w:marBottom w:val="0"/>
          <w:divBdr>
            <w:top w:val="none" w:sz="0" w:space="0" w:color="auto"/>
            <w:left w:val="none" w:sz="0" w:space="0" w:color="auto"/>
            <w:bottom w:val="none" w:sz="0" w:space="0" w:color="auto"/>
            <w:right w:val="none" w:sz="0" w:space="0" w:color="auto"/>
          </w:divBdr>
        </w:div>
      </w:divsChild>
    </w:div>
    <w:div w:id="261109970">
      <w:marLeft w:val="0"/>
      <w:marRight w:val="0"/>
      <w:marTop w:val="0"/>
      <w:marBottom w:val="0"/>
      <w:divBdr>
        <w:top w:val="none" w:sz="0" w:space="0" w:color="auto"/>
        <w:left w:val="none" w:sz="0" w:space="0" w:color="auto"/>
        <w:bottom w:val="none" w:sz="0" w:space="0" w:color="auto"/>
        <w:right w:val="none" w:sz="0" w:space="0" w:color="auto"/>
      </w:divBdr>
      <w:divsChild>
        <w:div w:id="1649284445">
          <w:marLeft w:val="0"/>
          <w:marRight w:val="0"/>
          <w:marTop w:val="0"/>
          <w:marBottom w:val="0"/>
          <w:divBdr>
            <w:top w:val="none" w:sz="0" w:space="0" w:color="auto"/>
            <w:left w:val="none" w:sz="0" w:space="0" w:color="auto"/>
            <w:bottom w:val="none" w:sz="0" w:space="0" w:color="auto"/>
            <w:right w:val="none" w:sz="0" w:space="0" w:color="auto"/>
          </w:divBdr>
        </w:div>
      </w:divsChild>
    </w:div>
    <w:div w:id="262806333">
      <w:marLeft w:val="0"/>
      <w:marRight w:val="0"/>
      <w:marTop w:val="180"/>
      <w:marBottom w:val="180"/>
      <w:divBdr>
        <w:top w:val="none" w:sz="0" w:space="0" w:color="auto"/>
        <w:left w:val="none" w:sz="0" w:space="0" w:color="auto"/>
        <w:bottom w:val="none" w:sz="0" w:space="0" w:color="auto"/>
        <w:right w:val="none" w:sz="0" w:space="0" w:color="auto"/>
      </w:divBdr>
    </w:div>
    <w:div w:id="263269647">
      <w:marLeft w:val="0"/>
      <w:marRight w:val="0"/>
      <w:marTop w:val="0"/>
      <w:marBottom w:val="0"/>
      <w:divBdr>
        <w:top w:val="none" w:sz="0" w:space="0" w:color="auto"/>
        <w:left w:val="none" w:sz="0" w:space="0" w:color="auto"/>
        <w:bottom w:val="none" w:sz="0" w:space="0" w:color="auto"/>
        <w:right w:val="none" w:sz="0" w:space="0" w:color="auto"/>
      </w:divBdr>
      <w:divsChild>
        <w:div w:id="1457094565">
          <w:marLeft w:val="0"/>
          <w:marRight w:val="0"/>
          <w:marTop w:val="0"/>
          <w:marBottom w:val="0"/>
          <w:divBdr>
            <w:top w:val="none" w:sz="0" w:space="0" w:color="auto"/>
            <w:left w:val="none" w:sz="0" w:space="0" w:color="auto"/>
            <w:bottom w:val="none" w:sz="0" w:space="0" w:color="auto"/>
            <w:right w:val="none" w:sz="0" w:space="0" w:color="auto"/>
          </w:divBdr>
        </w:div>
      </w:divsChild>
    </w:div>
    <w:div w:id="264771502">
      <w:marLeft w:val="0"/>
      <w:marRight w:val="0"/>
      <w:marTop w:val="0"/>
      <w:marBottom w:val="0"/>
      <w:divBdr>
        <w:top w:val="none" w:sz="0" w:space="0" w:color="auto"/>
        <w:left w:val="none" w:sz="0" w:space="0" w:color="auto"/>
        <w:bottom w:val="none" w:sz="0" w:space="0" w:color="auto"/>
        <w:right w:val="none" w:sz="0" w:space="0" w:color="auto"/>
      </w:divBdr>
    </w:div>
    <w:div w:id="266809968">
      <w:marLeft w:val="0"/>
      <w:marRight w:val="0"/>
      <w:marTop w:val="0"/>
      <w:marBottom w:val="240"/>
      <w:divBdr>
        <w:top w:val="none" w:sz="0" w:space="0" w:color="auto"/>
        <w:left w:val="none" w:sz="0" w:space="0" w:color="auto"/>
        <w:bottom w:val="none" w:sz="0" w:space="0" w:color="auto"/>
        <w:right w:val="none" w:sz="0" w:space="0" w:color="auto"/>
      </w:divBdr>
    </w:div>
    <w:div w:id="267347188">
      <w:marLeft w:val="0"/>
      <w:marRight w:val="0"/>
      <w:marTop w:val="0"/>
      <w:marBottom w:val="180"/>
      <w:divBdr>
        <w:top w:val="none" w:sz="0" w:space="0" w:color="auto"/>
        <w:left w:val="none" w:sz="0" w:space="0" w:color="auto"/>
        <w:bottom w:val="none" w:sz="0" w:space="0" w:color="auto"/>
        <w:right w:val="none" w:sz="0" w:space="0" w:color="auto"/>
      </w:divBdr>
    </w:div>
    <w:div w:id="270626032">
      <w:marLeft w:val="0"/>
      <w:marRight w:val="0"/>
      <w:marTop w:val="120"/>
      <w:marBottom w:val="120"/>
      <w:divBdr>
        <w:top w:val="none" w:sz="0" w:space="0" w:color="auto"/>
        <w:left w:val="none" w:sz="0" w:space="0" w:color="auto"/>
        <w:bottom w:val="none" w:sz="0" w:space="0" w:color="auto"/>
        <w:right w:val="none" w:sz="0" w:space="0" w:color="auto"/>
      </w:divBdr>
    </w:div>
    <w:div w:id="270936182">
      <w:marLeft w:val="0"/>
      <w:marRight w:val="0"/>
      <w:marTop w:val="0"/>
      <w:marBottom w:val="0"/>
      <w:divBdr>
        <w:top w:val="none" w:sz="0" w:space="0" w:color="auto"/>
        <w:left w:val="none" w:sz="0" w:space="0" w:color="auto"/>
        <w:bottom w:val="none" w:sz="0" w:space="0" w:color="auto"/>
        <w:right w:val="none" w:sz="0" w:space="0" w:color="auto"/>
      </w:divBdr>
      <w:divsChild>
        <w:div w:id="671837482">
          <w:marLeft w:val="0"/>
          <w:marRight w:val="0"/>
          <w:marTop w:val="0"/>
          <w:marBottom w:val="0"/>
          <w:divBdr>
            <w:top w:val="none" w:sz="0" w:space="0" w:color="auto"/>
            <w:left w:val="none" w:sz="0" w:space="0" w:color="auto"/>
            <w:bottom w:val="none" w:sz="0" w:space="0" w:color="auto"/>
            <w:right w:val="none" w:sz="0" w:space="0" w:color="auto"/>
          </w:divBdr>
        </w:div>
      </w:divsChild>
    </w:div>
    <w:div w:id="271522880">
      <w:marLeft w:val="0"/>
      <w:marRight w:val="0"/>
      <w:marTop w:val="0"/>
      <w:marBottom w:val="0"/>
      <w:divBdr>
        <w:top w:val="none" w:sz="0" w:space="0" w:color="auto"/>
        <w:left w:val="none" w:sz="0" w:space="0" w:color="auto"/>
        <w:bottom w:val="none" w:sz="0" w:space="0" w:color="auto"/>
        <w:right w:val="none" w:sz="0" w:space="0" w:color="auto"/>
      </w:divBdr>
      <w:divsChild>
        <w:div w:id="1560559234">
          <w:marLeft w:val="0"/>
          <w:marRight w:val="0"/>
          <w:marTop w:val="0"/>
          <w:marBottom w:val="0"/>
          <w:divBdr>
            <w:top w:val="none" w:sz="0" w:space="0" w:color="auto"/>
            <w:left w:val="none" w:sz="0" w:space="0" w:color="auto"/>
            <w:bottom w:val="none" w:sz="0" w:space="0" w:color="auto"/>
            <w:right w:val="none" w:sz="0" w:space="0" w:color="auto"/>
          </w:divBdr>
        </w:div>
      </w:divsChild>
    </w:div>
    <w:div w:id="273053686">
      <w:marLeft w:val="0"/>
      <w:marRight w:val="0"/>
      <w:marTop w:val="0"/>
      <w:marBottom w:val="0"/>
      <w:divBdr>
        <w:top w:val="none" w:sz="0" w:space="0" w:color="auto"/>
        <w:left w:val="none" w:sz="0" w:space="0" w:color="auto"/>
        <w:bottom w:val="none" w:sz="0" w:space="0" w:color="auto"/>
        <w:right w:val="none" w:sz="0" w:space="0" w:color="auto"/>
      </w:divBdr>
    </w:div>
    <w:div w:id="273754993">
      <w:marLeft w:val="0"/>
      <w:marRight w:val="0"/>
      <w:marTop w:val="120"/>
      <w:marBottom w:val="120"/>
      <w:divBdr>
        <w:top w:val="none" w:sz="0" w:space="0" w:color="auto"/>
        <w:left w:val="none" w:sz="0" w:space="0" w:color="auto"/>
        <w:bottom w:val="none" w:sz="0" w:space="0" w:color="auto"/>
        <w:right w:val="none" w:sz="0" w:space="0" w:color="auto"/>
      </w:divBdr>
    </w:div>
    <w:div w:id="274211651">
      <w:marLeft w:val="0"/>
      <w:marRight w:val="0"/>
      <w:marTop w:val="0"/>
      <w:marBottom w:val="240"/>
      <w:divBdr>
        <w:top w:val="none" w:sz="0" w:space="0" w:color="auto"/>
        <w:left w:val="none" w:sz="0" w:space="0" w:color="auto"/>
        <w:bottom w:val="none" w:sz="0" w:space="0" w:color="auto"/>
        <w:right w:val="none" w:sz="0" w:space="0" w:color="auto"/>
      </w:divBdr>
    </w:div>
    <w:div w:id="276718161">
      <w:marLeft w:val="0"/>
      <w:marRight w:val="0"/>
      <w:marTop w:val="0"/>
      <w:marBottom w:val="0"/>
      <w:divBdr>
        <w:top w:val="none" w:sz="0" w:space="0" w:color="auto"/>
        <w:left w:val="none" w:sz="0" w:space="0" w:color="auto"/>
        <w:bottom w:val="none" w:sz="0" w:space="0" w:color="auto"/>
        <w:right w:val="none" w:sz="0" w:space="0" w:color="auto"/>
      </w:divBdr>
      <w:divsChild>
        <w:div w:id="1472136239">
          <w:marLeft w:val="0"/>
          <w:marRight w:val="0"/>
          <w:marTop w:val="0"/>
          <w:marBottom w:val="0"/>
          <w:divBdr>
            <w:top w:val="none" w:sz="0" w:space="0" w:color="auto"/>
            <w:left w:val="none" w:sz="0" w:space="0" w:color="auto"/>
            <w:bottom w:val="none" w:sz="0" w:space="0" w:color="auto"/>
            <w:right w:val="none" w:sz="0" w:space="0" w:color="auto"/>
          </w:divBdr>
        </w:div>
      </w:divsChild>
    </w:div>
    <w:div w:id="279341702">
      <w:marLeft w:val="0"/>
      <w:marRight w:val="0"/>
      <w:marTop w:val="0"/>
      <w:marBottom w:val="240"/>
      <w:divBdr>
        <w:top w:val="none" w:sz="0" w:space="0" w:color="auto"/>
        <w:left w:val="none" w:sz="0" w:space="0" w:color="auto"/>
        <w:bottom w:val="none" w:sz="0" w:space="0" w:color="auto"/>
        <w:right w:val="none" w:sz="0" w:space="0" w:color="auto"/>
      </w:divBdr>
    </w:div>
    <w:div w:id="281152837">
      <w:marLeft w:val="0"/>
      <w:marRight w:val="0"/>
      <w:marTop w:val="0"/>
      <w:marBottom w:val="240"/>
      <w:divBdr>
        <w:top w:val="none" w:sz="0" w:space="0" w:color="auto"/>
        <w:left w:val="none" w:sz="0" w:space="0" w:color="auto"/>
        <w:bottom w:val="none" w:sz="0" w:space="0" w:color="auto"/>
        <w:right w:val="none" w:sz="0" w:space="0" w:color="auto"/>
      </w:divBdr>
    </w:div>
    <w:div w:id="283581981">
      <w:marLeft w:val="0"/>
      <w:marRight w:val="0"/>
      <w:marTop w:val="0"/>
      <w:marBottom w:val="240"/>
      <w:divBdr>
        <w:top w:val="none" w:sz="0" w:space="0" w:color="auto"/>
        <w:left w:val="none" w:sz="0" w:space="0" w:color="auto"/>
        <w:bottom w:val="none" w:sz="0" w:space="0" w:color="auto"/>
        <w:right w:val="none" w:sz="0" w:space="0" w:color="auto"/>
      </w:divBdr>
    </w:div>
    <w:div w:id="283658735">
      <w:marLeft w:val="0"/>
      <w:marRight w:val="0"/>
      <w:marTop w:val="0"/>
      <w:marBottom w:val="0"/>
      <w:divBdr>
        <w:top w:val="none" w:sz="0" w:space="0" w:color="auto"/>
        <w:left w:val="none" w:sz="0" w:space="0" w:color="auto"/>
        <w:bottom w:val="none" w:sz="0" w:space="0" w:color="auto"/>
        <w:right w:val="none" w:sz="0" w:space="0" w:color="auto"/>
      </w:divBdr>
    </w:div>
    <w:div w:id="283662026">
      <w:marLeft w:val="0"/>
      <w:marRight w:val="0"/>
      <w:marTop w:val="100"/>
      <w:marBottom w:val="100"/>
      <w:divBdr>
        <w:top w:val="none" w:sz="0" w:space="0" w:color="auto"/>
        <w:left w:val="none" w:sz="0" w:space="0" w:color="auto"/>
        <w:bottom w:val="none" w:sz="0" w:space="0" w:color="auto"/>
        <w:right w:val="none" w:sz="0" w:space="0" w:color="auto"/>
      </w:divBdr>
    </w:div>
    <w:div w:id="283771541">
      <w:marLeft w:val="0"/>
      <w:marRight w:val="0"/>
      <w:marTop w:val="0"/>
      <w:marBottom w:val="0"/>
      <w:divBdr>
        <w:top w:val="none" w:sz="0" w:space="0" w:color="auto"/>
        <w:left w:val="none" w:sz="0" w:space="0" w:color="auto"/>
        <w:bottom w:val="none" w:sz="0" w:space="0" w:color="auto"/>
        <w:right w:val="none" w:sz="0" w:space="0" w:color="auto"/>
      </w:divBdr>
    </w:div>
    <w:div w:id="284582573">
      <w:marLeft w:val="0"/>
      <w:marRight w:val="0"/>
      <w:marTop w:val="0"/>
      <w:marBottom w:val="240"/>
      <w:divBdr>
        <w:top w:val="none" w:sz="0" w:space="0" w:color="auto"/>
        <w:left w:val="none" w:sz="0" w:space="0" w:color="auto"/>
        <w:bottom w:val="none" w:sz="0" w:space="0" w:color="auto"/>
        <w:right w:val="none" w:sz="0" w:space="0" w:color="auto"/>
      </w:divBdr>
    </w:div>
    <w:div w:id="288126053">
      <w:marLeft w:val="0"/>
      <w:marRight w:val="0"/>
      <w:marTop w:val="0"/>
      <w:marBottom w:val="0"/>
      <w:divBdr>
        <w:top w:val="none" w:sz="0" w:space="0" w:color="auto"/>
        <w:left w:val="none" w:sz="0" w:space="0" w:color="auto"/>
        <w:bottom w:val="none" w:sz="0" w:space="0" w:color="auto"/>
        <w:right w:val="none" w:sz="0" w:space="0" w:color="auto"/>
      </w:divBdr>
    </w:div>
    <w:div w:id="288172463">
      <w:marLeft w:val="0"/>
      <w:marRight w:val="0"/>
      <w:marTop w:val="0"/>
      <w:marBottom w:val="180"/>
      <w:divBdr>
        <w:top w:val="none" w:sz="0" w:space="0" w:color="auto"/>
        <w:left w:val="none" w:sz="0" w:space="0" w:color="auto"/>
        <w:bottom w:val="none" w:sz="0" w:space="0" w:color="auto"/>
        <w:right w:val="none" w:sz="0" w:space="0" w:color="auto"/>
      </w:divBdr>
    </w:div>
    <w:div w:id="288975126">
      <w:marLeft w:val="0"/>
      <w:marRight w:val="0"/>
      <w:marTop w:val="120"/>
      <w:marBottom w:val="120"/>
      <w:divBdr>
        <w:top w:val="none" w:sz="0" w:space="0" w:color="auto"/>
        <w:left w:val="none" w:sz="0" w:space="0" w:color="auto"/>
        <w:bottom w:val="none" w:sz="0" w:space="0" w:color="auto"/>
        <w:right w:val="none" w:sz="0" w:space="0" w:color="auto"/>
      </w:divBdr>
    </w:div>
    <w:div w:id="289357748">
      <w:marLeft w:val="0"/>
      <w:marRight w:val="0"/>
      <w:marTop w:val="0"/>
      <w:marBottom w:val="180"/>
      <w:divBdr>
        <w:top w:val="none" w:sz="0" w:space="0" w:color="auto"/>
        <w:left w:val="none" w:sz="0" w:space="0" w:color="auto"/>
        <w:bottom w:val="none" w:sz="0" w:space="0" w:color="auto"/>
        <w:right w:val="none" w:sz="0" w:space="0" w:color="auto"/>
      </w:divBdr>
    </w:div>
    <w:div w:id="291324218">
      <w:marLeft w:val="0"/>
      <w:marRight w:val="0"/>
      <w:marTop w:val="100"/>
      <w:marBottom w:val="100"/>
      <w:divBdr>
        <w:top w:val="none" w:sz="0" w:space="0" w:color="auto"/>
        <w:left w:val="none" w:sz="0" w:space="0" w:color="auto"/>
        <w:bottom w:val="none" w:sz="0" w:space="0" w:color="auto"/>
        <w:right w:val="none" w:sz="0" w:space="0" w:color="auto"/>
      </w:divBdr>
    </w:div>
    <w:div w:id="293213610">
      <w:marLeft w:val="0"/>
      <w:marRight w:val="0"/>
      <w:marTop w:val="180"/>
      <w:marBottom w:val="180"/>
      <w:divBdr>
        <w:top w:val="none" w:sz="0" w:space="0" w:color="auto"/>
        <w:left w:val="none" w:sz="0" w:space="0" w:color="auto"/>
        <w:bottom w:val="none" w:sz="0" w:space="0" w:color="auto"/>
        <w:right w:val="none" w:sz="0" w:space="0" w:color="auto"/>
      </w:divBdr>
    </w:div>
    <w:div w:id="293368421">
      <w:marLeft w:val="0"/>
      <w:marRight w:val="0"/>
      <w:marTop w:val="0"/>
      <w:marBottom w:val="0"/>
      <w:divBdr>
        <w:top w:val="none" w:sz="0" w:space="0" w:color="auto"/>
        <w:left w:val="none" w:sz="0" w:space="0" w:color="auto"/>
        <w:bottom w:val="none" w:sz="0" w:space="0" w:color="auto"/>
        <w:right w:val="none" w:sz="0" w:space="0" w:color="auto"/>
      </w:divBdr>
      <w:divsChild>
        <w:div w:id="1986926881">
          <w:marLeft w:val="0"/>
          <w:marRight w:val="0"/>
          <w:marTop w:val="0"/>
          <w:marBottom w:val="0"/>
          <w:divBdr>
            <w:top w:val="none" w:sz="0" w:space="0" w:color="auto"/>
            <w:left w:val="none" w:sz="0" w:space="0" w:color="auto"/>
            <w:bottom w:val="none" w:sz="0" w:space="0" w:color="auto"/>
            <w:right w:val="none" w:sz="0" w:space="0" w:color="auto"/>
          </w:divBdr>
        </w:div>
      </w:divsChild>
    </w:div>
    <w:div w:id="294411135">
      <w:marLeft w:val="0"/>
      <w:marRight w:val="0"/>
      <w:marTop w:val="0"/>
      <w:marBottom w:val="0"/>
      <w:divBdr>
        <w:top w:val="none" w:sz="0" w:space="0" w:color="auto"/>
        <w:left w:val="none" w:sz="0" w:space="0" w:color="auto"/>
        <w:bottom w:val="none" w:sz="0" w:space="0" w:color="auto"/>
        <w:right w:val="none" w:sz="0" w:space="0" w:color="auto"/>
      </w:divBdr>
    </w:div>
    <w:div w:id="298193867">
      <w:marLeft w:val="0"/>
      <w:marRight w:val="0"/>
      <w:marTop w:val="0"/>
      <w:marBottom w:val="0"/>
      <w:divBdr>
        <w:top w:val="none" w:sz="0" w:space="0" w:color="auto"/>
        <w:left w:val="none" w:sz="0" w:space="0" w:color="auto"/>
        <w:bottom w:val="none" w:sz="0" w:space="0" w:color="auto"/>
        <w:right w:val="none" w:sz="0" w:space="0" w:color="auto"/>
      </w:divBdr>
      <w:divsChild>
        <w:div w:id="1855143737">
          <w:marLeft w:val="0"/>
          <w:marRight w:val="0"/>
          <w:marTop w:val="0"/>
          <w:marBottom w:val="0"/>
          <w:divBdr>
            <w:top w:val="none" w:sz="0" w:space="0" w:color="auto"/>
            <w:left w:val="none" w:sz="0" w:space="0" w:color="auto"/>
            <w:bottom w:val="none" w:sz="0" w:space="0" w:color="auto"/>
            <w:right w:val="none" w:sz="0" w:space="0" w:color="auto"/>
          </w:divBdr>
        </w:div>
      </w:divsChild>
    </w:div>
    <w:div w:id="299850432">
      <w:marLeft w:val="0"/>
      <w:marRight w:val="0"/>
      <w:marTop w:val="120"/>
      <w:marBottom w:val="120"/>
      <w:divBdr>
        <w:top w:val="none" w:sz="0" w:space="0" w:color="auto"/>
        <w:left w:val="none" w:sz="0" w:space="0" w:color="auto"/>
        <w:bottom w:val="none" w:sz="0" w:space="0" w:color="auto"/>
        <w:right w:val="none" w:sz="0" w:space="0" w:color="auto"/>
      </w:divBdr>
    </w:div>
    <w:div w:id="300505619">
      <w:marLeft w:val="0"/>
      <w:marRight w:val="0"/>
      <w:marTop w:val="0"/>
      <w:marBottom w:val="240"/>
      <w:divBdr>
        <w:top w:val="none" w:sz="0" w:space="0" w:color="auto"/>
        <w:left w:val="none" w:sz="0" w:space="0" w:color="auto"/>
        <w:bottom w:val="none" w:sz="0" w:space="0" w:color="auto"/>
        <w:right w:val="none" w:sz="0" w:space="0" w:color="auto"/>
      </w:divBdr>
    </w:div>
    <w:div w:id="300887439">
      <w:marLeft w:val="0"/>
      <w:marRight w:val="0"/>
      <w:marTop w:val="0"/>
      <w:marBottom w:val="240"/>
      <w:divBdr>
        <w:top w:val="none" w:sz="0" w:space="0" w:color="auto"/>
        <w:left w:val="none" w:sz="0" w:space="0" w:color="auto"/>
        <w:bottom w:val="none" w:sz="0" w:space="0" w:color="auto"/>
        <w:right w:val="none" w:sz="0" w:space="0" w:color="auto"/>
      </w:divBdr>
    </w:div>
    <w:div w:id="303971521">
      <w:marLeft w:val="0"/>
      <w:marRight w:val="0"/>
      <w:marTop w:val="0"/>
      <w:marBottom w:val="0"/>
      <w:divBdr>
        <w:top w:val="none" w:sz="0" w:space="0" w:color="auto"/>
        <w:left w:val="none" w:sz="0" w:space="0" w:color="auto"/>
        <w:bottom w:val="none" w:sz="0" w:space="0" w:color="auto"/>
        <w:right w:val="none" w:sz="0" w:space="0" w:color="auto"/>
      </w:divBdr>
    </w:div>
    <w:div w:id="306009200">
      <w:marLeft w:val="0"/>
      <w:marRight w:val="0"/>
      <w:marTop w:val="0"/>
      <w:marBottom w:val="0"/>
      <w:divBdr>
        <w:top w:val="none" w:sz="0" w:space="0" w:color="auto"/>
        <w:left w:val="none" w:sz="0" w:space="0" w:color="auto"/>
        <w:bottom w:val="none" w:sz="0" w:space="0" w:color="auto"/>
        <w:right w:val="none" w:sz="0" w:space="0" w:color="auto"/>
      </w:divBdr>
      <w:divsChild>
        <w:div w:id="852455983">
          <w:marLeft w:val="0"/>
          <w:marRight w:val="0"/>
          <w:marTop w:val="0"/>
          <w:marBottom w:val="0"/>
          <w:divBdr>
            <w:top w:val="none" w:sz="0" w:space="0" w:color="auto"/>
            <w:left w:val="none" w:sz="0" w:space="0" w:color="auto"/>
            <w:bottom w:val="none" w:sz="0" w:space="0" w:color="auto"/>
            <w:right w:val="none" w:sz="0" w:space="0" w:color="auto"/>
          </w:divBdr>
        </w:div>
      </w:divsChild>
    </w:div>
    <w:div w:id="306131127">
      <w:marLeft w:val="0"/>
      <w:marRight w:val="0"/>
      <w:marTop w:val="0"/>
      <w:marBottom w:val="240"/>
      <w:divBdr>
        <w:top w:val="none" w:sz="0" w:space="0" w:color="auto"/>
        <w:left w:val="none" w:sz="0" w:space="0" w:color="auto"/>
        <w:bottom w:val="none" w:sz="0" w:space="0" w:color="auto"/>
        <w:right w:val="none" w:sz="0" w:space="0" w:color="auto"/>
      </w:divBdr>
    </w:div>
    <w:div w:id="306936552">
      <w:marLeft w:val="0"/>
      <w:marRight w:val="0"/>
      <w:marTop w:val="0"/>
      <w:marBottom w:val="0"/>
      <w:divBdr>
        <w:top w:val="none" w:sz="0" w:space="0" w:color="auto"/>
        <w:left w:val="none" w:sz="0" w:space="0" w:color="auto"/>
        <w:bottom w:val="none" w:sz="0" w:space="0" w:color="auto"/>
        <w:right w:val="none" w:sz="0" w:space="0" w:color="auto"/>
      </w:divBdr>
      <w:divsChild>
        <w:div w:id="791939006">
          <w:marLeft w:val="0"/>
          <w:marRight w:val="0"/>
          <w:marTop w:val="0"/>
          <w:marBottom w:val="0"/>
          <w:divBdr>
            <w:top w:val="none" w:sz="0" w:space="0" w:color="auto"/>
            <w:left w:val="none" w:sz="0" w:space="0" w:color="auto"/>
            <w:bottom w:val="none" w:sz="0" w:space="0" w:color="auto"/>
            <w:right w:val="none" w:sz="0" w:space="0" w:color="auto"/>
          </w:divBdr>
        </w:div>
      </w:divsChild>
    </w:div>
    <w:div w:id="308168784">
      <w:marLeft w:val="0"/>
      <w:marRight w:val="0"/>
      <w:marTop w:val="0"/>
      <w:marBottom w:val="0"/>
      <w:divBdr>
        <w:top w:val="none" w:sz="0" w:space="0" w:color="auto"/>
        <w:left w:val="none" w:sz="0" w:space="0" w:color="auto"/>
        <w:bottom w:val="none" w:sz="0" w:space="0" w:color="auto"/>
        <w:right w:val="none" w:sz="0" w:space="0" w:color="auto"/>
      </w:divBdr>
    </w:div>
    <w:div w:id="309597109">
      <w:marLeft w:val="0"/>
      <w:marRight w:val="0"/>
      <w:marTop w:val="0"/>
      <w:marBottom w:val="120"/>
      <w:divBdr>
        <w:top w:val="none" w:sz="0" w:space="0" w:color="auto"/>
        <w:left w:val="none" w:sz="0" w:space="0" w:color="auto"/>
        <w:bottom w:val="none" w:sz="0" w:space="0" w:color="auto"/>
        <w:right w:val="none" w:sz="0" w:space="0" w:color="auto"/>
      </w:divBdr>
    </w:div>
    <w:div w:id="309798045">
      <w:marLeft w:val="0"/>
      <w:marRight w:val="0"/>
      <w:marTop w:val="0"/>
      <w:marBottom w:val="0"/>
      <w:divBdr>
        <w:top w:val="none" w:sz="0" w:space="0" w:color="auto"/>
        <w:left w:val="none" w:sz="0" w:space="0" w:color="auto"/>
        <w:bottom w:val="none" w:sz="0" w:space="0" w:color="auto"/>
        <w:right w:val="none" w:sz="0" w:space="0" w:color="auto"/>
      </w:divBdr>
      <w:divsChild>
        <w:div w:id="1917518892">
          <w:marLeft w:val="0"/>
          <w:marRight w:val="0"/>
          <w:marTop w:val="0"/>
          <w:marBottom w:val="0"/>
          <w:divBdr>
            <w:top w:val="none" w:sz="0" w:space="0" w:color="auto"/>
            <w:left w:val="none" w:sz="0" w:space="0" w:color="auto"/>
            <w:bottom w:val="none" w:sz="0" w:space="0" w:color="auto"/>
            <w:right w:val="none" w:sz="0" w:space="0" w:color="auto"/>
          </w:divBdr>
        </w:div>
      </w:divsChild>
    </w:div>
    <w:div w:id="311259054">
      <w:marLeft w:val="0"/>
      <w:marRight w:val="0"/>
      <w:marTop w:val="0"/>
      <w:marBottom w:val="180"/>
      <w:divBdr>
        <w:top w:val="none" w:sz="0" w:space="0" w:color="auto"/>
        <w:left w:val="none" w:sz="0" w:space="0" w:color="auto"/>
        <w:bottom w:val="none" w:sz="0" w:space="0" w:color="auto"/>
        <w:right w:val="none" w:sz="0" w:space="0" w:color="auto"/>
      </w:divBdr>
    </w:div>
    <w:div w:id="314338558">
      <w:marLeft w:val="0"/>
      <w:marRight w:val="0"/>
      <w:marTop w:val="0"/>
      <w:marBottom w:val="240"/>
      <w:divBdr>
        <w:top w:val="none" w:sz="0" w:space="0" w:color="auto"/>
        <w:left w:val="none" w:sz="0" w:space="0" w:color="auto"/>
        <w:bottom w:val="none" w:sz="0" w:space="0" w:color="auto"/>
        <w:right w:val="none" w:sz="0" w:space="0" w:color="auto"/>
      </w:divBdr>
    </w:div>
    <w:div w:id="315885202">
      <w:marLeft w:val="0"/>
      <w:marRight w:val="0"/>
      <w:marTop w:val="0"/>
      <w:marBottom w:val="0"/>
      <w:divBdr>
        <w:top w:val="none" w:sz="0" w:space="0" w:color="auto"/>
        <w:left w:val="none" w:sz="0" w:space="0" w:color="auto"/>
        <w:bottom w:val="none" w:sz="0" w:space="0" w:color="auto"/>
        <w:right w:val="none" w:sz="0" w:space="0" w:color="auto"/>
      </w:divBdr>
    </w:div>
    <w:div w:id="318273042">
      <w:marLeft w:val="0"/>
      <w:marRight w:val="0"/>
      <w:marTop w:val="0"/>
      <w:marBottom w:val="180"/>
      <w:divBdr>
        <w:top w:val="none" w:sz="0" w:space="0" w:color="auto"/>
        <w:left w:val="none" w:sz="0" w:space="0" w:color="auto"/>
        <w:bottom w:val="none" w:sz="0" w:space="0" w:color="auto"/>
        <w:right w:val="none" w:sz="0" w:space="0" w:color="auto"/>
      </w:divBdr>
    </w:div>
    <w:div w:id="320084935">
      <w:marLeft w:val="0"/>
      <w:marRight w:val="0"/>
      <w:marTop w:val="0"/>
      <w:marBottom w:val="180"/>
      <w:divBdr>
        <w:top w:val="none" w:sz="0" w:space="0" w:color="auto"/>
        <w:left w:val="none" w:sz="0" w:space="0" w:color="auto"/>
        <w:bottom w:val="none" w:sz="0" w:space="0" w:color="auto"/>
        <w:right w:val="none" w:sz="0" w:space="0" w:color="auto"/>
      </w:divBdr>
    </w:div>
    <w:div w:id="321086475">
      <w:marLeft w:val="0"/>
      <w:marRight w:val="0"/>
      <w:marTop w:val="0"/>
      <w:marBottom w:val="0"/>
      <w:divBdr>
        <w:top w:val="none" w:sz="0" w:space="0" w:color="auto"/>
        <w:left w:val="none" w:sz="0" w:space="0" w:color="auto"/>
        <w:bottom w:val="none" w:sz="0" w:space="0" w:color="auto"/>
        <w:right w:val="none" w:sz="0" w:space="0" w:color="auto"/>
      </w:divBdr>
      <w:divsChild>
        <w:div w:id="541867296">
          <w:marLeft w:val="0"/>
          <w:marRight w:val="0"/>
          <w:marTop w:val="0"/>
          <w:marBottom w:val="0"/>
          <w:divBdr>
            <w:top w:val="none" w:sz="0" w:space="0" w:color="auto"/>
            <w:left w:val="none" w:sz="0" w:space="0" w:color="auto"/>
            <w:bottom w:val="none" w:sz="0" w:space="0" w:color="auto"/>
            <w:right w:val="none" w:sz="0" w:space="0" w:color="auto"/>
          </w:divBdr>
        </w:div>
      </w:divsChild>
    </w:div>
    <w:div w:id="321206662">
      <w:marLeft w:val="0"/>
      <w:marRight w:val="0"/>
      <w:marTop w:val="180"/>
      <w:marBottom w:val="180"/>
      <w:divBdr>
        <w:top w:val="none" w:sz="0" w:space="0" w:color="auto"/>
        <w:left w:val="none" w:sz="0" w:space="0" w:color="auto"/>
        <w:bottom w:val="none" w:sz="0" w:space="0" w:color="auto"/>
        <w:right w:val="none" w:sz="0" w:space="0" w:color="auto"/>
      </w:divBdr>
    </w:div>
    <w:div w:id="322901466">
      <w:marLeft w:val="0"/>
      <w:marRight w:val="0"/>
      <w:marTop w:val="0"/>
      <w:marBottom w:val="0"/>
      <w:divBdr>
        <w:top w:val="none" w:sz="0" w:space="0" w:color="auto"/>
        <w:left w:val="none" w:sz="0" w:space="0" w:color="auto"/>
        <w:bottom w:val="none" w:sz="0" w:space="0" w:color="auto"/>
        <w:right w:val="none" w:sz="0" w:space="0" w:color="auto"/>
      </w:divBdr>
    </w:div>
    <w:div w:id="324018432">
      <w:marLeft w:val="0"/>
      <w:marRight w:val="0"/>
      <w:marTop w:val="0"/>
      <w:marBottom w:val="180"/>
      <w:divBdr>
        <w:top w:val="none" w:sz="0" w:space="0" w:color="auto"/>
        <w:left w:val="none" w:sz="0" w:space="0" w:color="auto"/>
        <w:bottom w:val="none" w:sz="0" w:space="0" w:color="auto"/>
        <w:right w:val="none" w:sz="0" w:space="0" w:color="auto"/>
      </w:divBdr>
    </w:div>
    <w:div w:id="324864590">
      <w:marLeft w:val="0"/>
      <w:marRight w:val="0"/>
      <w:marTop w:val="0"/>
      <w:marBottom w:val="0"/>
      <w:divBdr>
        <w:top w:val="none" w:sz="0" w:space="0" w:color="auto"/>
        <w:left w:val="none" w:sz="0" w:space="0" w:color="auto"/>
        <w:bottom w:val="none" w:sz="0" w:space="0" w:color="auto"/>
        <w:right w:val="none" w:sz="0" w:space="0" w:color="auto"/>
      </w:divBdr>
    </w:div>
    <w:div w:id="327026654">
      <w:marLeft w:val="0"/>
      <w:marRight w:val="0"/>
      <w:marTop w:val="0"/>
      <w:marBottom w:val="180"/>
      <w:divBdr>
        <w:top w:val="none" w:sz="0" w:space="0" w:color="auto"/>
        <w:left w:val="none" w:sz="0" w:space="0" w:color="auto"/>
        <w:bottom w:val="none" w:sz="0" w:space="0" w:color="auto"/>
        <w:right w:val="none" w:sz="0" w:space="0" w:color="auto"/>
      </w:divBdr>
    </w:div>
    <w:div w:id="329217693">
      <w:marLeft w:val="0"/>
      <w:marRight w:val="0"/>
      <w:marTop w:val="120"/>
      <w:marBottom w:val="120"/>
      <w:divBdr>
        <w:top w:val="none" w:sz="0" w:space="0" w:color="auto"/>
        <w:left w:val="none" w:sz="0" w:space="0" w:color="auto"/>
        <w:bottom w:val="none" w:sz="0" w:space="0" w:color="auto"/>
        <w:right w:val="none" w:sz="0" w:space="0" w:color="auto"/>
      </w:divBdr>
    </w:div>
    <w:div w:id="329333121">
      <w:marLeft w:val="0"/>
      <w:marRight w:val="0"/>
      <w:marTop w:val="120"/>
      <w:marBottom w:val="240"/>
      <w:divBdr>
        <w:top w:val="none" w:sz="0" w:space="0" w:color="auto"/>
        <w:left w:val="none" w:sz="0" w:space="0" w:color="auto"/>
        <w:bottom w:val="none" w:sz="0" w:space="0" w:color="auto"/>
        <w:right w:val="none" w:sz="0" w:space="0" w:color="auto"/>
      </w:divBdr>
    </w:div>
    <w:div w:id="330136005">
      <w:marLeft w:val="0"/>
      <w:marRight w:val="0"/>
      <w:marTop w:val="0"/>
      <w:marBottom w:val="0"/>
      <w:divBdr>
        <w:top w:val="none" w:sz="0" w:space="0" w:color="auto"/>
        <w:left w:val="none" w:sz="0" w:space="0" w:color="auto"/>
        <w:bottom w:val="none" w:sz="0" w:space="0" w:color="auto"/>
        <w:right w:val="none" w:sz="0" w:space="0" w:color="auto"/>
      </w:divBdr>
    </w:div>
    <w:div w:id="330836219">
      <w:marLeft w:val="0"/>
      <w:marRight w:val="0"/>
      <w:marTop w:val="0"/>
      <w:marBottom w:val="0"/>
      <w:divBdr>
        <w:top w:val="none" w:sz="0" w:space="0" w:color="auto"/>
        <w:left w:val="none" w:sz="0" w:space="0" w:color="auto"/>
        <w:bottom w:val="none" w:sz="0" w:space="0" w:color="auto"/>
        <w:right w:val="none" w:sz="0" w:space="0" w:color="auto"/>
      </w:divBdr>
    </w:div>
    <w:div w:id="334041382">
      <w:marLeft w:val="0"/>
      <w:marRight w:val="0"/>
      <w:marTop w:val="120"/>
      <w:marBottom w:val="120"/>
      <w:divBdr>
        <w:top w:val="none" w:sz="0" w:space="0" w:color="auto"/>
        <w:left w:val="none" w:sz="0" w:space="0" w:color="auto"/>
        <w:bottom w:val="none" w:sz="0" w:space="0" w:color="auto"/>
        <w:right w:val="none" w:sz="0" w:space="0" w:color="auto"/>
      </w:divBdr>
    </w:div>
    <w:div w:id="335229750">
      <w:marLeft w:val="0"/>
      <w:marRight w:val="0"/>
      <w:marTop w:val="0"/>
      <w:marBottom w:val="240"/>
      <w:divBdr>
        <w:top w:val="none" w:sz="0" w:space="0" w:color="auto"/>
        <w:left w:val="none" w:sz="0" w:space="0" w:color="auto"/>
        <w:bottom w:val="none" w:sz="0" w:space="0" w:color="auto"/>
        <w:right w:val="none" w:sz="0" w:space="0" w:color="auto"/>
      </w:divBdr>
    </w:div>
    <w:div w:id="336737657">
      <w:marLeft w:val="0"/>
      <w:marRight w:val="0"/>
      <w:marTop w:val="180"/>
      <w:marBottom w:val="180"/>
      <w:divBdr>
        <w:top w:val="none" w:sz="0" w:space="0" w:color="auto"/>
        <w:left w:val="none" w:sz="0" w:space="0" w:color="auto"/>
        <w:bottom w:val="none" w:sz="0" w:space="0" w:color="auto"/>
        <w:right w:val="none" w:sz="0" w:space="0" w:color="auto"/>
      </w:divBdr>
    </w:div>
    <w:div w:id="339507133">
      <w:marLeft w:val="0"/>
      <w:marRight w:val="0"/>
      <w:marTop w:val="0"/>
      <w:marBottom w:val="0"/>
      <w:divBdr>
        <w:top w:val="none" w:sz="0" w:space="0" w:color="auto"/>
        <w:left w:val="none" w:sz="0" w:space="0" w:color="auto"/>
        <w:bottom w:val="none" w:sz="0" w:space="0" w:color="auto"/>
        <w:right w:val="none" w:sz="0" w:space="0" w:color="auto"/>
      </w:divBdr>
    </w:div>
    <w:div w:id="340284610">
      <w:marLeft w:val="0"/>
      <w:marRight w:val="0"/>
      <w:marTop w:val="0"/>
      <w:marBottom w:val="180"/>
      <w:divBdr>
        <w:top w:val="none" w:sz="0" w:space="0" w:color="auto"/>
        <w:left w:val="none" w:sz="0" w:space="0" w:color="auto"/>
        <w:bottom w:val="none" w:sz="0" w:space="0" w:color="auto"/>
        <w:right w:val="none" w:sz="0" w:space="0" w:color="auto"/>
      </w:divBdr>
    </w:div>
    <w:div w:id="340621703">
      <w:marLeft w:val="0"/>
      <w:marRight w:val="0"/>
      <w:marTop w:val="0"/>
      <w:marBottom w:val="240"/>
      <w:divBdr>
        <w:top w:val="none" w:sz="0" w:space="0" w:color="auto"/>
        <w:left w:val="none" w:sz="0" w:space="0" w:color="auto"/>
        <w:bottom w:val="none" w:sz="0" w:space="0" w:color="auto"/>
        <w:right w:val="none" w:sz="0" w:space="0" w:color="auto"/>
      </w:divBdr>
    </w:div>
    <w:div w:id="342704881">
      <w:marLeft w:val="0"/>
      <w:marRight w:val="0"/>
      <w:marTop w:val="0"/>
      <w:marBottom w:val="240"/>
      <w:divBdr>
        <w:top w:val="none" w:sz="0" w:space="0" w:color="auto"/>
        <w:left w:val="none" w:sz="0" w:space="0" w:color="auto"/>
        <w:bottom w:val="none" w:sz="0" w:space="0" w:color="auto"/>
        <w:right w:val="none" w:sz="0" w:space="0" w:color="auto"/>
      </w:divBdr>
    </w:div>
    <w:div w:id="348484782">
      <w:marLeft w:val="0"/>
      <w:marRight w:val="0"/>
      <w:marTop w:val="0"/>
      <w:marBottom w:val="240"/>
      <w:divBdr>
        <w:top w:val="none" w:sz="0" w:space="0" w:color="auto"/>
        <w:left w:val="none" w:sz="0" w:space="0" w:color="auto"/>
        <w:bottom w:val="none" w:sz="0" w:space="0" w:color="auto"/>
        <w:right w:val="none" w:sz="0" w:space="0" w:color="auto"/>
      </w:divBdr>
    </w:div>
    <w:div w:id="348917572">
      <w:marLeft w:val="0"/>
      <w:marRight w:val="0"/>
      <w:marTop w:val="180"/>
      <w:marBottom w:val="180"/>
      <w:divBdr>
        <w:top w:val="none" w:sz="0" w:space="0" w:color="auto"/>
        <w:left w:val="none" w:sz="0" w:space="0" w:color="auto"/>
        <w:bottom w:val="none" w:sz="0" w:space="0" w:color="auto"/>
        <w:right w:val="none" w:sz="0" w:space="0" w:color="auto"/>
      </w:divBdr>
    </w:div>
    <w:div w:id="349071754">
      <w:marLeft w:val="0"/>
      <w:marRight w:val="0"/>
      <w:marTop w:val="0"/>
      <w:marBottom w:val="0"/>
      <w:divBdr>
        <w:top w:val="none" w:sz="0" w:space="0" w:color="auto"/>
        <w:left w:val="none" w:sz="0" w:space="0" w:color="auto"/>
        <w:bottom w:val="none" w:sz="0" w:space="0" w:color="auto"/>
        <w:right w:val="none" w:sz="0" w:space="0" w:color="auto"/>
      </w:divBdr>
      <w:divsChild>
        <w:div w:id="1786654760">
          <w:marLeft w:val="0"/>
          <w:marRight w:val="0"/>
          <w:marTop w:val="0"/>
          <w:marBottom w:val="0"/>
          <w:divBdr>
            <w:top w:val="none" w:sz="0" w:space="0" w:color="auto"/>
            <w:left w:val="none" w:sz="0" w:space="0" w:color="auto"/>
            <w:bottom w:val="none" w:sz="0" w:space="0" w:color="auto"/>
            <w:right w:val="none" w:sz="0" w:space="0" w:color="auto"/>
          </w:divBdr>
        </w:div>
      </w:divsChild>
    </w:div>
    <w:div w:id="349795238">
      <w:marLeft w:val="0"/>
      <w:marRight w:val="0"/>
      <w:marTop w:val="0"/>
      <w:marBottom w:val="0"/>
      <w:divBdr>
        <w:top w:val="none" w:sz="0" w:space="0" w:color="auto"/>
        <w:left w:val="none" w:sz="0" w:space="0" w:color="auto"/>
        <w:bottom w:val="none" w:sz="0" w:space="0" w:color="auto"/>
        <w:right w:val="none" w:sz="0" w:space="0" w:color="auto"/>
      </w:divBdr>
      <w:divsChild>
        <w:div w:id="129252170">
          <w:marLeft w:val="0"/>
          <w:marRight w:val="0"/>
          <w:marTop w:val="0"/>
          <w:marBottom w:val="0"/>
          <w:divBdr>
            <w:top w:val="none" w:sz="0" w:space="0" w:color="auto"/>
            <w:left w:val="none" w:sz="0" w:space="0" w:color="auto"/>
            <w:bottom w:val="none" w:sz="0" w:space="0" w:color="auto"/>
            <w:right w:val="none" w:sz="0" w:space="0" w:color="auto"/>
          </w:divBdr>
        </w:div>
      </w:divsChild>
    </w:div>
    <w:div w:id="351997482">
      <w:marLeft w:val="0"/>
      <w:marRight w:val="0"/>
      <w:marTop w:val="0"/>
      <w:marBottom w:val="0"/>
      <w:divBdr>
        <w:top w:val="none" w:sz="0" w:space="0" w:color="auto"/>
        <w:left w:val="none" w:sz="0" w:space="0" w:color="auto"/>
        <w:bottom w:val="none" w:sz="0" w:space="0" w:color="auto"/>
        <w:right w:val="none" w:sz="0" w:space="0" w:color="auto"/>
      </w:divBdr>
    </w:div>
    <w:div w:id="352457583">
      <w:marLeft w:val="0"/>
      <w:marRight w:val="0"/>
      <w:marTop w:val="0"/>
      <w:marBottom w:val="0"/>
      <w:divBdr>
        <w:top w:val="none" w:sz="0" w:space="0" w:color="auto"/>
        <w:left w:val="none" w:sz="0" w:space="0" w:color="auto"/>
        <w:bottom w:val="none" w:sz="0" w:space="0" w:color="auto"/>
        <w:right w:val="none" w:sz="0" w:space="0" w:color="auto"/>
      </w:divBdr>
    </w:div>
    <w:div w:id="353769746">
      <w:marLeft w:val="0"/>
      <w:marRight w:val="0"/>
      <w:marTop w:val="0"/>
      <w:marBottom w:val="240"/>
      <w:divBdr>
        <w:top w:val="none" w:sz="0" w:space="0" w:color="auto"/>
        <w:left w:val="none" w:sz="0" w:space="0" w:color="auto"/>
        <w:bottom w:val="none" w:sz="0" w:space="0" w:color="auto"/>
        <w:right w:val="none" w:sz="0" w:space="0" w:color="auto"/>
      </w:divBdr>
    </w:div>
    <w:div w:id="353775397">
      <w:marLeft w:val="0"/>
      <w:marRight w:val="0"/>
      <w:marTop w:val="0"/>
      <w:marBottom w:val="0"/>
      <w:divBdr>
        <w:top w:val="none" w:sz="0" w:space="0" w:color="auto"/>
        <w:left w:val="none" w:sz="0" w:space="0" w:color="auto"/>
        <w:bottom w:val="none" w:sz="0" w:space="0" w:color="auto"/>
        <w:right w:val="none" w:sz="0" w:space="0" w:color="auto"/>
      </w:divBdr>
    </w:div>
    <w:div w:id="355623841">
      <w:marLeft w:val="0"/>
      <w:marRight w:val="0"/>
      <w:marTop w:val="0"/>
      <w:marBottom w:val="0"/>
      <w:divBdr>
        <w:top w:val="none" w:sz="0" w:space="0" w:color="auto"/>
        <w:left w:val="none" w:sz="0" w:space="0" w:color="auto"/>
        <w:bottom w:val="none" w:sz="0" w:space="0" w:color="auto"/>
        <w:right w:val="none" w:sz="0" w:space="0" w:color="auto"/>
      </w:divBdr>
    </w:div>
    <w:div w:id="356392712">
      <w:marLeft w:val="0"/>
      <w:marRight w:val="0"/>
      <w:marTop w:val="240"/>
      <w:marBottom w:val="240"/>
      <w:divBdr>
        <w:top w:val="none" w:sz="0" w:space="0" w:color="auto"/>
        <w:left w:val="none" w:sz="0" w:space="0" w:color="auto"/>
        <w:bottom w:val="none" w:sz="0" w:space="0" w:color="auto"/>
        <w:right w:val="none" w:sz="0" w:space="0" w:color="auto"/>
      </w:divBdr>
    </w:div>
    <w:div w:id="359284671">
      <w:marLeft w:val="0"/>
      <w:marRight w:val="0"/>
      <w:marTop w:val="0"/>
      <w:marBottom w:val="0"/>
      <w:divBdr>
        <w:top w:val="none" w:sz="0" w:space="0" w:color="auto"/>
        <w:left w:val="none" w:sz="0" w:space="0" w:color="auto"/>
        <w:bottom w:val="none" w:sz="0" w:space="0" w:color="auto"/>
        <w:right w:val="none" w:sz="0" w:space="0" w:color="auto"/>
      </w:divBdr>
    </w:div>
    <w:div w:id="359357659">
      <w:marLeft w:val="0"/>
      <w:marRight w:val="0"/>
      <w:marTop w:val="0"/>
      <w:marBottom w:val="0"/>
      <w:divBdr>
        <w:top w:val="none" w:sz="0" w:space="0" w:color="auto"/>
        <w:left w:val="none" w:sz="0" w:space="0" w:color="auto"/>
        <w:bottom w:val="none" w:sz="0" w:space="0" w:color="auto"/>
        <w:right w:val="none" w:sz="0" w:space="0" w:color="auto"/>
      </w:divBdr>
    </w:div>
    <w:div w:id="360860689">
      <w:marLeft w:val="0"/>
      <w:marRight w:val="0"/>
      <w:marTop w:val="0"/>
      <w:marBottom w:val="240"/>
      <w:divBdr>
        <w:top w:val="none" w:sz="0" w:space="0" w:color="auto"/>
        <w:left w:val="none" w:sz="0" w:space="0" w:color="auto"/>
        <w:bottom w:val="none" w:sz="0" w:space="0" w:color="auto"/>
        <w:right w:val="none" w:sz="0" w:space="0" w:color="auto"/>
      </w:divBdr>
    </w:div>
    <w:div w:id="360976886">
      <w:marLeft w:val="0"/>
      <w:marRight w:val="0"/>
      <w:marTop w:val="180"/>
      <w:marBottom w:val="180"/>
      <w:divBdr>
        <w:top w:val="none" w:sz="0" w:space="0" w:color="auto"/>
        <w:left w:val="none" w:sz="0" w:space="0" w:color="auto"/>
        <w:bottom w:val="none" w:sz="0" w:space="0" w:color="auto"/>
        <w:right w:val="none" w:sz="0" w:space="0" w:color="auto"/>
      </w:divBdr>
    </w:div>
    <w:div w:id="363020930">
      <w:marLeft w:val="0"/>
      <w:marRight w:val="0"/>
      <w:marTop w:val="0"/>
      <w:marBottom w:val="0"/>
      <w:divBdr>
        <w:top w:val="none" w:sz="0" w:space="0" w:color="auto"/>
        <w:left w:val="none" w:sz="0" w:space="0" w:color="auto"/>
        <w:bottom w:val="none" w:sz="0" w:space="0" w:color="auto"/>
        <w:right w:val="none" w:sz="0" w:space="0" w:color="auto"/>
      </w:divBdr>
      <w:divsChild>
        <w:div w:id="2071154817">
          <w:marLeft w:val="0"/>
          <w:marRight w:val="0"/>
          <w:marTop w:val="0"/>
          <w:marBottom w:val="0"/>
          <w:divBdr>
            <w:top w:val="none" w:sz="0" w:space="0" w:color="auto"/>
            <w:left w:val="none" w:sz="0" w:space="0" w:color="auto"/>
            <w:bottom w:val="none" w:sz="0" w:space="0" w:color="auto"/>
            <w:right w:val="none" w:sz="0" w:space="0" w:color="auto"/>
          </w:divBdr>
        </w:div>
      </w:divsChild>
    </w:div>
    <w:div w:id="363822326">
      <w:marLeft w:val="0"/>
      <w:marRight w:val="0"/>
      <w:marTop w:val="120"/>
      <w:marBottom w:val="180"/>
      <w:divBdr>
        <w:top w:val="none" w:sz="0" w:space="0" w:color="auto"/>
        <w:left w:val="none" w:sz="0" w:space="0" w:color="auto"/>
        <w:bottom w:val="none" w:sz="0" w:space="0" w:color="auto"/>
        <w:right w:val="none" w:sz="0" w:space="0" w:color="auto"/>
      </w:divBdr>
    </w:div>
    <w:div w:id="364839981">
      <w:marLeft w:val="0"/>
      <w:marRight w:val="0"/>
      <w:marTop w:val="0"/>
      <w:marBottom w:val="240"/>
      <w:divBdr>
        <w:top w:val="none" w:sz="0" w:space="0" w:color="auto"/>
        <w:left w:val="none" w:sz="0" w:space="0" w:color="auto"/>
        <w:bottom w:val="none" w:sz="0" w:space="0" w:color="auto"/>
        <w:right w:val="none" w:sz="0" w:space="0" w:color="auto"/>
      </w:divBdr>
    </w:div>
    <w:div w:id="366218734">
      <w:marLeft w:val="0"/>
      <w:marRight w:val="0"/>
      <w:marTop w:val="0"/>
      <w:marBottom w:val="240"/>
      <w:divBdr>
        <w:top w:val="none" w:sz="0" w:space="0" w:color="auto"/>
        <w:left w:val="none" w:sz="0" w:space="0" w:color="auto"/>
        <w:bottom w:val="none" w:sz="0" w:space="0" w:color="auto"/>
        <w:right w:val="none" w:sz="0" w:space="0" w:color="auto"/>
      </w:divBdr>
    </w:div>
    <w:div w:id="367142163">
      <w:marLeft w:val="0"/>
      <w:marRight w:val="0"/>
      <w:marTop w:val="0"/>
      <w:marBottom w:val="0"/>
      <w:divBdr>
        <w:top w:val="none" w:sz="0" w:space="0" w:color="auto"/>
        <w:left w:val="none" w:sz="0" w:space="0" w:color="auto"/>
        <w:bottom w:val="none" w:sz="0" w:space="0" w:color="auto"/>
        <w:right w:val="none" w:sz="0" w:space="0" w:color="auto"/>
      </w:divBdr>
      <w:divsChild>
        <w:div w:id="331951925">
          <w:marLeft w:val="0"/>
          <w:marRight w:val="0"/>
          <w:marTop w:val="0"/>
          <w:marBottom w:val="180"/>
          <w:divBdr>
            <w:top w:val="none" w:sz="0" w:space="0" w:color="auto"/>
            <w:left w:val="none" w:sz="0" w:space="0" w:color="auto"/>
            <w:bottom w:val="none" w:sz="0" w:space="0" w:color="auto"/>
            <w:right w:val="none" w:sz="0" w:space="0" w:color="auto"/>
          </w:divBdr>
        </w:div>
      </w:divsChild>
    </w:div>
    <w:div w:id="367225354">
      <w:marLeft w:val="0"/>
      <w:marRight w:val="0"/>
      <w:marTop w:val="0"/>
      <w:marBottom w:val="0"/>
      <w:divBdr>
        <w:top w:val="none" w:sz="0" w:space="0" w:color="auto"/>
        <w:left w:val="none" w:sz="0" w:space="0" w:color="auto"/>
        <w:bottom w:val="none" w:sz="0" w:space="0" w:color="auto"/>
        <w:right w:val="none" w:sz="0" w:space="0" w:color="auto"/>
      </w:divBdr>
    </w:div>
    <w:div w:id="367536912">
      <w:marLeft w:val="0"/>
      <w:marRight w:val="0"/>
      <w:marTop w:val="0"/>
      <w:marBottom w:val="0"/>
      <w:divBdr>
        <w:top w:val="none" w:sz="0" w:space="0" w:color="auto"/>
        <w:left w:val="none" w:sz="0" w:space="0" w:color="auto"/>
        <w:bottom w:val="none" w:sz="0" w:space="0" w:color="auto"/>
        <w:right w:val="none" w:sz="0" w:space="0" w:color="auto"/>
      </w:divBdr>
      <w:divsChild>
        <w:div w:id="1589339867">
          <w:marLeft w:val="0"/>
          <w:marRight w:val="0"/>
          <w:marTop w:val="0"/>
          <w:marBottom w:val="0"/>
          <w:divBdr>
            <w:top w:val="none" w:sz="0" w:space="0" w:color="auto"/>
            <w:left w:val="none" w:sz="0" w:space="0" w:color="auto"/>
            <w:bottom w:val="none" w:sz="0" w:space="0" w:color="auto"/>
            <w:right w:val="none" w:sz="0" w:space="0" w:color="auto"/>
          </w:divBdr>
        </w:div>
      </w:divsChild>
    </w:div>
    <w:div w:id="373966733">
      <w:marLeft w:val="0"/>
      <w:marRight w:val="0"/>
      <w:marTop w:val="100"/>
      <w:marBottom w:val="100"/>
      <w:divBdr>
        <w:top w:val="none" w:sz="0" w:space="0" w:color="auto"/>
        <w:left w:val="none" w:sz="0" w:space="0" w:color="auto"/>
        <w:bottom w:val="none" w:sz="0" w:space="0" w:color="auto"/>
        <w:right w:val="none" w:sz="0" w:space="0" w:color="auto"/>
      </w:divBdr>
      <w:divsChild>
        <w:div w:id="1668096176">
          <w:marLeft w:val="0"/>
          <w:marRight w:val="0"/>
          <w:marTop w:val="0"/>
          <w:marBottom w:val="0"/>
          <w:divBdr>
            <w:top w:val="none" w:sz="0" w:space="0" w:color="auto"/>
            <w:left w:val="none" w:sz="0" w:space="0" w:color="auto"/>
            <w:bottom w:val="none" w:sz="0" w:space="0" w:color="auto"/>
            <w:right w:val="none" w:sz="0" w:space="0" w:color="auto"/>
          </w:divBdr>
        </w:div>
      </w:divsChild>
    </w:div>
    <w:div w:id="374432243">
      <w:marLeft w:val="0"/>
      <w:marRight w:val="0"/>
      <w:marTop w:val="0"/>
      <w:marBottom w:val="240"/>
      <w:divBdr>
        <w:top w:val="none" w:sz="0" w:space="0" w:color="auto"/>
        <w:left w:val="none" w:sz="0" w:space="0" w:color="auto"/>
        <w:bottom w:val="none" w:sz="0" w:space="0" w:color="auto"/>
        <w:right w:val="none" w:sz="0" w:space="0" w:color="auto"/>
      </w:divBdr>
    </w:div>
    <w:div w:id="375399737">
      <w:marLeft w:val="0"/>
      <w:marRight w:val="0"/>
      <w:marTop w:val="0"/>
      <w:marBottom w:val="240"/>
      <w:divBdr>
        <w:top w:val="none" w:sz="0" w:space="0" w:color="auto"/>
        <w:left w:val="none" w:sz="0" w:space="0" w:color="auto"/>
        <w:bottom w:val="none" w:sz="0" w:space="0" w:color="auto"/>
        <w:right w:val="none" w:sz="0" w:space="0" w:color="auto"/>
      </w:divBdr>
    </w:div>
    <w:div w:id="375549710">
      <w:marLeft w:val="0"/>
      <w:marRight w:val="0"/>
      <w:marTop w:val="0"/>
      <w:marBottom w:val="0"/>
      <w:divBdr>
        <w:top w:val="none" w:sz="0" w:space="0" w:color="auto"/>
        <w:left w:val="none" w:sz="0" w:space="0" w:color="auto"/>
        <w:bottom w:val="none" w:sz="0" w:space="0" w:color="auto"/>
        <w:right w:val="none" w:sz="0" w:space="0" w:color="auto"/>
      </w:divBdr>
    </w:div>
    <w:div w:id="378087337">
      <w:marLeft w:val="0"/>
      <w:marRight w:val="0"/>
      <w:marTop w:val="0"/>
      <w:marBottom w:val="0"/>
      <w:divBdr>
        <w:top w:val="none" w:sz="0" w:space="0" w:color="auto"/>
        <w:left w:val="none" w:sz="0" w:space="0" w:color="auto"/>
        <w:bottom w:val="none" w:sz="0" w:space="0" w:color="auto"/>
        <w:right w:val="none" w:sz="0" w:space="0" w:color="auto"/>
      </w:divBdr>
      <w:divsChild>
        <w:div w:id="376051781">
          <w:marLeft w:val="0"/>
          <w:marRight w:val="0"/>
          <w:marTop w:val="0"/>
          <w:marBottom w:val="0"/>
          <w:divBdr>
            <w:top w:val="none" w:sz="0" w:space="0" w:color="auto"/>
            <w:left w:val="none" w:sz="0" w:space="0" w:color="auto"/>
            <w:bottom w:val="none" w:sz="0" w:space="0" w:color="auto"/>
            <w:right w:val="none" w:sz="0" w:space="0" w:color="auto"/>
          </w:divBdr>
        </w:div>
      </w:divsChild>
    </w:div>
    <w:div w:id="378628456">
      <w:marLeft w:val="0"/>
      <w:marRight w:val="0"/>
      <w:marTop w:val="0"/>
      <w:marBottom w:val="180"/>
      <w:divBdr>
        <w:top w:val="none" w:sz="0" w:space="0" w:color="auto"/>
        <w:left w:val="none" w:sz="0" w:space="0" w:color="auto"/>
        <w:bottom w:val="none" w:sz="0" w:space="0" w:color="auto"/>
        <w:right w:val="none" w:sz="0" w:space="0" w:color="auto"/>
      </w:divBdr>
    </w:div>
    <w:div w:id="380518326">
      <w:marLeft w:val="0"/>
      <w:marRight w:val="0"/>
      <w:marTop w:val="0"/>
      <w:marBottom w:val="240"/>
      <w:divBdr>
        <w:top w:val="none" w:sz="0" w:space="0" w:color="auto"/>
        <w:left w:val="none" w:sz="0" w:space="0" w:color="auto"/>
        <w:bottom w:val="none" w:sz="0" w:space="0" w:color="auto"/>
        <w:right w:val="none" w:sz="0" w:space="0" w:color="auto"/>
      </w:divBdr>
    </w:div>
    <w:div w:id="381054207">
      <w:marLeft w:val="0"/>
      <w:marRight w:val="0"/>
      <w:marTop w:val="0"/>
      <w:marBottom w:val="240"/>
      <w:divBdr>
        <w:top w:val="none" w:sz="0" w:space="0" w:color="auto"/>
        <w:left w:val="none" w:sz="0" w:space="0" w:color="auto"/>
        <w:bottom w:val="none" w:sz="0" w:space="0" w:color="auto"/>
        <w:right w:val="none" w:sz="0" w:space="0" w:color="auto"/>
      </w:divBdr>
    </w:div>
    <w:div w:id="381365457">
      <w:marLeft w:val="0"/>
      <w:marRight w:val="0"/>
      <w:marTop w:val="100"/>
      <w:marBottom w:val="100"/>
      <w:divBdr>
        <w:top w:val="none" w:sz="0" w:space="0" w:color="auto"/>
        <w:left w:val="none" w:sz="0" w:space="0" w:color="auto"/>
        <w:bottom w:val="none" w:sz="0" w:space="0" w:color="auto"/>
        <w:right w:val="none" w:sz="0" w:space="0" w:color="auto"/>
      </w:divBdr>
    </w:div>
    <w:div w:id="381371955">
      <w:marLeft w:val="0"/>
      <w:marRight w:val="0"/>
      <w:marTop w:val="0"/>
      <w:marBottom w:val="180"/>
      <w:divBdr>
        <w:top w:val="none" w:sz="0" w:space="0" w:color="auto"/>
        <w:left w:val="none" w:sz="0" w:space="0" w:color="auto"/>
        <w:bottom w:val="none" w:sz="0" w:space="0" w:color="auto"/>
        <w:right w:val="none" w:sz="0" w:space="0" w:color="auto"/>
      </w:divBdr>
    </w:div>
    <w:div w:id="382800166">
      <w:marLeft w:val="0"/>
      <w:marRight w:val="0"/>
      <w:marTop w:val="0"/>
      <w:marBottom w:val="0"/>
      <w:divBdr>
        <w:top w:val="none" w:sz="0" w:space="0" w:color="auto"/>
        <w:left w:val="none" w:sz="0" w:space="0" w:color="auto"/>
        <w:bottom w:val="none" w:sz="0" w:space="0" w:color="auto"/>
        <w:right w:val="none" w:sz="0" w:space="0" w:color="auto"/>
      </w:divBdr>
      <w:divsChild>
        <w:div w:id="309754609">
          <w:marLeft w:val="0"/>
          <w:marRight w:val="0"/>
          <w:marTop w:val="0"/>
          <w:marBottom w:val="0"/>
          <w:divBdr>
            <w:top w:val="none" w:sz="0" w:space="0" w:color="auto"/>
            <w:left w:val="none" w:sz="0" w:space="0" w:color="auto"/>
            <w:bottom w:val="none" w:sz="0" w:space="0" w:color="auto"/>
            <w:right w:val="none" w:sz="0" w:space="0" w:color="auto"/>
          </w:divBdr>
        </w:div>
      </w:divsChild>
    </w:div>
    <w:div w:id="384990272">
      <w:marLeft w:val="0"/>
      <w:marRight w:val="0"/>
      <w:marTop w:val="0"/>
      <w:marBottom w:val="180"/>
      <w:divBdr>
        <w:top w:val="none" w:sz="0" w:space="0" w:color="auto"/>
        <w:left w:val="none" w:sz="0" w:space="0" w:color="auto"/>
        <w:bottom w:val="none" w:sz="0" w:space="0" w:color="auto"/>
        <w:right w:val="none" w:sz="0" w:space="0" w:color="auto"/>
      </w:divBdr>
    </w:div>
    <w:div w:id="386147320">
      <w:marLeft w:val="0"/>
      <w:marRight w:val="0"/>
      <w:marTop w:val="0"/>
      <w:marBottom w:val="240"/>
      <w:divBdr>
        <w:top w:val="none" w:sz="0" w:space="0" w:color="auto"/>
        <w:left w:val="none" w:sz="0" w:space="0" w:color="auto"/>
        <w:bottom w:val="none" w:sz="0" w:space="0" w:color="auto"/>
        <w:right w:val="none" w:sz="0" w:space="0" w:color="auto"/>
      </w:divBdr>
    </w:div>
    <w:div w:id="386300216">
      <w:marLeft w:val="0"/>
      <w:marRight w:val="0"/>
      <w:marTop w:val="0"/>
      <w:marBottom w:val="180"/>
      <w:divBdr>
        <w:top w:val="none" w:sz="0" w:space="0" w:color="auto"/>
        <w:left w:val="none" w:sz="0" w:space="0" w:color="auto"/>
        <w:bottom w:val="none" w:sz="0" w:space="0" w:color="auto"/>
        <w:right w:val="none" w:sz="0" w:space="0" w:color="auto"/>
      </w:divBdr>
    </w:div>
    <w:div w:id="386800571">
      <w:marLeft w:val="0"/>
      <w:marRight w:val="0"/>
      <w:marTop w:val="120"/>
      <w:marBottom w:val="120"/>
      <w:divBdr>
        <w:top w:val="none" w:sz="0" w:space="0" w:color="auto"/>
        <w:left w:val="none" w:sz="0" w:space="0" w:color="auto"/>
        <w:bottom w:val="none" w:sz="0" w:space="0" w:color="auto"/>
        <w:right w:val="none" w:sz="0" w:space="0" w:color="auto"/>
      </w:divBdr>
    </w:div>
    <w:div w:id="386994306">
      <w:marLeft w:val="0"/>
      <w:marRight w:val="0"/>
      <w:marTop w:val="0"/>
      <w:marBottom w:val="0"/>
      <w:divBdr>
        <w:top w:val="none" w:sz="0" w:space="0" w:color="auto"/>
        <w:left w:val="none" w:sz="0" w:space="0" w:color="auto"/>
        <w:bottom w:val="none" w:sz="0" w:space="0" w:color="auto"/>
        <w:right w:val="none" w:sz="0" w:space="0" w:color="auto"/>
      </w:divBdr>
    </w:div>
    <w:div w:id="387873766">
      <w:marLeft w:val="0"/>
      <w:marRight w:val="0"/>
      <w:marTop w:val="0"/>
      <w:marBottom w:val="0"/>
      <w:divBdr>
        <w:top w:val="none" w:sz="0" w:space="0" w:color="auto"/>
        <w:left w:val="none" w:sz="0" w:space="0" w:color="auto"/>
        <w:bottom w:val="none" w:sz="0" w:space="0" w:color="auto"/>
        <w:right w:val="none" w:sz="0" w:space="0" w:color="auto"/>
      </w:divBdr>
    </w:div>
    <w:div w:id="388499759">
      <w:marLeft w:val="0"/>
      <w:marRight w:val="0"/>
      <w:marTop w:val="0"/>
      <w:marBottom w:val="240"/>
      <w:divBdr>
        <w:top w:val="none" w:sz="0" w:space="0" w:color="auto"/>
        <w:left w:val="none" w:sz="0" w:space="0" w:color="auto"/>
        <w:bottom w:val="none" w:sz="0" w:space="0" w:color="auto"/>
        <w:right w:val="none" w:sz="0" w:space="0" w:color="auto"/>
      </w:divBdr>
    </w:div>
    <w:div w:id="389233130">
      <w:marLeft w:val="0"/>
      <w:marRight w:val="0"/>
      <w:marTop w:val="0"/>
      <w:marBottom w:val="180"/>
      <w:divBdr>
        <w:top w:val="none" w:sz="0" w:space="0" w:color="auto"/>
        <w:left w:val="none" w:sz="0" w:space="0" w:color="auto"/>
        <w:bottom w:val="none" w:sz="0" w:space="0" w:color="auto"/>
        <w:right w:val="none" w:sz="0" w:space="0" w:color="auto"/>
      </w:divBdr>
    </w:div>
    <w:div w:id="389235181">
      <w:marLeft w:val="0"/>
      <w:marRight w:val="0"/>
      <w:marTop w:val="0"/>
      <w:marBottom w:val="0"/>
      <w:divBdr>
        <w:top w:val="none" w:sz="0" w:space="0" w:color="auto"/>
        <w:left w:val="none" w:sz="0" w:space="0" w:color="auto"/>
        <w:bottom w:val="none" w:sz="0" w:space="0" w:color="auto"/>
        <w:right w:val="none" w:sz="0" w:space="0" w:color="auto"/>
      </w:divBdr>
    </w:div>
    <w:div w:id="389695342">
      <w:marLeft w:val="0"/>
      <w:marRight w:val="0"/>
      <w:marTop w:val="0"/>
      <w:marBottom w:val="240"/>
      <w:divBdr>
        <w:top w:val="none" w:sz="0" w:space="0" w:color="auto"/>
        <w:left w:val="none" w:sz="0" w:space="0" w:color="auto"/>
        <w:bottom w:val="none" w:sz="0" w:space="0" w:color="auto"/>
        <w:right w:val="none" w:sz="0" w:space="0" w:color="auto"/>
      </w:divBdr>
    </w:div>
    <w:div w:id="389815512">
      <w:marLeft w:val="0"/>
      <w:marRight w:val="0"/>
      <w:marTop w:val="0"/>
      <w:marBottom w:val="180"/>
      <w:divBdr>
        <w:top w:val="none" w:sz="0" w:space="0" w:color="auto"/>
        <w:left w:val="none" w:sz="0" w:space="0" w:color="auto"/>
        <w:bottom w:val="none" w:sz="0" w:space="0" w:color="auto"/>
        <w:right w:val="none" w:sz="0" w:space="0" w:color="auto"/>
      </w:divBdr>
    </w:div>
    <w:div w:id="390273557">
      <w:marLeft w:val="0"/>
      <w:marRight w:val="0"/>
      <w:marTop w:val="0"/>
      <w:marBottom w:val="180"/>
      <w:divBdr>
        <w:top w:val="none" w:sz="0" w:space="0" w:color="auto"/>
        <w:left w:val="none" w:sz="0" w:space="0" w:color="auto"/>
        <w:bottom w:val="none" w:sz="0" w:space="0" w:color="auto"/>
        <w:right w:val="none" w:sz="0" w:space="0" w:color="auto"/>
      </w:divBdr>
    </w:div>
    <w:div w:id="392123971">
      <w:marLeft w:val="0"/>
      <w:marRight w:val="0"/>
      <w:marTop w:val="180"/>
      <w:marBottom w:val="180"/>
      <w:divBdr>
        <w:top w:val="none" w:sz="0" w:space="0" w:color="auto"/>
        <w:left w:val="none" w:sz="0" w:space="0" w:color="auto"/>
        <w:bottom w:val="none" w:sz="0" w:space="0" w:color="auto"/>
        <w:right w:val="none" w:sz="0" w:space="0" w:color="auto"/>
      </w:divBdr>
    </w:div>
    <w:div w:id="392628551">
      <w:marLeft w:val="0"/>
      <w:marRight w:val="0"/>
      <w:marTop w:val="0"/>
      <w:marBottom w:val="120"/>
      <w:divBdr>
        <w:top w:val="none" w:sz="0" w:space="0" w:color="auto"/>
        <w:left w:val="none" w:sz="0" w:space="0" w:color="auto"/>
        <w:bottom w:val="none" w:sz="0" w:space="0" w:color="auto"/>
        <w:right w:val="none" w:sz="0" w:space="0" w:color="auto"/>
      </w:divBdr>
    </w:div>
    <w:div w:id="393893056">
      <w:marLeft w:val="0"/>
      <w:marRight w:val="0"/>
      <w:marTop w:val="180"/>
      <w:marBottom w:val="180"/>
      <w:divBdr>
        <w:top w:val="none" w:sz="0" w:space="0" w:color="auto"/>
        <w:left w:val="none" w:sz="0" w:space="0" w:color="auto"/>
        <w:bottom w:val="none" w:sz="0" w:space="0" w:color="auto"/>
        <w:right w:val="none" w:sz="0" w:space="0" w:color="auto"/>
      </w:divBdr>
    </w:div>
    <w:div w:id="393893551">
      <w:marLeft w:val="0"/>
      <w:marRight w:val="0"/>
      <w:marTop w:val="0"/>
      <w:marBottom w:val="240"/>
      <w:divBdr>
        <w:top w:val="none" w:sz="0" w:space="0" w:color="auto"/>
        <w:left w:val="none" w:sz="0" w:space="0" w:color="auto"/>
        <w:bottom w:val="none" w:sz="0" w:space="0" w:color="auto"/>
        <w:right w:val="none" w:sz="0" w:space="0" w:color="auto"/>
      </w:divBdr>
    </w:div>
    <w:div w:id="394668712">
      <w:marLeft w:val="0"/>
      <w:marRight w:val="0"/>
      <w:marTop w:val="120"/>
      <w:marBottom w:val="120"/>
      <w:divBdr>
        <w:top w:val="none" w:sz="0" w:space="0" w:color="auto"/>
        <w:left w:val="none" w:sz="0" w:space="0" w:color="auto"/>
        <w:bottom w:val="none" w:sz="0" w:space="0" w:color="auto"/>
        <w:right w:val="none" w:sz="0" w:space="0" w:color="auto"/>
      </w:divBdr>
    </w:div>
    <w:div w:id="395589833">
      <w:marLeft w:val="0"/>
      <w:marRight w:val="0"/>
      <w:marTop w:val="120"/>
      <w:marBottom w:val="120"/>
      <w:divBdr>
        <w:top w:val="none" w:sz="0" w:space="0" w:color="auto"/>
        <w:left w:val="none" w:sz="0" w:space="0" w:color="auto"/>
        <w:bottom w:val="none" w:sz="0" w:space="0" w:color="auto"/>
        <w:right w:val="none" w:sz="0" w:space="0" w:color="auto"/>
      </w:divBdr>
    </w:div>
    <w:div w:id="395862791">
      <w:marLeft w:val="0"/>
      <w:marRight w:val="0"/>
      <w:marTop w:val="0"/>
      <w:marBottom w:val="240"/>
      <w:divBdr>
        <w:top w:val="none" w:sz="0" w:space="0" w:color="auto"/>
        <w:left w:val="none" w:sz="0" w:space="0" w:color="auto"/>
        <w:bottom w:val="none" w:sz="0" w:space="0" w:color="auto"/>
        <w:right w:val="none" w:sz="0" w:space="0" w:color="auto"/>
      </w:divBdr>
    </w:div>
    <w:div w:id="396130536">
      <w:marLeft w:val="0"/>
      <w:marRight w:val="0"/>
      <w:marTop w:val="0"/>
      <w:marBottom w:val="0"/>
      <w:divBdr>
        <w:top w:val="none" w:sz="0" w:space="0" w:color="auto"/>
        <w:left w:val="none" w:sz="0" w:space="0" w:color="auto"/>
        <w:bottom w:val="none" w:sz="0" w:space="0" w:color="auto"/>
        <w:right w:val="none" w:sz="0" w:space="0" w:color="auto"/>
      </w:divBdr>
    </w:div>
    <w:div w:id="396780825">
      <w:marLeft w:val="0"/>
      <w:marRight w:val="0"/>
      <w:marTop w:val="0"/>
      <w:marBottom w:val="240"/>
      <w:divBdr>
        <w:top w:val="none" w:sz="0" w:space="0" w:color="auto"/>
        <w:left w:val="none" w:sz="0" w:space="0" w:color="auto"/>
        <w:bottom w:val="none" w:sz="0" w:space="0" w:color="auto"/>
        <w:right w:val="none" w:sz="0" w:space="0" w:color="auto"/>
      </w:divBdr>
    </w:div>
    <w:div w:id="396831228">
      <w:marLeft w:val="0"/>
      <w:marRight w:val="0"/>
      <w:marTop w:val="120"/>
      <w:marBottom w:val="120"/>
      <w:divBdr>
        <w:top w:val="none" w:sz="0" w:space="0" w:color="auto"/>
        <w:left w:val="none" w:sz="0" w:space="0" w:color="auto"/>
        <w:bottom w:val="none" w:sz="0" w:space="0" w:color="auto"/>
        <w:right w:val="none" w:sz="0" w:space="0" w:color="auto"/>
      </w:divBdr>
    </w:div>
    <w:div w:id="397827588">
      <w:marLeft w:val="0"/>
      <w:marRight w:val="0"/>
      <w:marTop w:val="180"/>
      <w:marBottom w:val="180"/>
      <w:divBdr>
        <w:top w:val="none" w:sz="0" w:space="0" w:color="auto"/>
        <w:left w:val="none" w:sz="0" w:space="0" w:color="auto"/>
        <w:bottom w:val="none" w:sz="0" w:space="0" w:color="auto"/>
        <w:right w:val="none" w:sz="0" w:space="0" w:color="auto"/>
      </w:divBdr>
    </w:div>
    <w:div w:id="397872489">
      <w:marLeft w:val="0"/>
      <w:marRight w:val="0"/>
      <w:marTop w:val="0"/>
      <w:marBottom w:val="0"/>
      <w:divBdr>
        <w:top w:val="none" w:sz="0" w:space="0" w:color="auto"/>
        <w:left w:val="none" w:sz="0" w:space="0" w:color="auto"/>
        <w:bottom w:val="none" w:sz="0" w:space="0" w:color="auto"/>
        <w:right w:val="none" w:sz="0" w:space="0" w:color="auto"/>
      </w:divBdr>
    </w:div>
    <w:div w:id="402870103">
      <w:marLeft w:val="0"/>
      <w:marRight w:val="0"/>
      <w:marTop w:val="0"/>
      <w:marBottom w:val="0"/>
      <w:divBdr>
        <w:top w:val="none" w:sz="0" w:space="0" w:color="auto"/>
        <w:left w:val="none" w:sz="0" w:space="0" w:color="auto"/>
        <w:bottom w:val="none" w:sz="0" w:space="0" w:color="auto"/>
        <w:right w:val="none" w:sz="0" w:space="0" w:color="auto"/>
      </w:divBdr>
      <w:divsChild>
        <w:div w:id="1259405319">
          <w:marLeft w:val="0"/>
          <w:marRight w:val="0"/>
          <w:marTop w:val="0"/>
          <w:marBottom w:val="0"/>
          <w:divBdr>
            <w:top w:val="none" w:sz="0" w:space="0" w:color="auto"/>
            <w:left w:val="none" w:sz="0" w:space="0" w:color="auto"/>
            <w:bottom w:val="none" w:sz="0" w:space="0" w:color="auto"/>
            <w:right w:val="none" w:sz="0" w:space="0" w:color="auto"/>
          </w:divBdr>
        </w:div>
      </w:divsChild>
    </w:div>
    <w:div w:id="404304931">
      <w:marLeft w:val="0"/>
      <w:marRight w:val="0"/>
      <w:marTop w:val="0"/>
      <w:marBottom w:val="60"/>
      <w:divBdr>
        <w:top w:val="none" w:sz="0" w:space="0" w:color="auto"/>
        <w:left w:val="none" w:sz="0" w:space="0" w:color="auto"/>
        <w:bottom w:val="none" w:sz="0" w:space="0" w:color="auto"/>
        <w:right w:val="none" w:sz="0" w:space="0" w:color="auto"/>
      </w:divBdr>
    </w:div>
    <w:div w:id="405105489">
      <w:marLeft w:val="0"/>
      <w:marRight w:val="0"/>
      <w:marTop w:val="0"/>
      <w:marBottom w:val="0"/>
      <w:divBdr>
        <w:top w:val="none" w:sz="0" w:space="0" w:color="auto"/>
        <w:left w:val="none" w:sz="0" w:space="0" w:color="auto"/>
        <w:bottom w:val="none" w:sz="0" w:space="0" w:color="auto"/>
        <w:right w:val="none" w:sz="0" w:space="0" w:color="auto"/>
      </w:divBdr>
    </w:div>
    <w:div w:id="405307147">
      <w:marLeft w:val="0"/>
      <w:marRight w:val="0"/>
      <w:marTop w:val="180"/>
      <w:marBottom w:val="180"/>
      <w:divBdr>
        <w:top w:val="none" w:sz="0" w:space="0" w:color="auto"/>
        <w:left w:val="none" w:sz="0" w:space="0" w:color="auto"/>
        <w:bottom w:val="none" w:sz="0" w:space="0" w:color="auto"/>
        <w:right w:val="none" w:sz="0" w:space="0" w:color="auto"/>
      </w:divBdr>
    </w:div>
    <w:div w:id="406155270">
      <w:marLeft w:val="0"/>
      <w:marRight w:val="0"/>
      <w:marTop w:val="120"/>
      <w:marBottom w:val="240"/>
      <w:divBdr>
        <w:top w:val="none" w:sz="0" w:space="0" w:color="auto"/>
        <w:left w:val="none" w:sz="0" w:space="0" w:color="auto"/>
        <w:bottom w:val="none" w:sz="0" w:space="0" w:color="auto"/>
        <w:right w:val="none" w:sz="0" w:space="0" w:color="auto"/>
      </w:divBdr>
    </w:div>
    <w:div w:id="406466585">
      <w:marLeft w:val="0"/>
      <w:marRight w:val="0"/>
      <w:marTop w:val="0"/>
      <w:marBottom w:val="180"/>
      <w:divBdr>
        <w:top w:val="none" w:sz="0" w:space="0" w:color="auto"/>
        <w:left w:val="none" w:sz="0" w:space="0" w:color="auto"/>
        <w:bottom w:val="none" w:sz="0" w:space="0" w:color="auto"/>
        <w:right w:val="none" w:sz="0" w:space="0" w:color="auto"/>
      </w:divBdr>
    </w:div>
    <w:div w:id="406806950">
      <w:marLeft w:val="0"/>
      <w:marRight w:val="0"/>
      <w:marTop w:val="120"/>
      <w:marBottom w:val="180"/>
      <w:divBdr>
        <w:top w:val="none" w:sz="0" w:space="0" w:color="auto"/>
        <w:left w:val="none" w:sz="0" w:space="0" w:color="auto"/>
        <w:bottom w:val="none" w:sz="0" w:space="0" w:color="auto"/>
        <w:right w:val="none" w:sz="0" w:space="0" w:color="auto"/>
      </w:divBdr>
    </w:div>
    <w:div w:id="408963462">
      <w:marLeft w:val="0"/>
      <w:marRight w:val="0"/>
      <w:marTop w:val="0"/>
      <w:marBottom w:val="0"/>
      <w:divBdr>
        <w:top w:val="none" w:sz="0" w:space="0" w:color="auto"/>
        <w:left w:val="none" w:sz="0" w:space="0" w:color="auto"/>
        <w:bottom w:val="none" w:sz="0" w:space="0" w:color="auto"/>
        <w:right w:val="none" w:sz="0" w:space="0" w:color="auto"/>
      </w:divBdr>
    </w:div>
    <w:div w:id="410542830">
      <w:marLeft w:val="0"/>
      <w:marRight w:val="0"/>
      <w:marTop w:val="100"/>
      <w:marBottom w:val="100"/>
      <w:divBdr>
        <w:top w:val="none" w:sz="0" w:space="0" w:color="auto"/>
        <w:left w:val="none" w:sz="0" w:space="0" w:color="auto"/>
        <w:bottom w:val="none" w:sz="0" w:space="0" w:color="auto"/>
        <w:right w:val="none" w:sz="0" w:space="0" w:color="auto"/>
      </w:divBdr>
    </w:div>
    <w:div w:id="412894767">
      <w:marLeft w:val="0"/>
      <w:marRight w:val="0"/>
      <w:marTop w:val="0"/>
      <w:marBottom w:val="0"/>
      <w:divBdr>
        <w:top w:val="none" w:sz="0" w:space="0" w:color="auto"/>
        <w:left w:val="none" w:sz="0" w:space="0" w:color="auto"/>
        <w:bottom w:val="none" w:sz="0" w:space="0" w:color="auto"/>
        <w:right w:val="none" w:sz="0" w:space="0" w:color="auto"/>
      </w:divBdr>
    </w:div>
    <w:div w:id="413933882">
      <w:marLeft w:val="0"/>
      <w:marRight w:val="0"/>
      <w:marTop w:val="0"/>
      <w:marBottom w:val="180"/>
      <w:divBdr>
        <w:top w:val="none" w:sz="0" w:space="0" w:color="auto"/>
        <w:left w:val="none" w:sz="0" w:space="0" w:color="auto"/>
        <w:bottom w:val="none" w:sz="0" w:space="0" w:color="auto"/>
        <w:right w:val="none" w:sz="0" w:space="0" w:color="auto"/>
      </w:divBdr>
    </w:div>
    <w:div w:id="414665549">
      <w:marLeft w:val="0"/>
      <w:marRight w:val="0"/>
      <w:marTop w:val="0"/>
      <w:marBottom w:val="180"/>
      <w:divBdr>
        <w:top w:val="none" w:sz="0" w:space="0" w:color="auto"/>
        <w:left w:val="none" w:sz="0" w:space="0" w:color="auto"/>
        <w:bottom w:val="none" w:sz="0" w:space="0" w:color="auto"/>
        <w:right w:val="none" w:sz="0" w:space="0" w:color="auto"/>
      </w:divBdr>
    </w:div>
    <w:div w:id="415781989">
      <w:marLeft w:val="0"/>
      <w:marRight w:val="0"/>
      <w:marTop w:val="180"/>
      <w:marBottom w:val="180"/>
      <w:divBdr>
        <w:top w:val="none" w:sz="0" w:space="0" w:color="auto"/>
        <w:left w:val="none" w:sz="0" w:space="0" w:color="auto"/>
        <w:bottom w:val="none" w:sz="0" w:space="0" w:color="auto"/>
        <w:right w:val="none" w:sz="0" w:space="0" w:color="auto"/>
      </w:divBdr>
    </w:div>
    <w:div w:id="417093230">
      <w:marLeft w:val="0"/>
      <w:marRight w:val="0"/>
      <w:marTop w:val="240"/>
      <w:marBottom w:val="180"/>
      <w:divBdr>
        <w:top w:val="none" w:sz="0" w:space="0" w:color="auto"/>
        <w:left w:val="none" w:sz="0" w:space="0" w:color="auto"/>
        <w:bottom w:val="none" w:sz="0" w:space="0" w:color="auto"/>
        <w:right w:val="none" w:sz="0" w:space="0" w:color="auto"/>
      </w:divBdr>
    </w:div>
    <w:div w:id="418872701">
      <w:marLeft w:val="0"/>
      <w:marRight w:val="0"/>
      <w:marTop w:val="0"/>
      <w:marBottom w:val="240"/>
      <w:divBdr>
        <w:top w:val="none" w:sz="0" w:space="0" w:color="auto"/>
        <w:left w:val="none" w:sz="0" w:space="0" w:color="auto"/>
        <w:bottom w:val="none" w:sz="0" w:space="0" w:color="auto"/>
        <w:right w:val="none" w:sz="0" w:space="0" w:color="auto"/>
      </w:divBdr>
    </w:div>
    <w:div w:id="421142096">
      <w:marLeft w:val="0"/>
      <w:marRight w:val="0"/>
      <w:marTop w:val="0"/>
      <w:marBottom w:val="180"/>
      <w:divBdr>
        <w:top w:val="none" w:sz="0" w:space="0" w:color="auto"/>
        <w:left w:val="none" w:sz="0" w:space="0" w:color="auto"/>
        <w:bottom w:val="none" w:sz="0" w:space="0" w:color="auto"/>
        <w:right w:val="none" w:sz="0" w:space="0" w:color="auto"/>
      </w:divBdr>
    </w:div>
    <w:div w:id="421993931">
      <w:marLeft w:val="0"/>
      <w:marRight w:val="0"/>
      <w:marTop w:val="0"/>
      <w:marBottom w:val="0"/>
      <w:divBdr>
        <w:top w:val="none" w:sz="0" w:space="0" w:color="auto"/>
        <w:left w:val="none" w:sz="0" w:space="0" w:color="auto"/>
        <w:bottom w:val="none" w:sz="0" w:space="0" w:color="auto"/>
        <w:right w:val="none" w:sz="0" w:space="0" w:color="auto"/>
      </w:divBdr>
    </w:div>
    <w:div w:id="422264763">
      <w:marLeft w:val="0"/>
      <w:marRight w:val="0"/>
      <w:marTop w:val="0"/>
      <w:marBottom w:val="240"/>
      <w:divBdr>
        <w:top w:val="none" w:sz="0" w:space="0" w:color="auto"/>
        <w:left w:val="none" w:sz="0" w:space="0" w:color="auto"/>
        <w:bottom w:val="none" w:sz="0" w:space="0" w:color="auto"/>
        <w:right w:val="none" w:sz="0" w:space="0" w:color="auto"/>
      </w:divBdr>
    </w:div>
    <w:div w:id="424037756">
      <w:marLeft w:val="0"/>
      <w:marRight w:val="0"/>
      <w:marTop w:val="180"/>
      <w:marBottom w:val="180"/>
      <w:divBdr>
        <w:top w:val="none" w:sz="0" w:space="0" w:color="auto"/>
        <w:left w:val="none" w:sz="0" w:space="0" w:color="auto"/>
        <w:bottom w:val="none" w:sz="0" w:space="0" w:color="auto"/>
        <w:right w:val="none" w:sz="0" w:space="0" w:color="auto"/>
      </w:divBdr>
    </w:div>
    <w:div w:id="424497151">
      <w:marLeft w:val="0"/>
      <w:marRight w:val="0"/>
      <w:marTop w:val="0"/>
      <w:marBottom w:val="180"/>
      <w:divBdr>
        <w:top w:val="none" w:sz="0" w:space="0" w:color="auto"/>
        <w:left w:val="none" w:sz="0" w:space="0" w:color="auto"/>
        <w:bottom w:val="none" w:sz="0" w:space="0" w:color="auto"/>
        <w:right w:val="none" w:sz="0" w:space="0" w:color="auto"/>
      </w:divBdr>
    </w:div>
    <w:div w:id="424618819">
      <w:marLeft w:val="0"/>
      <w:marRight w:val="0"/>
      <w:marTop w:val="0"/>
      <w:marBottom w:val="180"/>
      <w:divBdr>
        <w:top w:val="none" w:sz="0" w:space="0" w:color="auto"/>
        <w:left w:val="none" w:sz="0" w:space="0" w:color="auto"/>
        <w:bottom w:val="none" w:sz="0" w:space="0" w:color="auto"/>
        <w:right w:val="none" w:sz="0" w:space="0" w:color="auto"/>
      </w:divBdr>
    </w:div>
    <w:div w:id="424768459">
      <w:marLeft w:val="0"/>
      <w:marRight w:val="0"/>
      <w:marTop w:val="180"/>
      <w:marBottom w:val="180"/>
      <w:divBdr>
        <w:top w:val="none" w:sz="0" w:space="0" w:color="auto"/>
        <w:left w:val="none" w:sz="0" w:space="0" w:color="auto"/>
        <w:bottom w:val="none" w:sz="0" w:space="0" w:color="auto"/>
        <w:right w:val="none" w:sz="0" w:space="0" w:color="auto"/>
      </w:divBdr>
    </w:div>
    <w:div w:id="425734267">
      <w:marLeft w:val="0"/>
      <w:marRight w:val="0"/>
      <w:marTop w:val="180"/>
      <w:marBottom w:val="180"/>
      <w:divBdr>
        <w:top w:val="none" w:sz="0" w:space="0" w:color="auto"/>
        <w:left w:val="none" w:sz="0" w:space="0" w:color="auto"/>
        <w:bottom w:val="none" w:sz="0" w:space="0" w:color="auto"/>
        <w:right w:val="none" w:sz="0" w:space="0" w:color="auto"/>
      </w:divBdr>
    </w:div>
    <w:div w:id="427509794">
      <w:marLeft w:val="0"/>
      <w:marRight w:val="0"/>
      <w:marTop w:val="120"/>
      <w:marBottom w:val="120"/>
      <w:divBdr>
        <w:top w:val="none" w:sz="0" w:space="0" w:color="auto"/>
        <w:left w:val="none" w:sz="0" w:space="0" w:color="auto"/>
        <w:bottom w:val="none" w:sz="0" w:space="0" w:color="auto"/>
        <w:right w:val="none" w:sz="0" w:space="0" w:color="auto"/>
      </w:divBdr>
    </w:div>
    <w:div w:id="427584518">
      <w:marLeft w:val="0"/>
      <w:marRight w:val="0"/>
      <w:marTop w:val="180"/>
      <w:marBottom w:val="180"/>
      <w:divBdr>
        <w:top w:val="none" w:sz="0" w:space="0" w:color="auto"/>
        <w:left w:val="none" w:sz="0" w:space="0" w:color="auto"/>
        <w:bottom w:val="none" w:sz="0" w:space="0" w:color="auto"/>
        <w:right w:val="none" w:sz="0" w:space="0" w:color="auto"/>
      </w:divBdr>
    </w:div>
    <w:div w:id="428359049">
      <w:marLeft w:val="0"/>
      <w:marRight w:val="0"/>
      <w:marTop w:val="0"/>
      <w:marBottom w:val="240"/>
      <w:divBdr>
        <w:top w:val="none" w:sz="0" w:space="0" w:color="auto"/>
        <w:left w:val="none" w:sz="0" w:space="0" w:color="auto"/>
        <w:bottom w:val="none" w:sz="0" w:space="0" w:color="auto"/>
        <w:right w:val="none" w:sz="0" w:space="0" w:color="auto"/>
      </w:divBdr>
    </w:div>
    <w:div w:id="429548129">
      <w:marLeft w:val="0"/>
      <w:marRight w:val="0"/>
      <w:marTop w:val="0"/>
      <w:marBottom w:val="240"/>
      <w:divBdr>
        <w:top w:val="none" w:sz="0" w:space="0" w:color="auto"/>
        <w:left w:val="none" w:sz="0" w:space="0" w:color="auto"/>
        <w:bottom w:val="none" w:sz="0" w:space="0" w:color="auto"/>
        <w:right w:val="none" w:sz="0" w:space="0" w:color="auto"/>
      </w:divBdr>
    </w:div>
    <w:div w:id="431626467">
      <w:marLeft w:val="0"/>
      <w:marRight w:val="0"/>
      <w:marTop w:val="0"/>
      <w:marBottom w:val="0"/>
      <w:divBdr>
        <w:top w:val="none" w:sz="0" w:space="0" w:color="auto"/>
        <w:left w:val="none" w:sz="0" w:space="0" w:color="auto"/>
        <w:bottom w:val="none" w:sz="0" w:space="0" w:color="auto"/>
        <w:right w:val="none" w:sz="0" w:space="0" w:color="auto"/>
      </w:divBdr>
      <w:divsChild>
        <w:div w:id="100418142">
          <w:marLeft w:val="0"/>
          <w:marRight w:val="0"/>
          <w:marTop w:val="0"/>
          <w:marBottom w:val="0"/>
          <w:divBdr>
            <w:top w:val="none" w:sz="0" w:space="0" w:color="auto"/>
            <w:left w:val="none" w:sz="0" w:space="0" w:color="auto"/>
            <w:bottom w:val="none" w:sz="0" w:space="0" w:color="auto"/>
            <w:right w:val="none" w:sz="0" w:space="0" w:color="auto"/>
          </w:divBdr>
          <w:divsChild>
            <w:div w:id="7865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marLeft w:val="0"/>
      <w:marRight w:val="0"/>
      <w:marTop w:val="60"/>
      <w:marBottom w:val="0"/>
      <w:divBdr>
        <w:top w:val="none" w:sz="0" w:space="0" w:color="auto"/>
        <w:left w:val="none" w:sz="0" w:space="0" w:color="auto"/>
        <w:bottom w:val="none" w:sz="0" w:space="0" w:color="auto"/>
        <w:right w:val="none" w:sz="0" w:space="0" w:color="auto"/>
      </w:divBdr>
    </w:div>
    <w:div w:id="433133705">
      <w:marLeft w:val="0"/>
      <w:marRight w:val="0"/>
      <w:marTop w:val="0"/>
      <w:marBottom w:val="240"/>
      <w:divBdr>
        <w:top w:val="none" w:sz="0" w:space="0" w:color="auto"/>
        <w:left w:val="none" w:sz="0" w:space="0" w:color="auto"/>
        <w:bottom w:val="none" w:sz="0" w:space="0" w:color="auto"/>
        <w:right w:val="none" w:sz="0" w:space="0" w:color="auto"/>
      </w:divBdr>
    </w:div>
    <w:div w:id="437145776">
      <w:marLeft w:val="0"/>
      <w:marRight w:val="0"/>
      <w:marTop w:val="180"/>
      <w:marBottom w:val="180"/>
      <w:divBdr>
        <w:top w:val="none" w:sz="0" w:space="0" w:color="auto"/>
        <w:left w:val="none" w:sz="0" w:space="0" w:color="auto"/>
        <w:bottom w:val="none" w:sz="0" w:space="0" w:color="auto"/>
        <w:right w:val="none" w:sz="0" w:space="0" w:color="auto"/>
      </w:divBdr>
    </w:div>
    <w:div w:id="437411068">
      <w:marLeft w:val="0"/>
      <w:marRight w:val="0"/>
      <w:marTop w:val="0"/>
      <w:marBottom w:val="0"/>
      <w:divBdr>
        <w:top w:val="none" w:sz="0" w:space="0" w:color="auto"/>
        <w:left w:val="none" w:sz="0" w:space="0" w:color="auto"/>
        <w:bottom w:val="none" w:sz="0" w:space="0" w:color="auto"/>
        <w:right w:val="none" w:sz="0" w:space="0" w:color="auto"/>
      </w:divBdr>
    </w:div>
    <w:div w:id="442505989">
      <w:marLeft w:val="0"/>
      <w:marRight w:val="0"/>
      <w:marTop w:val="0"/>
      <w:marBottom w:val="60"/>
      <w:divBdr>
        <w:top w:val="none" w:sz="0" w:space="0" w:color="auto"/>
        <w:left w:val="none" w:sz="0" w:space="0" w:color="auto"/>
        <w:bottom w:val="none" w:sz="0" w:space="0" w:color="auto"/>
        <w:right w:val="none" w:sz="0" w:space="0" w:color="auto"/>
      </w:divBdr>
    </w:div>
    <w:div w:id="443034540">
      <w:marLeft w:val="0"/>
      <w:marRight w:val="0"/>
      <w:marTop w:val="0"/>
      <w:marBottom w:val="180"/>
      <w:divBdr>
        <w:top w:val="none" w:sz="0" w:space="0" w:color="auto"/>
        <w:left w:val="none" w:sz="0" w:space="0" w:color="auto"/>
        <w:bottom w:val="none" w:sz="0" w:space="0" w:color="auto"/>
        <w:right w:val="none" w:sz="0" w:space="0" w:color="auto"/>
      </w:divBdr>
    </w:div>
    <w:div w:id="445662768">
      <w:marLeft w:val="0"/>
      <w:marRight w:val="0"/>
      <w:marTop w:val="0"/>
      <w:marBottom w:val="0"/>
      <w:divBdr>
        <w:top w:val="none" w:sz="0" w:space="0" w:color="auto"/>
        <w:left w:val="none" w:sz="0" w:space="0" w:color="auto"/>
        <w:bottom w:val="none" w:sz="0" w:space="0" w:color="auto"/>
        <w:right w:val="none" w:sz="0" w:space="0" w:color="auto"/>
      </w:divBdr>
    </w:div>
    <w:div w:id="447818331">
      <w:marLeft w:val="0"/>
      <w:marRight w:val="0"/>
      <w:marTop w:val="120"/>
      <w:marBottom w:val="120"/>
      <w:divBdr>
        <w:top w:val="none" w:sz="0" w:space="0" w:color="auto"/>
        <w:left w:val="none" w:sz="0" w:space="0" w:color="auto"/>
        <w:bottom w:val="none" w:sz="0" w:space="0" w:color="auto"/>
        <w:right w:val="none" w:sz="0" w:space="0" w:color="auto"/>
      </w:divBdr>
    </w:div>
    <w:div w:id="449201774">
      <w:marLeft w:val="0"/>
      <w:marRight w:val="0"/>
      <w:marTop w:val="0"/>
      <w:marBottom w:val="180"/>
      <w:divBdr>
        <w:top w:val="none" w:sz="0" w:space="0" w:color="auto"/>
        <w:left w:val="none" w:sz="0" w:space="0" w:color="auto"/>
        <w:bottom w:val="none" w:sz="0" w:space="0" w:color="auto"/>
        <w:right w:val="none" w:sz="0" w:space="0" w:color="auto"/>
      </w:divBdr>
    </w:div>
    <w:div w:id="449397796">
      <w:marLeft w:val="0"/>
      <w:marRight w:val="0"/>
      <w:marTop w:val="0"/>
      <w:marBottom w:val="240"/>
      <w:divBdr>
        <w:top w:val="none" w:sz="0" w:space="0" w:color="auto"/>
        <w:left w:val="none" w:sz="0" w:space="0" w:color="auto"/>
        <w:bottom w:val="none" w:sz="0" w:space="0" w:color="auto"/>
        <w:right w:val="none" w:sz="0" w:space="0" w:color="auto"/>
      </w:divBdr>
    </w:div>
    <w:div w:id="450247785">
      <w:marLeft w:val="0"/>
      <w:marRight w:val="0"/>
      <w:marTop w:val="0"/>
      <w:marBottom w:val="0"/>
      <w:divBdr>
        <w:top w:val="none" w:sz="0" w:space="0" w:color="auto"/>
        <w:left w:val="none" w:sz="0" w:space="0" w:color="auto"/>
        <w:bottom w:val="none" w:sz="0" w:space="0" w:color="auto"/>
        <w:right w:val="none" w:sz="0" w:space="0" w:color="auto"/>
      </w:divBdr>
    </w:div>
    <w:div w:id="450512191">
      <w:marLeft w:val="0"/>
      <w:marRight w:val="0"/>
      <w:marTop w:val="0"/>
      <w:marBottom w:val="0"/>
      <w:divBdr>
        <w:top w:val="none" w:sz="0" w:space="0" w:color="auto"/>
        <w:left w:val="none" w:sz="0" w:space="0" w:color="auto"/>
        <w:bottom w:val="none" w:sz="0" w:space="0" w:color="auto"/>
        <w:right w:val="none" w:sz="0" w:space="0" w:color="auto"/>
      </w:divBdr>
    </w:div>
    <w:div w:id="453863514">
      <w:marLeft w:val="0"/>
      <w:marRight w:val="0"/>
      <w:marTop w:val="120"/>
      <w:marBottom w:val="120"/>
      <w:divBdr>
        <w:top w:val="none" w:sz="0" w:space="0" w:color="auto"/>
        <w:left w:val="none" w:sz="0" w:space="0" w:color="auto"/>
        <w:bottom w:val="none" w:sz="0" w:space="0" w:color="auto"/>
        <w:right w:val="none" w:sz="0" w:space="0" w:color="auto"/>
      </w:divBdr>
    </w:div>
    <w:div w:id="454451038">
      <w:marLeft w:val="0"/>
      <w:marRight w:val="0"/>
      <w:marTop w:val="120"/>
      <w:marBottom w:val="120"/>
      <w:divBdr>
        <w:top w:val="none" w:sz="0" w:space="0" w:color="auto"/>
        <w:left w:val="none" w:sz="0" w:space="0" w:color="auto"/>
        <w:bottom w:val="none" w:sz="0" w:space="0" w:color="auto"/>
        <w:right w:val="none" w:sz="0" w:space="0" w:color="auto"/>
      </w:divBdr>
    </w:div>
    <w:div w:id="454829544">
      <w:marLeft w:val="0"/>
      <w:marRight w:val="0"/>
      <w:marTop w:val="0"/>
      <w:marBottom w:val="180"/>
      <w:divBdr>
        <w:top w:val="none" w:sz="0" w:space="0" w:color="auto"/>
        <w:left w:val="none" w:sz="0" w:space="0" w:color="auto"/>
        <w:bottom w:val="none" w:sz="0" w:space="0" w:color="auto"/>
        <w:right w:val="none" w:sz="0" w:space="0" w:color="auto"/>
      </w:divBdr>
    </w:div>
    <w:div w:id="455877945">
      <w:marLeft w:val="0"/>
      <w:marRight w:val="0"/>
      <w:marTop w:val="0"/>
      <w:marBottom w:val="0"/>
      <w:divBdr>
        <w:top w:val="none" w:sz="0" w:space="0" w:color="auto"/>
        <w:left w:val="none" w:sz="0" w:space="0" w:color="auto"/>
        <w:bottom w:val="none" w:sz="0" w:space="0" w:color="auto"/>
        <w:right w:val="none" w:sz="0" w:space="0" w:color="auto"/>
      </w:divBdr>
      <w:divsChild>
        <w:div w:id="412438814">
          <w:marLeft w:val="0"/>
          <w:marRight w:val="0"/>
          <w:marTop w:val="0"/>
          <w:marBottom w:val="0"/>
          <w:divBdr>
            <w:top w:val="none" w:sz="0" w:space="0" w:color="auto"/>
            <w:left w:val="none" w:sz="0" w:space="0" w:color="auto"/>
            <w:bottom w:val="none" w:sz="0" w:space="0" w:color="auto"/>
            <w:right w:val="none" w:sz="0" w:space="0" w:color="auto"/>
          </w:divBdr>
        </w:div>
      </w:divsChild>
    </w:div>
    <w:div w:id="457648934">
      <w:marLeft w:val="0"/>
      <w:marRight w:val="0"/>
      <w:marTop w:val="0"/>
      <w:marBottom w:val="0"/>
      <w:divBdr>
        <w:top w:val="none" w:sz="0" w:space="0" w:color="auto"/>
        <w:left w:val="none" w:sz="0" w:space="0" w:color="auto"/>
        <w:bottom w:val="none" w:sz="0" w:space="0" w:color="auto"/>
        <w:right w:val="none" w:sz="0" w:space="0" w:color="auto"/>
      </w:divBdr>
      <w:divsChild>
        <w:div w:id="1116367393">
          <w:marLeft w:val="0"/>
          <w:marRight w:val="0"/>
          <w:marTop w:val="0"/>
          <w:marBottom w:val="0"/>
          <w:divBdr>
            <w:top w:val="none" w:sz="0" w:space="0" w:color="auto"/>
            <w:left w:val="none" w:sz="0" w:space="0" w:color="auto"/>
            <w:bottom w:val="none" w:sz="0" w:space="0" w:color="auto"/>
            <w:right w:val="none" w:sz="0" w:space="0" w:color="auto"/>
          </w:divBdr>
        </w:div>
      </w:divsChild>
    </w:div>
    <w:div w:id="458495253">
      <w:marLeft w:val="0"/>
      <w:marRight w:val="0"/>
      <w:marTop w:val="120"/>
      <w:marBottom w:val="120"/>
      <w:divBdr>
        <w:top w:val="none" w:sz="0" w:space="0" w:color="auto"/>
        <w:left w:val="none" w:sz="0" w:space="0" w:color="auto"/>
        <w:bottom w:val="none" w:sz="0" w:space="0" w:color="auto"/>
        <w:right w:val="none" w:sz="0" w:space="0" w:color="auto"/>
      </w:divBdr>
    </w:div>
    <w:div w:id="458960259">
      <w:marLeft w:val="0"/>
      <w:marRight w:val="0"/>
      <w:marTop w:val="0"/>
      <w:marBottom w:val="180"/>
      <w:divBdr>
        <w:top w:val="none" w:sz="0" w:space="0" w:color="auto"/>
        <w:left w:val="none" w:sz="0" w:space="0" w:color="auto"/>
        <w:bottom w:val="none" w:sz="0" w:space="0" w:color="auto"/>
        <w:right w:val="none" w:sz="0" w:space="0" w:color="auto"/>
      </w:divBdr>
    </w:div>
    <w:div w:id="460613337">
      <w:marLeft w:val="0"/>
      <w:marRight w:val="0"/>
      <w:marTop w:val="0"/>
      <w:marBottom w:val="240"/>
      <w:divBdr>
        <w:top w:val="none" w:sz="0" w:space="0" w:color="auto"/>
        <w:left w:val="none" w:sz="0" w:space="0" w:color="auto"/>
        <w:bottom w:val="none" w:sz="0" w:space="0" w:color="auto"/>
        <w:right w:val="none" w:sz="0" w:space="0" w:color="auto"/>
      </w:divBdr>
    </w:div>
    <w:div w:id="460924629">
      <w:marLeft w:val="0"/>
      <w:marRight w:val="0"/>
      <w:marTop w:val="0"/>
      <w:marBottom w:val="180"/>
      <w:divBdr>
        <w:top w:val="none" w:sz="0" w:space="0" w:color="auto"/>
        <w:left w:val="none" w:sz="0" w:space="0" w:color="auto"/>
        <w:bottom w:val="none" w:sz="0" w:space="0" w:color="auto"/>
        <w:right w:val="none" w:sz="0" w:space="0" w:color="auto"/>
      </w:divBdr>
    </w:div>
    <w:div w:id="463236001">
      <w:marLeft w:val="0"/>
      <w:marRight w:val="0"/>
      <w:marTop w:val="0"/>
      <w:marBottom w:val="180"/>
      <w:divBdr>
        <w:top w:val="none" w:sz="0" w:space="0" w:color="auto"/>
        <w:left w:val="none" w:sz="0" w:space="0" w:color="auto"/>
        <w:bottom w:val="none" w:sz="0" w:space="0" w:color="auto"/>
        <w:right w:val="none" w:sz="0" w:space="0" w:color="auto"/>
      </w:divBdr>
    </w:div>
    <w:div w:id="463885776">
      <w:marLeft w:val="0"/>
      <w:marRight w:val="0"/>
      <w:marTop w:val="0"/>
      <w:marBottom w:val="180"/>
      <w:divBdr>
        <w:top w:val="none" w:sz="0" w:space="0" w:color="auto"/>
        <w:left w:val="none" w:sz="0" w:space="0" w:color="auto"/>
        <w:bottom w:val="none" w:sz="0" w:space="0" w:color="auto"/>
        <w:right w:val="none" w:sz="0" w:space="0" w:color="auto"/>
      </w:divBdr>
    </w:div>
    <w:div w:id="464472560">
      <w:marLeft w:val="0"/>
      <w:marRight w:val="0"/>
      <w:marTop w:val="0"/>
      <w:marBottom w:val="0"/>
      <w:divBdr>
        <w:top w:val="none" w:sz="0" w:space="0" w:color="auto"/>
        <w:left w:val="none" w:sz="0" w:space="0" w:color="auto"/>
        <w:bottom w:val="none" w:sz="0" w:space="0" w:color="auto"/>
        <w:right w:val="none" w:sz="0" w:space="0" w:color="auto"/>
      </w:divBdr>
    </w:div>
    <w:div w:id="466124243">
      <w:marLeft w:val="0"/>
      <w:marRight w:val="0"/>
      <w:marTop w:val="0"/>
      <w:marBottom w:val="240"/>
      <w:divBdr>
        <w:top w:val="none" w:sz="0" w:space="0" w:color="auto"/>
        <w:left w:val="none" w:sz="0" w:space="0" w:color="auto"/>
        <w:bottom w:val="none" w:sz="0" w:space="0" w:color="auto"/>
        <w:right w:val="none" w:sz="0" w:space="0" w:color="auto"/>
      </w:divBdr>
    </w:div>
    <w:div w:id="466751672">
      <w:marLeft w:val="0"/>
      <w:marRight w:val="0"/>
      <w:marTop w:val="120"/>
      <w:marBottom w:val="240"/>
      <w:divBdr>
        <w:top w:val="none" w:sz="0" w:space="0" w:color="auto"/>
        <w:left w:val="none" w:sz="0" w:space="0" w:color="auto"/>
        <w:bottom w:val="none" w:sz="0" w:space="0" w:color="auto"/>
        <w:right w:val="none" w:sz="0" w:space="0" w:color="auto"/>
      </w:divBdr>
    </w:div>
    <w:div w:id="469327451">
      <w:marLeft w:val="0"/>
      <w:marRight w:val="0"/>
      <w:marTop w:val="180"/>
      <w:marBottom w:val="180"/>
      <w:divBdr>
        <w:top w:val="none" w:sz="0" w:space="0" w:color="auto"/>
        <w:left w:val="none" w:sz="0" w:space="0" w:color="auto"/>
        <w:bottom w:val="none" w:sz="0" w:space="0" w:color="auto"/>
        <w:right w:val="none" w:sz="0" w:space="0" w:color="auto"/>
      </w:divBdr>
    </w:div>
    <w:div w:id="471361897">
      <w:marLeft w:val="0"/>
      <w:marRight w:val="0"/>
      <w:marTop w:val="0"/>
      <w:marBottom w:val="180"/>
      <w:divBdr>
        <w:top w:val="none" w:sz="0" w:space="0" w:color="auto"/>
        <w:left w:val="none" w:sz="0" w:space="0" w:color="auto"/>
        <w:bottom w:val="none" w:sz="0" w:space="0" w:color="auto"/>
        <w:right w:val="none" w:sz="0" w:space="0" w:color="auto"/>
      </w:divBdr>
    </w:div>
    <w:div w:id="471951065">
      <w:marLeft w:val="0"/>
      <w:marRight w:val="0"/>
      <w:marTop w:val="0"/>
      <w:marBottom w:val="0"/>
      <w:divBdr>
        <w:top w:val="none" w:sz="0" w:space="0" w:color="auto"/>
        <w:left w:val="none" w:sz="0" w:space="0" w:color="auto"/>
        <w:bottom w:val="none" w:sz="0" w:space="0" w:color="auto"/>
        <w:right w:val="none" w:sz="0" w:space="0" w:color="auto"/>
      </w:divBdr>
    </w:div>
    <w:div w:id="473719478">
      <w:marLeft w:val="0"/>
      <w:marRight w:val="0"/>
      <w:marTop w:val="0"/>
      <w:marBottom w:val="0"/>
      <w:divBdr>
        <w:top w:val="none" w:sz="0" w:space="0" w:color="auto"/>
        <w:left w:val="none" w:sz="0" w:space="0" w:color="auto"/>
        <w:bottom w:val="none" w:sz="0" w:space="0" w:color="auto"/>
        <w:right w:val="none" w:sz="0" w:space="0" w:color="auto"/>
      </w:divBdr>
    </w:div>
    <w:div w:id="474955550">
      <w:marLeft w:val="0"/>
      <w:marRight w:val="0"/>
      <w:marTop w:val="180"/>
      <w:marBottom w:val="180"/>
      <w:divBdr>
        <w:top w:val="none" w:sz="0" w:space="0" w:color="auto"/>
        <w:left w:val="none" w:sz="0" w:space="0" w:color="auto"/>
        <w:bottom w:val="none" w:sz="0" w:space="0" w:color="auto"/>
        <w:right w:val="none" w:sz="0" w:space="0" w:color="auto"/>
      </w:divBdr>
    </w:div>
    <w:div w:id="475297559">
      <w:marLeft w:val="0"/>
      <w:marRight w:val="0"/>
      <w:marTop w:val="100"/>
      <w:marBottom w:val="100"/>
      <w:divBdr>
        <w:top w:val="none" w:sz="0" w:space="0" w:color="auto"/>
        <w:left w:val="none" w:sz="0" w:space="0" w:color="auto"/>
        <w:bottom w:val="none" w:sz="0" w:space="0" w:color="auto"/>
        <w:right w:val="none" w:sz="0" w:space="0" w:color="auto"/>
      </w:divBdr>
    </w:div>
    <w:div w:id="479929456">
      <w:marLeft w:val="0"/>
      <w:marRight w:val="0"/>
      <w:marTop w:val="0"/>
      <w:marBottom w:val="0"/>
      <w:divBdr>
        <w:top w:val="none" w:sz="0" w:space="0" w:color="auto"/>
        <w:left w:val="none" w:sz="0" w:space="0" w:color="auto"/>
        <w:bottom w:val="none" w:sz="0" w:space="0" w:color="auto"/>
        <w:right w:val="none" w:sz="0" w:space="0" w:color="auto"/>
      </w:divBdr>
      <w:divsChild>
        <w:div w:id="308487692">
          <w:marLeft w:val="0"/>
          <w:marRight w:val="0"/>
          <w:marTop w:val="0"/>
          <w:marBottom w:val="0"/>
          <w:divBdr>
            <w:top w:val="none" w:sz="0" w:space="0" w:color="auto"/>
            <w:left w:val="none" w:sz="0" w:space="0" w:color="auto"/>
            <w:bottom w:val="none" w:sz="0" w:space="0" w:color="auto"/>
            <w:right w:val="none" w:sz="0" w:space="0" w:color="auto"/>
          </w:divBdr>
        </w:div>
      </w:divsChild>
    </w:div>
    <w:div w:id="481195325">
      <w:marLeft w:val="0"/>
      <w:marRight w:val="0"/>
      <w:marTop w:val="0"/>
      <w:marBottom w:val="0"/>
      <w:divBdr>
        <w:top w:val="none" w:sz="0" w:space="0" w:color="auto"/>
        <w:left w:val="none" w:sz="0" w:space="0" w:color="auto"/>
        <w:bottom w:val="none" w:sz="0" w:space="0" w:color="auto"/>
        <w:right w:val="none" w:sz="0" w:space="0" w:color="auto"/>
      </w:divBdr>
    </w:div>
    <w:div w:id="482358230">
      <w:marLeft w:val="0"/>
      <w:marRight w:val="0"/>
      <w:marTop w:val="180"/>
      <w:marBottom w:val="180"/>
      <w:divBdr>
        <w:top w:val="none" w:sz="0" w:space="0" w:color="auto"/>
        <w:left w:val="none" w:sz="0" w:space="0" w:color="auto"/>
        <w:bottom w:val="none" w:sz="0" w:space="0" w:color="auto"/>
        <w:right w:val="none" w:sz="0" w:space="0" w:color="auto"/>
      </w:divBdr>
    </w:div>
    <w:div w:id="484006568">
      <w:marLeft w:val="0"/>
      <w:marRight w:val="0"/>
      <w:marTop w:val="0"/>
      <w:marBottom w:val="0"/>
      <w:divBdr>
        <w:top w:val="none" w:sz="0" w:space="0" w:color="auto"/>
        <w:left w:val="none" w:sz="0" w:space="0" w:color="auto"/>
        <w:bottom w:val="none" w:sz="0" w:space="0" w:color="auto"/>
        <w:right w:val="none" w:sz="0" w:space="0" w:color="auto"/>
      </w:divBdr>
    </w:div>
    <w:div w:id="484053789">
      <w:marLeft w:val="0"/>
      <w:marRight w:val="0"/>
      <w:marTop w:val="120"/>
      <w:marBottom w:val="120"/>
      <w:divBdr>
        <w:top w:val="none" w:sz="0" w:space="0" w:color="auto"/>
        <w:left w:val="none" w:sz="0" w:space="0" w:color="auto"/>
        <w:bottom w:val="none" w:sz="0" w:space="0" w:color="auto"/>
        <w:right w:val="none" w:sz="0" w:space="0" w:color="auto"/>
      </w:divBdr>
    </w:div>
    <w:div w:id="486358813">
      <w:marLeft w:val="0"/>
      <w:marRight w:val="0"/>
      <w:marTop w:val="180"/>
      <w:marBottom w:val="180"/>
      <w:divBdr>
        <w:top w:val="none" w:sz="0" w:space="0" w:color="auto"/>
        <w:left w:val="none" w:sz="0" w:space="0" w:color="auto"/>
        <w:bottom w:val="none" w:sz="0" w:space="0" w:color="auto"/>
        <w:right w:val="none" w:sz="0" w:space="0" w:color="auto"/>
      </w:divBdr>
    </w:div>
    <w:div w:id="487790854">
      <w:marLeft w:val="0"/>
      <w:marRight w:val="0"/>
      <w:marTop w:val="0"/>
      <w:marBottom w:val="0"/>
      <w:divBdr>
        <w:top w:val="none" w:sz="0" w:space="0" w:color="auto"/>
        <w:left w:val="none" w:sz="0" w:space="0" w:color="auto"/>
        <w:bottom w:val="none" w:sz="0" w:space="0" w:color="auto"/>
        <w:right w:val="none" w:sz="0" w:space="0" w:color="auto"/>
      </w:divBdr>
    </w:div>
    <w:div w:id="487863378">
      <w:marLeft w:val="0"/>
      <w:marRight w:val="0"/>
      <w:marTop w:val="180"/>
      <w:marBottom w:val="180"/>
      <w:divBdr>
        <w:top w:val="none" w:sz="0" w:space="0" w:color="auto"/>
        <w:left w:val="none" w:sz="0" w:space="0" w:color="auto"/>
        <w:bottom w:val="none" w:sz="0" w:space="0" w:color="auto"/>
        <w:right w:val="none" w:sz="0" w:space="0" w:color="auto"/>
      </w:divBdr>
    </w:div>
    <w:div w:id="489565831">
      <w:marLeft w:val="0"/>
      <w:marRight w:val="0"/>
      <w:marTop w:val="0"/>
      <w:marBottom w:val="0"/>
      <w:divBdr>
        <w:top w:val="none" w:sz="0" w:space="0" w:color="auto"/>
        <w:left w:val="none" w:sz="0" w:space="0" w:color="auto"/>
        <w:bottom w:val="none" w:sz="0" w:space="0" w:color="auto"/>
        <w:right w:val="none" w:sz="0" w:space="0" w:color="auto"/>
      </w:divBdr>
      <w:divsChild>
        <w:div w:id="783577463">
          <w:marLeft w:val="0"/>
          <w:marRight w:val="0"/>
          <w:marTop w:val="0"/>
          <w:marBottom w:val="0"/>
          <w:divBdr>
            <w:top w:val="none" w:sz="0" w:space="0" w:color="auto"/>
            <w:left w:val="none" w:sz="0" w:space="0" w:color="auto"/>
            <w:bottom w:val="none" w:sz="0" w:space="0" w:color="auto"/>
            <w:right w:val="none" w:sz="0" w:space="0" w:color="auto"/>
          </w:divBdr>
        </w:div>
      </w:divsChild>
    </w:div>
    <w:div w:id="489827080">
      <w:marLeft w:val="0"/>
      <w:marRight w:val="0"/>
      <w:marTop w:val="0"/>
      <w:marBottom w:val="0"/>
      <w:divBdr>
        <w:top w:val="none" w:sz="0" w:space="0" w:color="auto"/>
        <w:left w:val="none" w:sz="0" w:space="0" w:color="auto"/>
        <w:bottom w:val="none" w:sz="0" w:space="0" w:color="auto"/>
        <w:right w:val="none" w:sz="0" w:space="0" w:color="auto"/>
      </w:divBdr>
    </w:div>
    <w:div w:id="490368907">
      <w:marLeft w:val="0"/>
      <w:marRight w:val="0"/>
      <w:marTop w:val="0"/>
      <w:marBottom w:val="180"/>
      <w:divBdr>
        <w:top w:val="none" w:sz="0" w:space="0" w:color="auto"/>
        <w:left w:val="none" w:sz="0" w:space="0" w:color="auto"/>
        <w:bottom w:val="none" w:sz="0" w:space="0" w:color="auto"/>
        <w:right w:val="none" w:sz="0" w:space="0" w:color="auto"/>
      </w:divBdr>
    </w:div>
    <w:div w:id="492185609">
      <w:marLeft w:val="0"/>
      <w:marRight w:val="0"/>
      <w:marTop w:val="0"/>
      <w:marBottom w:val="0"/>
      <w:divBdr>
        <w:top w:val="none" w:sz="0" w:space="0" w:color="auto"/>
        <w:left w:val="none" w:sz="0" w:space="0" w:color="auto"/>
        <w:bottom w:val="none" w:sz="0" w:space="0" w:color="auto"/>
        <w:right w:val="none" w:sz="0" w:space="0" w:color="auto"/>
      </w:divBdr>
    </w:div>
    <w:div w:id="492331669">
      <w:marLeft w:val="0"/>
      <w:marRight w:val="0"/>
      <w:marTop w:val="120"/>
      <w:marBottom w:val="240"/>
      <w:divBdr>
        <w:top w:val="none" w:sz="0" w:space="0" w:color="auto"/>
        <w:left w:val="none" w:sz="0" w:space="0" w:color="auto"/>
        <w:bottom w:val="none" w:sz="0" w:space="0" w:color="auto"/>
        <w:right w:val="none" w:sz="0" w:space="0" w:color="auto"/>
      </w:divBdr>
    </w:div>
    <w:div w:id="495455958">
      <w:marLeft w:val="0"/>
      <w:marRight w:val="0"/>
      <w:marTop w:val="100"/>
      <w:marBottom w:val="100"/>
      <w:divBdr>
        <w:top w:val="none" w:sz="0" w:space="0" w:color="auto"/>
        <w:left w:val="none" w:sz="0" w:space="0" w:color="auto"/>
        <w:bottom w:val="none" w:sz="0" w:space="0" w:color="auto"/>
        <w:right w:val="none" w:sz="0" w:space="0" w:color="auto"/>
      </w:divBdr>
      <w:divsChild>
        <w:div w:id="350842842">
          <w:marLeft w:val="0"/>
          <w:marRight w:val="0"/>
          <w:marTop w:val="0"/>
          <w:marBottom w:val="0"/>
          <w:divBdr>
            <w:top w:val="none" w:sz="0" w:space="0" w:color="auto"/>
            <w:left w:val="none" w:sz="0" w:space="0" w:color="auto"/>
            <w:bottom w:val="none" w:sz="0" w:space="0" w:color="auto"/>
            <w:right w:val="none" w:sz="0" w:space="0" w:color="auto"/>
          </w:divBdr>
        </w:div>
        <w:div w:id="726883122">
          <w:marLeft w:val="0"/>
          <w:marRight w:val="0"/>
          <w:marTop w:val="0"/>
          <w:marBottom w:val="0"/>
          <w:divBdr>
            <w:top w:val="none" w:sz="0" w:space="0" w:color="auto"/>
            <w:left w:val="none" w:sz="0" w:space="0" w:color="auto"/>
            <w:bottom w:val="none" w:sz="0" w:space="0" w:color="auto"/>
            <w:right w:val="none" w:sz="0" w:space="0" w:color="auto"/>
          </w:divBdr>
        </w:div>
      </w:divsChild>
    </w:div>
    <w:div w:id="495457548">
      <w:marLeft w:val="0"/>
      <w:marRight w:val="0"/>
      <w:marTop w:val="120"/>
      <w:marBottom w:val="120"/>
      <w:divBdr>
        <w:top w:val="none" w:sz="0" w:space="0" w:color="auto"/>
        <w:left w:val="none" w:sz="0" w:space="0" w:color="auto"/>
        <w:bottom w:val="none" w:sz="0" w:space="0" w:color="auto"/>
        <w:right w:val="none" w:sz="0" w:space="0" w:color="auto"/>
      </w:divBdr>
    </w:div>
    <w:div w:id="495537191">
      <w:marLeft w:val="0"/>
      <w:marRight w:val="0"/>
      <w:marTop w:val="0"/>
      <w:marBottom w:val="0"/>
      <w:divBdr>
        <w:top w:val="none" w:sz="0" w:space="0" w:color="auto"/>
        <w:left w:val="none" w:sz="0" w:space="0" w:color="auto"/>
        <w:bottom w:val="none" w:sz="0" w:space="0" w:color="auto"/>
        <w:right w:val="none" w:sz="0" w:space="0" w:color="auto"/>
      </w:divBdr>
    </w:div>
    <w:div w:id="496307801">
      <w:marLeft w:val="0"/>
      <w:marRight w:val="0"/>
      <w:marTop w:val="240"/>
      <w:marBottom w:val="240"/>
      <w:divBdr>
        <w:top w:val="none" w:sz="0" w:space="0" w:color="auto"/>
        <w:left w:val="none" w:sz="0" w:space="0" w:color="auto"/>
        <w:bottom w:val="none" w:sz="0" w:space="0" w:color="auto"/>
        <w:right w:val="none" w:sz="0" w:space="0" w:color="auto"/>
      </w:divBdr>
    </w:div>
    <w:div w:id="496464487">
      <w:marLeft w:val="0"/>
      <w:marRight w:val="0"/>
      <w:marTop w:val="0"/>
      <w:marBottom w:val="180"/>
      <w:divBdr>
        <w:top w:val="none" w:sz="0" w:space="0" w:color="auto"/>
        <w:left w:val="none" w:sz="0" w:space="0" w:color="auto"/>
        <w:bottom w:val="none" w:sz="0" w:space="0" w:color="auto"/>
        <w:right w:val="none" w:sz="0" w:space="0" w:color="auto"/>
      </w:divBdr>
    </w:div>
    <w:div w:id="498236129">
      <w:marLeft w:val="0"/>
      <w:marRight w:val="0"/>
      <w:marTop w:val="0"/>
      <w:marBottom w:val="0"/>
      <w:divBdr>
        <w:top w:val="none" w:sz="0" w:space="0" w:color="auto"/>
        <w:left w:val="none" w:sz="0" w:space="0" w:color="auto"/>
        <w:bottom w:val="none" w:sz="0" w:space="0" w:color="auto"/>
        <w:right w:val="none" w:sz="0" w:space="0" w:color="auto"/>
      </w:divBdr>
      <w:divsChild>
        <w:div w:id="1487550849">
          <w:marLeft w:val="0"/>
          <w:marRight w:val="0"/>
          <w:marTop w:val="0"/>
          <w:marBottom w:val="0"/>
          <w:divBdr>
            <w:top w:val="none" w:sz="0" w:space="0" w:color="auto"/>
            <w:left w:val="none" w:sz="0" w:space="0" w:color="auto"/>
            <w:bottom w:val="none" w:sz="0" w:space="0" w:color="auto"/>
            <w:right w:val="none" w:sz="0" w:space="0" w:color="auto"/>
          </w:divBdr>
        </w:div>
      </w:divsChild>
    </w:div>
    <w:div w:id="500201446">
      <w:marLeft w:val="0"/>
      <w:marRight w:val="0"/>
      <w:marTop w:val="0"/>
      <w:marBottom w:val="0"/>
      <w:divBdr>
        <w:top w:val="none" w:sz="0" w:space="0" w:color="auto"/>
        <w:left w:val="none" w:sz="0" w:space="0" w:color="auto"/>
        <w:bottom w:val="none" w:sz="0" w:space="0" w:color="auto"/>
        <w:right w:val="none" w:sz="0" w:space="0" w:color="auto"/>
      </w:divBdr>
    </w:div>
    <w:div w:id="500858354">
      <w:marLeft w:val="0"/>
      <w:marRight w:val="0"/>
      <w:marTop w:val="0"/>
      <w:marBottom w:val="240"/>
      <w:divBdr>
        <w:top w:val="none" w:sz="0" w:space="0" w:color="auto"/>
        <w:left w:val="none" w:sz="0" w:space="0" w:color="auto"/>
        <w:bottom w:val="none" w:sz="0" w:space="0" w:color="auto"/>
        <w:right w:val="none" w:sz="0" w:space="0" w:color="auto"/>
      </w:divBdr>
    </w:div>
    <w:div w:id="503324081">
      <w:marLeft w:val="0"/>
      <w:marRight w:val="0"/>
      <w:marTop w:val="0"/>
      <w:marBottom w:val="0"/>
      <w:divBdr>
        <w:top w:val="none" w:sz="0" w:space="0" w:color="auto"/>
        <w:left w:val="none" w:sz="0" w:space="0" w:color="auto"/>
        <w:bottom w:val="none" w:sz="0" w:space="0" w:color="auto"/>
        <w:right w:val="none" w:sz="0" w:space="0" w:color="auto"/>
      </w:divBdr>
    </w:div>
    <w:div w:id="504593468">
      <w:marLeft w:val="0"/>
      <w:marRight w:val="0"/>
      <w:marTop w:val="0"/>
      <w:marBottom w:val="0"/>
      <w:divBdr>
        <w:top w:val="none" w:sz="0" w:space="0" w:color="auto"/>
        <w:left w:val="none" w:sz="0" w:space="0" w:color="auto"/>
        <w:bottom w:val="none" w:sz="0" w:space="0" w:color="auto"/>
        <w:right w:val="none" w:sz="0" w:space="0" w:color="auto"/>
      </w:divBdr>
    </w:div>
    <w:div w:id="505678093">
      <w:marLeft w:val="0"/>
      <w:marRight w:val="0"/>
      <w:marTop w:val="0"/>
      <w:marBottom w:val="180"/>
      <w:divBdr>
        <w:top w:val="none" w:sz="0" w:space="0" w:color="auto"/>
        <w:left w:val="none" w:sz="0" w:space="0" w:color="auto"/>
        <w:bottom w:val="none" w:sz="0" w:space="0" w:color="auto"/>
        <w:right w:val="none" w:sz="0" w:space="0" w:color="auto"/>
      </w:divBdr>
    </w:div>
    <w:div w:id="506867931">
      <w:marLeft w:val="0"/>
      <w:marRight w:val="0"/>
      <w:marTop w:val="0"/>
      <w:marBottom w:val="0"/>
      <w:divBdr>
        <w:top w:val="none" w:sz="0" w:space="0" w:color="auto"/>
        <w:left w:val="none" w:sz="0" w:space="0" w:color="auto"/>
        <w:bottom w:val="none" w:sz="0" w:space="0" w:color="auto"/>
        <w:right w:val="none" w:sz="0" w:space="0" w:color="auto"/>
      </w:divBdr>
      <w:divsChild>
        <w:div w:id="122777829">
          <w:marLeft w:val="0"/>
          <w:marRight w:val="0"/>
          <w:marTop w:val="0"/>
          <w:marBottom w:val="0"/>
          <w:divBdr>
            <w:top w:val="none" w:sz="0" w:space="0" w:color="auto"/>
            <w:left w:val="none" w:sz="0" w:space="0" w:color="auto"/>
            <w:bottom w:val="none" w:sz="0" w:space="0" w:color="auto"/>
            <w:right w:val="none" w:sz="0" w:space="0" w:color="auto"/>
          </w:divBdr>
        </w:div>
      </w:divsChild>
    </w:div>
    <w:div w:id="507840282">
      <w:marLeft w:val="0"/>
      <w:marRight w:val="0"/>
      <w:marTop w:val="180"/>
      <w:marBottom w:val="180"/>
      <w:divBdr>
        <w:top w:val="none" w:sz="0" w:space="0" w:color="auto"/>
        <w:left w:val="none" w:sz="0" w:space="0" w:color="auto"/>
        <w:bottom w:val="none" w:sz="0" w:space="0" w:color="auto"/>
        <w:right w:val="none" w:sz="0" w:space="0" w:color="auto"/>
      </w:divBdr>
    </w:div>
    <w:div w:id="509489234">
      <w:marLeft w:val="0"/>
      <w:marRight w:val="0"/>
      <w:marTop w:val="0"/>
      <w:marBottom w:val="240"/>
      <w:divBdr>
        <w:top w:val="none" w:sz="0" w:space="0" w:color="auto"/>
        <w:left w:val="none" w:sz="0" w:space="0" w:color="auto"/>
        <w:bottom w:val="none" w:sz="0" w:space="0" w:color="auto"/>
        <w:right w:val="none" w:sz="0" w:space="0" w:color="auto"/>
      </w:divBdr>
    </w:div>
    <w:div w:id="509494356">
      <w:marLeft w:val="0"/>
      <w:marRight w:val="0"/>
      <w:marTop w:val="120"/>
      <w:marBottom w:val="180"/>
      <w:divBdr>
        <w:top w:val="none" w:sz="0" w:space="0" w:color="auto"/>
        <w:left w:val="none" w:sz="0" w:space="0" w:color="auto"/>
        <w:bottom w:val="none" w:sz="0" w:space="0" w:color="auto"/>
        <w:right w:val="none" w:sz="0" w:space="0" w:color="auto"/>
      </w:divBdr>
    </w:div>
    <w:div w:id="509611239">
      <w:marLeft w:val="0"/>
      <w:marRight w:val="0"/>
      <w:marTop w:val="0"/>
      <w:marBottom w:val="180"/>
      <w:divBdr>
        <w:top w:val="none" w:sz="0" w:space="0" w:color="auto"/>
        <w:left w:val="none" w:sz="0" w:space="0" w:color="auto"/>
        <w:bottom w:val="none" w:sz="0" w:space="0" w:color="auto"/>
        <w:right w:val="none" w:sz="0" w:space="0" w:color="auto"/>
      </w:divBdr>
    </w:div>
    <w:div w:id="510032210">
      <w:marLeft w:val="0"/>
      <w:marRight w:val="0"/>
      <w:marTop w:val="0"/>
      <w:marBottom w:val="240"/>
      <w:divBdr>
        <w:top w:val="none" w:sz="0" w:space="0" w:color="auto"/>
        <w:left w:val="none" w:sz="0" w:space="0" w:color="auto"/>
        <w:bottom w:val="none" w:sz="0" w:space="0" w:color="auto"/>
        <w:right w:val="none" w:sz="0" w:space="0" w:color="auto"/>
      </w:divBdr>
    </w:div>
    <w:div w:id="512230652">
      <w:marLeft w:val="0"/>
      <w:marRight w:val="0"/>
      <w:marTop w:val="180"/>
      <w:marBottom w:val="180"/>
      <w:divBdr>
        <w:top w:val="none" w:sz="0" w:space="0" w:color="auto"/>
        <w:left w:val="none" w:sz="0" w:space="0" w:color="auto"/>
        <w:bottom w:val="none" w:sz="0" w:space="0" w:color="auto"/>
        <w:right w:val="none" w:sz="0" w:space="0" w:color="auto"/>
      </w:divBdr>
    </w:div>
    <w:div w:id="512261206">
      <w:marLeft w:val="0"/>
      <w:marRight w:val="0"/>
      <w:marTop w:val="0"/>
      <w:marBottom w:val="0"/>
      <w:divBdr>
        <w:top w:val="none" w:sz="0" w:space="0" w:color="auto"/>
        <w:left w:val="none" w:sz="0" w:space="0" w:color="auto"/>
        <w:bottom w:val="none" w:sz="0" w:space="0" w:color="auto"/>
        <w:right w:val="none" w:sz="0" w:space="0" w:color="auto"/>
      </w:divBdr>
      <w:divsChild>
        <w:div w:id="1261256332">
          <w:marLeft w:val="0"/>
          <w:marRight w:val="0"/>
          <w:marTop w:val="0"/>
          <w:marBottom w:val="0"/>
          <w:divBdr>
            <w:top w:val="none" w:sz="0" w:space="0" w:color="auto"/>
            <w:left w:val="none" w:sz="0" w:space="0" w:color="auto"/>
            <w:bottom w:val="none" w:sz="0" w:space="0" w:color="auto"/>
            <w:right w:val="none" w:sz="0" w:space="0" w:color="auto"/>
          </w:divBdr>
        </w:div>
      </w:divsChild>
    </w:div>
    <w:div w:id="512840470">
      <w:marLeft w:val="0"/>
      <w:marRight w:val="0"/>
      <w:marTop w:val="0"/>
      <w:marBottom w:val="0"/>
      <w:divBdr>
        <w:top w:val="none" w:sz="0" w:space="0" w:color="auto"/>
        <w:left w:val="none" w:sz="0" w:space="0" w:color="auto"/>
        <w:bottom w:val="none" w:sz="0" w:space="0" w:color="auto"/>
        <w:right w:val="none" w:sz="0" w:space="0" w:color="auto"/>
      </w:divBdr>
    </w:div>
    <w:div w:id="512916752">
      <w:marLeft w:val="0"/>
      <w:marRight w:val="0"/>
      <w:marTop w:val="0"/>
      <w:marBottom w:val="180"/>
      <w:divBdr>
        <w:top w:val="none" w:sz="0" w:space="0" w:color="auto"/>
        <w:left w:val="none" w:sz="0" w:space="0" w:color="auto"/>
        <w:bottom w:val="none" w:sz="0" w:space="0" w:color="auto"/>
        <w:right w:val="none" w:sz="0" w:space="0" w:color="auto"/>
      </w:divBdr>
    </w:div>
    <w:div w:id="513611736">
      <w:marLeft w:val="0"/>
      <w:marRight w:val="0"/>
      <w:marTop w:val="0"/>
      <w:marBottom w:val="240"/>
      <w:divBdr>
        <w:top w:val="none" w:sz="0" w:space="0" w:color="auto"/>
        <w:left w:val="none" w:sz="0" w:space="0" w:color="auto"/>
        <w:bottom w:val="none" w:sz="0" w:space="0" w:color="auto"/>
        <w:right w:val="none" w:sz="0" w:space="0" w:color="auto"/>
      </w:divBdr>
    </w:div>
    <w:div w:id="518813458">
      <w:marLeft w:val="0"/>
      <w:marRight w:val="0"/>
      <w:marTop w:val="100"/>
      <w:marBottom w:val="100"/>
      <w:divBdr>
        <w:top w:val="none" w:sz="0" w:space="0" w:color="auto"/>
        <w:left w:val="none" w:sz="0" w:space="0" w:color="auto"/>
        <w:bottom w:val="none" w:sz="0" w:space="0" w:color="auto"/>
        <w:right w:val="none" w:sz="0" w:space="0" w:color="auto"/>
      </w:divBdr>
    </w:div>
    <w:div w:id="520315199">
      <w:marLeft w:val="0"/>
      <w:marRight w:val="0"/>
      <w:marTop w:val="0"/>
      <w:marBottom w:val="0"/>
      <w:divBdr>
        <w:top w:val="none" w:sz="0" w:space="0" w:color="auto"/>
        <w:left w:val="none" w:sz="0" w:space="0" w:color="auto"/>
        <w:bottom w:val="none" w:sz="0" w:space="0" w:color="auto"/>
        <w:right w:val="none" w:sz="0" w:space="0" w:color="auto"/>
      </w:divBdr>
      <w:divsChild>
        <w:div w:id="1813014276">
          <w:marLeft w:val="0"/>
          <w:marRight w:val="0"/>
          <w:marTop w:val="0"/>
          <w:marBottom w:val="0"/>
          <w:divBdr>
            <w:top w:val="none" w:sz="0" w:space="0" w:color="auto"/>
            <w:left w:val="none" w:sz="0" w:space="0" w:color="auto"/>
            <w:bottom w:val="none" w:sz="0" w:space="0" w:color="auto"/>
            <w:right w:val="none" w:sz="0" w:space="0" w:color="auto"/>
          </w:divBdr>
        </w:div>
      </w:divsChild>
    </w:div>
    <w:div w:id="521240330">
      <w:marLeft w:val="0"/>
      <w:marRight w:val="0"/>
      <w:marTop w:val="180"/>
      <w:marBottom w:val="180"/>
      <w:divBdr>
        <w:top w:val="none" w:sz="0" w:space="0" w:color="auto"/>
        <w:left w:val="none" w:sz="0" w:space="0" w:color="auto"/>
        <w:bottom w:val="none" w:sz="0" w:space="0" w:color="auto"/>
        <w:right w:val="none" w:sz="0" w:space="0" w:color="auto"/>
      </w:divBdr>
    </w:div>
    <w:div w:id="523834687">
      <w:marLeft w:val="0"/>
      <w:marRight w:val="0"/>
      <w:marTop w:val="120"/>
      <w:marBottom w:val="120"/>
      <w:divBdr>
        <w:top w:val="none" w:sz="0" w:space="0" w:color="auto"/>
        <w:left w:val="none" w:sz="0" w:space="0" w:color="auto"/>
        <w:bottom w:val="none" w:sz="0" w:space="0" w:color="auto"/>
        <w:right w:val="none" w:sz="0" w:space="0" w:color="auto"/>
      </w:divBdr>
    </w:div>
    <w:div w:id="523977844">
      <w:marLeft w:val="0"/>
      <w:marRight w:val="0"/>
      <w:marTop w:val="0"/>
      <w:marBottom w:val="0"/>
      <w:divBdr>
        <w:top w:val="none" w:sz="0" w:space="0" w:color="auto"/>
        <w:left w:val="none" w:sz="0" w:space="0" w:color="auto"/>
        <w:bottom w:val="none" w:sz="0" w:space="0" w:color="auto"/>
        <w:right w:val="none" w:sz="0" w:space="0" w:color="auto"/>
      </w:divBdr>
      <w:divsChild>
        <w:div w:id="1668555058">
          <w:marLeft w:val="0"/>
          <w:marRight w:val="0"/>
          <w:marTop w:val="0"/>
          <w:marBottom w:val="0"/>
          <w:divBdr>
            <w:top w:val="none" w:sz="0" w:space="0" w:color="auto"/>
            <w:left w:val="none" w:sz="0" w:space="0" w:color="auto"/>
            <w:bottom w:val="none" w:sz="0" w:space="0" w:color="auto"/>
            <w:right w:val="none" w:sz="0" w:space="0" w:color="auto"/>
          </w:divBdr>
        </w:div>
      </w:divsChild>
    </w:div>
    <w:div w:id="527840151">
      <w:marLeft w:val="0"/>
      <w:marRight w:val="0"/>
      <w:marTop w:val="0"/>
      <w:marBottom w:val="240"/>
      <w:divBdr>
        <w:top w:val="none" w:sz="0" w:space="0" w:color="auto"/>
        <w:left w:val="none" w:sz="0" w:space="0" w:color="auto"/>
        <w:bottom w:val="none" w:sz="0" w:space="0" w:color="auto"/>
        <w:right w:val="none" w:sz="0" w:space="0" w:color="auto"/>
      </w:divBdr>
    </w:div>
    <w:div w:id="528295712">
      <w:marLeft w:val="0"/>
      <w:marRight w:val="0"/>
      <w:marTop w:val="0"/>
      <w:marBottom w:val="240"/>
      <w:divBdr>
        <w:top w:val="none" w:sz="0" w:space="0" w:color="auto"/>
        <w:left w:val="none" w:sz="0" w:space="0" w:color="auto"/>
        <w:bottom w:val="none" w:sz="0" w:space="0" w:color="auto"/>
        <w:right w:val="none" w:sz="0" w:space="0" w:color="auto"/>
      </w:divBdr>
    </w:div>
    <w:div w:id="529219073">
      <w:marLeft w:val="0"/>
      <w:marRight w:val="0"/>
      <w:marTop w:val="0"/>
      <w:marBottom w:val="240"/>
      <w:divBdr>
        <w:top w:val="none" w:sz="0" w:space="0" w:color="auto"/>
        <w:left w:val="none" w:sz="0" w:space="0" w:color="auto"/>
        <w:bottom w:val="none" w:sz="0" w:space="0" w:color="auto"/>
        <w:right w:val="none" w:sz="0" w:space="0" w:color="auto"/>
      </w:divBdr>
    </w:div>
    <w:div w:id="530460326">
      <w:marLeft w:val="0"/>
      <w:marRight w:val="0"/>
      <w:marTop w:val="0"/>
      <w:marBottom w:val="0"/>
      <w:divBdr>
        <w:top w:val="none" w:sz="0" w:space="0" w:color="auto"/>
        <w:left w:val="none" w:sz="0" w:space="0" w:color="auto"/>
        <w:bottom w:val="none" w:sz="0" w:space="0" w:color="auto"/>
        <w:right w:val="none" w:sz="0" w:space="0" w:color="auto"/>
      </w:divBdr>
      <w:divsChild>
        <w:div w:id="1342469396">
          <w:marLeft w:val="0"/>
          <w:marRight w:val="0"/>
          <w:marTop w:val="0"/>
          <w:marBottom w:val="0"/>
          <w:divBdr>
            <w:top w:val="none" w:sz="0" w:space="0" w:color="auto"/>
            <w:left w:val="none" w:sz="0" w:space="0" w:color="auto"/>
            <w:bottom w:val="none" w:sz="0" w:space="0" w:color="auto"/>
            <w:right w:val="none" w:sz="0" w:space="0" w:color="auto"/>
          </w:divBdr>
        </w:div>
      </w:divsChild>
    </w:div>
    <w:div w:id="531193341">
      <w:marLeft w:val="0"/>
      <w:marRight w:val="0"/>
      <w:marTop w:val="100"/>
      <w:marBottom w:val="240"/>
      <w:divBdr>
        <w:top w:val="none" w:sz="0" w:space="0" w:color="auto"/>
        <w:left w:val="none" w:sz="0" w:space="0" w:color="auto"/>
        <w:bottom w:val="none" w:sz="0" w:space="0" w:color="auto"/>
        <w:right w:val="none" w:sz="0" w:space="0" w:color="auto"/>
      </w:divBdr>
    </w:div>
    <w:div w:id="533688417">
      <w:marLeft w:val="0"/>
      <w:marRight w:val="0"/>
      <w:marTop w:val="0"/>
      <w:marBottom w:val="180"/>
      <w:divBdr>
        <w:top w:val="none" w:sz="0" w:space="0" w:color="auto"/>
        <w:left w:val="none" w:sz="0" w:space="0" w:color="auto"/>
        <w:bottom w:val="none" w:sz="0" w:space="0" w:color="auto"/>
        <w:right w:val="none" w:sz="0" w:space="0" w:color="auto"/>
      </w:divBdr>
    </w:div>
    <w:div w:id="534462135">
      <w:marLeft w:val="0"/>
      <w:marRight w:val="0"/>
      <w:marTop w:val="0"/>
      <w:marBottom w:val="0"/>
      <w:divBdr>
        <w:top w:val="none" w:sz="0" w:space="0" w:color="auto"/>
        <w:left w:val="none" w:sz="0" w:space="0" w:color="auto"/>
        <w:bottom w:val="none" w:sz="0" w:space="0" w:color="auto"/>
        <w:right w:val="none" w:sz="0" w:space="0" w:color="auto"/>
      </w:divBdr>
    </w:div>
    <w:div w:id="534663376">
      <w:marLeft w:val="0"/>
      <w:marRight w:val="0"/>
      <w:marTop w:val="0"/>
      <w:marBottom w:val="0"/>
      <w:divBdr>
        <w:top w:val="none" w:sz="0" w:space="0" w:color="auto"/>
        <w:left w:val="none" w:sz="0" w:space="0" w:color="auto"/>
        <w:bottom w:val="none" w:sz="0" w:space="0" w:color="auto"/>
        <w:right w:val="none" w:sz="0" w:space="0" w:color="auto"/>
      </w:divBdr>
    </w:div>
    <w:div w:id="535000066">
      <w:marLeft w:val="0"/>
      <w:marRight w:val="0"/>
      <w:marTop w:val="0"/>
      <w:marBottom w:val="0"/>
      <w:divBdr>
        <w:top w:val="none" w:sz="0" w:space="0" w:color="auto"/>
        <w:left w:val="none" w:sz="0" w:space="0" w:color="auto"/>
        <w:bottom w:val="none" w:sz="0" w:space="0" w:color="auto"/>
        <w:right w:val="none" w:sz="0" w:space="0" w:color="auto"/>
      </w:divBdr>
      <w:divsChild>
        <w:div w:id="347952064">
          <w:marLeft w:val="0"/>
          <w:marRight w:val="0"/>
          <w:marTop w:val="0"/>
          <w:marBottom w:val="0"/>
          <w:divBdr>
            <w:top w:val="none" w:sz="0" w:space="0" w:color="auto"/>
            <w:left w:val="none" w:sz="0" w:space="0" w:color="auto"/>
            <w:bottom w:val="none" w:sz="0" w:space="0" w:color="auto"/>
            <w:right w:val="none" w:sz="0" w:space="0" w:color="auto"/>
          </w:divBdr>
        </w:div>
      </w:divsChild>
    </w:div>
    <w:div w:id="535890944">
      <w:marLeft w:val="0"/>
      <w:marRight w:val="0"/>
      <w:marTop w:val="0"/>
      <w:marBottom w:val="180"/>
      <w:divBdr>
        <w:top w:val="none" w:sz="0" w:space="0" w:color="auto"/>
        <w:left w:val="none" w:sz="0" w:space="0" w:color="auto"/>
        <w:bottom w:val="none" w:sz="0" w:space="0" w:color="auto"/>
        <w:right w:val="none" w:sz="0" w:space="0" w:color="auto"/>
      </w:divBdr>
    </w:div>
    <w:div w:id="536353258">
      <w:marLeft w:val="0"/>
      <w:marRight w:val="0"/>
      <w:marTop w:val="120"/>
      <w:marBottom w:val="240"/>
      <w:divBdr>
        <w:top w:val="none" w:sz="0" w:space="0" w:color="auto"/>
        <w:left w:val="none" w:sz="0" w:space="0" w:color="auto"/>
        <w:bottom w:val="none" w:sz="0" w:space="0" w:color="auto"/>
        <w:right w:val="none" w:sz="0" w:space="0" w:color="auto"/>
      </w:divBdr>
    </w:div>
    <w:div w:id="538124767">
      <w:marLeft w:val="0"/>
      <w:marRight w:val="0"/>
      <w:marTop w:val="0"/>
      <w:marBottom w:val="0"/>
      <w:divBdr>
        <w:top w:val="none" w:sz="0" w:space="0" w:color="auto"/>
        <w:left w:val="none" w:sz="0" w:space="0" w:color="auto"/>
        <w:bottom w:val="none" w:sz="0" w:space="0" w:color="auto"/>
        <w:right w:val="none" w:sz="0" w:space="0" w:color="auto"/>
      </w:divBdr>
    </w:div>
    <w:div w:id="538468902">
      <w:marLeft w:val="0"/>
      <w:marRight w:val="0"/>
      <w:marTop w:val="120"/>
      <w:marBottom w:val="120"/>
      <w:divBdr>
        <w:top w:val="none" w:sz="0" w:space="0" w:color="auto"/>
        <w:left w:val="none" w:sz="0" w:space="0" w:color="auto"/>
        <w:bottom w:val="none" w:sz="0" w:space="0" w:color="auto"/>
        <w:right w:val="none" w:sz="0" w:space="0" w:color="auto"/>
      </w:divBdr>
    </w:div>
    <w:div w:id="538516433">
      <w:marLeft w:val="0"/>
      <w:marRight w:val="0"/>
      <w:marTop w:val="0"/>
      <w:marBottom w:val="0"/>
      <w:divBdr>
        <w:top w:val="none" w:sz="0" w:space="0" w:color="auto"/>
        <w:left w:val="none" w:sz="0" w:space="0" w:color="auto"/>
        <w:bottom w:val="none" w:sz="0" w:space="0" w:color="auto"/>
        <w:right w:val="none" w:sz="0" w:space="0" w:color="auto"/>
      </w:divBdr>
    </w:div>
    <w:div w:id="541594303">
      <w:marLeft w:val="0"/>
      <w:marRight w:val="0"/>
      <w:marTop w:val="0"/>
      <w:marBottom w:val="180"/>
      <w:divBdr>
        <w:top w:val="none" w:sz="0" w:space="0" w:color="auto"/>
        <w:left w:val="none" w:sz="0" w:space="0" w:color="auto"/>
        <w:bottom w:val="none" w:sz="0" w:space="0" w:color="auto"/>
        <w:right w:val="none" w:sz="0" w:space="0" w:color="auto"/>
      </w:divBdr>
    </w:div>
    <w:div w:id="541937998">
      <w:marLeft w:val="0"/>
      <w:marRight w:val="0"/>
      <w:marTop w:val="120"/>
      <w:marBottom w:val="120"/>
      <w:divBdr>
        <w:top w:val="none" w:sz="0" w:space="0" w:color="auto"/>
        <w:left w:val="none" w:sz="0" w:space="0" w:color="auto"/>
        <w:bottom w:val="none" w:sz="0" w:space="0" w:color="auto"/>
        <w:right w:val="none" w:sz="0" w:space="0" w:color="auto"/>
      </w:divBdr>
    </w:div>
    <w:div w:id="545677414">
      <w:marLeft w:val="0"/>
      <w:marRight w:val="0"/>
      <w:marTop w:val="0"/>
      <w:marBottom w:val="240"/>
      <w:divBdr>
        <w:top w:val="none" w:sz="0" w:space="0" w:color="auto"/>
        <w:left w:val="none" w:sz="0" w:space="0" w:color="auto"/>
        <w:bottom w:val="none" w:sz="0" w:space="0" w:color="auto"/>
        <w:right w:val="none" w:sz="0" w:space="0" w:color="auto"/>
      </w:divBdr>
    </w:div>
    <w:div w:id="546071802">
      <w:marLeft w:val="0"/>
      <w:marRight w:val="0"/>
      <w:marTop w:val="120"/>
      <w:marBottom w:val="180"/>
      <w:divBdr>
        <w:top w:val="none" w:sz="0" w:space="0" w:color="auto"/>
        <w:left w:val="none" w:sz="0" w:space="0" w:color="auto"/>
        <w:bottom w:val="none" w:sz="0" w:space="0" w:color="auto"/>
        <w:right w:val="none" w:sz="0" w:space="0" w:color="auto"/>
      </w:divBdr>
    </w:div>
    <w:div w:id="550044760">
      <w:marLeft w:val="0"/>
      <w:marRight w:val="0"/>
      <w:marTop w:val="180"/>
      <w:marBottom w:val="180"/>
      <w:divBdr>
        <w:top w:val="none" w:sz="0" w:space="0" w:color="auto"/>
        <w:left w:val="none" w:sz="0" w:space="0" w:color="auto"/>
        <w:bottom w:val="none" w:sz="0" w:space="0" w:color="auto"/>
        <w:right w:val="none" w:sz="0" w:space="0" w:color="auto"/>
      </w:divBdr>
    </w:div>
    <w:div w:id="554242913">
      <w:marLeft w:val="0"/>
      <w:marRight w:val="0"/>
      <w:marTop w:val="0"/>
      <w:marBottom w:val="180"/>
      <w:divBdr>
        <w:top w:val="none" w:sz="0" w:space="0" w:color="auto"/>
        <w:left w:val="none" w:sz="0" w:space="0" w:color="auto"/>
        <w:bottom w:val="none" w:sz="0" w:space="0" w:color="auto"/>
        <w:right w:val="none" w:sz="0" w:space="0" w:color="auto"/>
      </w:divBdr>
    </w:div>
    <w:div w:id="555816334">
      <w:marLeft w:val="0"/>
      <w:marRight w:val="0"/>
      <w:marTop w:val="100"/>
      <w:marBottom w:val="100"/>
      <w:divBdr>
        <w:top w:val="none" w:sz="0" w:space="0" w:color="auto"/>
        <w:left w:val="none" w:sz="0" w:space="0" w:color="auto"/>
        <w:bottom w:val="none" w:sz="0" w:space="0" w:color="auto"/>
        <w:right w:val="none" w:sz="0" w:space="0" w:color="auto"/>
      </w:divBdr>
    </w:div>
    <w:div w:id="559750903">
      <w:marLeft w:val="0"/>
      <w:marRight w:val="0"/>
      <w:marTop w:val="120"/>
      <w:marBottom w:val="120"/>
      <w:divBdr>
        <w:top w:val="none" w:sz="0" w:space="0" w:color="auto"/>
        <w:left w:val="none" w:sz="0" w:space="0" w:color="auto"/>
        <w:bottom w:val="none" w:sz="0" w:space="0" w:color="auto"/>
        <w:right w:val="none" w:sz="0" w:space="0" w:color="auto"/>
      </w:divBdr>
    </w:div>
    <w:div w:id="561328532">
      <w:marLeft w:val="0"/>
      <w:marRight w:val="0"/>
      <w:marTop w:val="0"/>
      <w:marBottom w:val="240"/>
      <w:divBdr>
        <w:top w:val="none" w:sz="0" w:space="0" w:color="auto"/>
        <w:left w:val="none" w:sz="0" w:space="0" w:color="auto"/>
        <w:bottom w:val="none" w:sz="0" w:space="0" w:color="auto"/>
        <w:right w:val="none" w:sz="0" w:space="0" w:color="auto"/>
      </w:divBdr>
    </w:div>
    <w:div w:id="561330005">
      <w:marLeft w:val="0"/>
      <w:marRight w:val="0"/>
      <w:marTop w:val="120"/>
      <w:marBottom w:val="120"/>
      <w:divBdr>
        <w:top w:val="none" w:sz="0" w:space="0" w:color="auto"/>
        <w:left w:val="none" w:sz="0" w:space="0" w:color="auto"/>
        <w:bottom w:val="none" w:sz="0" w:space="0" w:color="auto"/>
        <w:right w:val="none" w:sz="0" w:space="0" w:color="auto"/>
      </w:divBdr>
    </w:div>
    <w:div w:id="562840103">
      <w:marLeft w:val="0"/>
      <w:marRight w:val="0"/>
      <w:marTop w:val="0"/>
      <w:marBottom w:val="0"/>
      <w:divBdr>
        <w:top w:val="none" w:sz="0" w:space="0" w:color="auto"/>
        <w:left w:val="none" w:sz="0" w:space="0" w:color="auto"/>
        <w:bottom w:val="none" w:sz="0" w:space="0" w:color="auto"/>
        <w:right w:val="none" w:sz="0" w:space="0" w:color="auto"/>
      </w:divBdr>
      <w:divsChild>
        <w:div w:id="71586319">
          <w:marLeft w:val="0"/>
          <w:marRight w:val="0"/>
          <w:marTop w:val="0"/>
          <w:marBottom w:val="0"/>
          <w:divBdr>
            <w:top w:val="none" w:sz="0" w:space="0" w:color="auto"/>
            <w:left w:val="none" w:sz="0" w:space="0" w:color="auto"/>
            <w:bottom w:val="none" w:sz="0" w:space="0" w:color="auto"/>
            <w:right w:val="none" w:sz="0" w:space="0" w:color="auto"/>
          </w:divBdr>
        </w:div>
      </w:divsChild>
    </w:div>
    <w:div w:id="564754376">
      <w:marLeft w:val="0"/>
      <w:marRight w:val="0"/>
      <w:marTop w:val="0"/>
      <w:marBottom w:val="180"/>
      <w:divBdr>
        <w:top w:val="none" w:sz="0" w:space="0" w:color="auto"/>
        <w:left w:val="none" w:sz="0" w:space="0" w:color="auto"/>
        <w:bottom w:val="none" w:sz="0" w:space="0" w:color="auto"/>
        <w:right w:val="none" w:sz="0" w:space="0" w:color="auto"/>
      </w:divBdr>
    </w:div>
    <w:div w:id="565192747">
      <w:marLeft w:val="0"/>
      <w:marRight w:val="0"/>
      <w:marTop w:val="180"/>
      <w:marBottom w:val="180"/>
      <w:divBdr>
        <w:top w:val="none" w:sz="0" w:space="0" w:color="auto"/>
        <w:left w:val="none" w:sz="0" w:space="0" w:color="auto"/>
        <w:bottom w:val="none" w:sz="0" w:space="0" w:color="auto"/>
        <w:right w:val="none" w:sz="0" w:space="0" w:color="auto"/>
      </w:divBdr>
    </w:div>
    <w:div w:id="565409969">
      <w:marLeft w:val="0"/>
      <w:marRight w:val="0"/>
      <w:marTop w:val="0"/>
      <w:marBottom w:val="240"/>
      <w:divBdr>
        <w:top w:val="none" w:sz="0" w:space="0" w:color="auto"/>
        <w:left w:val="none" w:sz="0" w:space="0" w:color="auto"/>
        <w:bottom w:val="none" w:sz="0" w:space="0" w:color="auto"/>
        <w:right w:val="none" w:sz="0" w:space="0" w:color="auto"/>
      </w:divBdr>
    </w:div>
    <w:div w:id="565922699">
      <w:marLeft w:val="0"/>
      <w:marRight w:val="0"/>
      <w:marTop w:val="0"/>
      <w:marBottom w:val="240"/>
      <w:divBdr>
        <w:top w:val="none" w:sz="0" w:space="0" w:color="auto"/>
        <w:left w:val="none" w:sz="0" w:space="0" w:color="auto"/>
        <w:bottom w:val="none" w:sz="0" w:space="0" w:color="auto"/>
        <w:right w:val="none" w:sz="0" w:space="0" w:color="auto"/>
      </w:divBdr>
    </w:div>
    <w:div w:id="566652995">
      <w:marLeft w:val="0"/>
      <w:marRight w:val="0"/>
      <w:marTop w:val="0"/>
      <w:marBottom w:val="240"/>
      <w:divBdr>
        <w:top w:val="none" w:sz="0" w:space="0" w:color="auto"/>
        <w:left w:val="none" w:sz="0" w:space="0" w:color="auto"/>
        <w:bottom w:val="none" w:sz="0" w:space="0" w:color="auto"/>
        <w:right w:val="none" w:sz="0" w:space="0" w:color="auto"/>
      </w:divBdr>
    </w:div>
    <w:div w:id="566839953">
      <w:marLeft w:val="0"/>
      <w:marRight w:val="0"/>
      <w:marTop w:val="120"/>
      <w:marBottom w:val="180"/>
      <w:divBdr>
        <w:top w:val="none" w:sz="0" w:space="0" w:color="auto"/>
        <w:left w:val="none" w:sz="0" w:space="0" w:color="auto"/>
        <w:bottom w:val="none" w:sz="0" w:space="0" w:color="auto"/>
        <w:right w:val="none" w:sz="0" w:space="0" w:color="auto"/>
      </w:divBdr>
    </w:div>
    <w:div w:id="567034224">
      <w:marLeft w:val="0"/>
      <w:marRight w:val="0"/>
      <w:marTop w:val="0"/>
      <w:marBottom w:val="0"/>
      <w:divBdr>
        <w:top w:val="none" w:sz="0" w:space="0" w:color="auto"/>
        <w:left w:val="none" w:sz="0" w:space="0" w:color="auto"/>
        <w:bottom w:val="none" w:sz="0" w:space="0" w:color="auto"/>
        <w:right w:val="none" w:sz="0" w:space="0" w:color="auto"/>
      </w:divBdr>
    </w:div>
    <w:div w:id="574511095">
      <w:marLeft w:val="0"/>
      <w:marRight w:val="0"/>
      <w:marTop w:val="180"/>
      <w:marBottom w:val="180"/>
      <w:divBdr>
        <w:top w:val="none" w:sz="0" w:space="0" w:color="auto"/>
        <w:left w:val="none" w:sz="0" w:space="0" w:color="auto"/>
        <w:bottom w:val="none" w:sz="0" w:space="0" w:color="auto"/>
        <w:right w:val="none" w:sz="0" w:space="0" w:color="auto"/>
      </w:divBdr>
    </w:div>
    <w:div w:id="574703991">
      <w:marLeft w:val="0"/>
      <w:marRight w:val="0"/>
      <w:marTop w:val="0"/>
      <w:marBottom w:val="240"/>
      <w:divBdr>
        <w:top w:val="none" w:sz="0" w:space="0" w:color="auto"/>
        <w:left w:val="none" w:sz="0" w:space="0" w:color="auto"/>
        <w:bottom w:val="none" w:sz="0" w:space="0" w:color="auto"/>
        <w:right w:val="none" w:sz="0" w:space="0" w:color="auto"/>
      </w:divBdr>
    </w:div>
    <w:div w:id="574776253">
      <w:marLeft w:val="0"/>
      <w:marRight w:val="0"/>
      <w:marTop w:val="0"/>
      <w:marBottom w:val="240"/>
      <w:divBdr>
        <w:top w:val="none" w:sz="0" w:space="0" w:color="auto"/>
        <w:left w:val="none" w:sz="0" w:space="0" w:color="auto"/>
        <w:bottom w:val="none" w:sz="0" w:space="0" w:color="auto"/>
        <w:right w:val="none" w:sz="0" w:space="0" w:color="auto"/>
      </w:divBdr>
    </w:div>
    <w:div w:id="576090896">
      <w:marLeft w:val="0"/>
      <w:marRight w:val="0"/>
      <w:marTop w:val="180"/>
      <w:marBottom w:val="180"/>
      <w:divBdr>
        <w:top w:val="none" w:sz="0" w:space="0" w:color="auto"/>
        <w:left w:val="none" w:sz="0" w:space="0" w:color="auto"/>
        <w:bottom w:val="none" w:sz="0" w:space="0" w:color="auto"/>
        <w:right w:val="none" w:sz="0" w:space="0" w:color="auto"/>
      </w:divBdr>
    </w:div>
    <w:div w:id="576136733">
      <w:marLeft w:val="0"/>
      <w:marRight w:val="0"/>
      <w:marTop w:val="180"/>
      <w:marBottom w:val="180"/>
      <w:divBdr>
        <w:top w:val="none" w:sz="0" w:space="0" w:color="auto"/>
        <w:left w:val="none" w:sz="0" w:space="0" w:color="auto"/>
        <w:bottom w:val="none" w:sz="0" w:space="0" w:color="auto"/>
        <w:right w:val="none" w:sz="0" w:space="0" w:color="auto"/>
      </w:divBdr>
    </w:div>
    <w:div w:id="576402126">
      <w:marLeft w:val="0"/>
      <w:marRight w:val="0"/>
      <w:marTop w:val="0"/>
      <w:marBottom w:val="0"/>
      <w:divBdr>
        <w:top w:val="none" w:sz="0" w:space="0" w:color="auto"/>
        <w:left w:val="none" w:sz="0" w:space="0" w:color="auto"/>
        <w:bottom w:val="none" w:sz="0" w:space="0" w:color="auto"/>
        <w:right w:val="none" w:sz="0" w:space="0" w:color="auto"/>
      </w:divBdr>
      <w:divsChild>
        <w:div w:id="1307783873">
          <w:marLeft w:val="0"/>
          <w:marRight w:val="0"/>
          <w:marTop w:val="0"/>
          <w:marBottom w:val="0"/>
          <w:divBdr>
            <w:top w:val="none" w:sz="0" w:space="0" w:color="auto"/>
            <w:left w:val="none" w:sz="0" w:space="0" w:color="auto"/>
            <w:bottom w:val="none" w:sz="0" w:space="0" w:color="auto"/>
            <w:right w:val="none" w:sz="0" w:space="0" w:color="auto"/>
          </w:divBdr>
        </w:div>
      </w:divsChild>
    </w:div>
    <w:div w:id="579221098">
      <w:marLeft w:val="0"/>
      <w:marRight w:val="0"/>
      <w:marTop w:val="0"/>
      <w:marBottom w:val="240"/>
      <w:divBdr>
        <w:top w:val="none" w:sz="0" w:space="0" w:color="auto"/>
        <w:left w:val="none" w:sz="0" w:space="0" w:color="auto"/>
        <w:bottom w:val="none" w:sz="0" w:space="0" w:color="auto"/>
        <w:right w:val="none" w:sz="0" w:space="0" w:color="auto"/>
      </w:divBdr>
    </w:div>
    <w:div w:id="580991931">
      <w:marLeft w:val="0"/>
      <w:marRight w:val="0"/>
      <w:marTop w:val="0"/>
      <w:marBottom w:val="240"/>
      <w:divBdr>
        <w:top w:val="none" w:sz="0" w:space="0" w:color="auto"/>
        <w:left w:val="none" w:sz="0" w:space="0" w:color="auto"/>
        <w:bottom w:val="none" w:sz="0" w:space="0" w:color="auto"/>
        <w:right w:val="none" w:sz="0" w:space="0" w:color="auto"/>
      </w:divBdr>
    </w:div>
    <w:div w:id="581523070">
      <w:marLeft w:val="0"/>
      <w:marRight w:val="0"/>
      <w:marTop w:val="0"/>
      <w:marBottom w:val="0"/>
      <w:divBdr>
        <w:top w:val="none" w:sz="0" w:space="0" w:color="auto"/>
        <w:left w:val="none" w:sz="0" w:space="0" w:color="auto"/>
        <w:bottom w:val="none" w:sz="0" w:space="0" w:color="auto"/>
        <w:right w:val="none" w:sz="0" w:space="0" w:color="auto"/>
      </w:divBdr>
    </w:div>
    <w:div w:id="581795239">
      <w:marLeft w:val="0"/>
      <w:marRight w:val="0"/>
      <w:marTop w:val="100"/>
      <w:marBottom w:val="100"/>
      <w:divBdr>
        <w:top w:val="none" w:sz="0" w:space="0" w:color="auto"/>
        <w:left w:val="none" w:sz="0" w:space="0" w:color="auto"/>
        <w:bottom w:val="none" w:sz="0" w:space="0" w:color="auto"/>
        <w:right w:val="none" w:sz="0" w:space="0" w:color="auto"/>
      </w:divBdr>
      <w:divsChild>
        <w:div w:id="1042486855">
          <w:marLeft w:val="0"/>
          <w:marRight w:val="0"/>
          <w:marTop w:val="0"/>
          <w:marBottom w:val="180"/>
          <w:divBdr>
            <w:top w:val="none" w:sz="0" w:space="0" w:color="auto"/>
            <w:left w:val="none" w:sz="0" w:space="0" w:color="auto"/>
            <w:bottom w:val="none" w:sz="0" w:space="0" w:color="auto"/>
            <w:right w:val="none" w:sz="0" w:space="0" w:color="auto"/>
          </w:divBdr>
        </w:div>
        <w:div w:id="687292025">
          <w:marLeft w:val="0"/>
          <w:marRight w:val="0"/>
          <w:marTop w:val="0"/>
          <w:marBottom w:val="180"/>
          <w:divBdr>
            <w:top w:val="none" w:sz="0" w:space="0" w:color="auto"/>
            <w:left w:val="none" w:sz="0" w:space="0" w:color="auto"/>
            <w:bottom w:val="none" w:sz="0" w:space="0" w:color="auto"/>
            <w:right w:val="none" w:sz="0" w:space="0" w:color="auto"/>
          </w:divBdr>
        </w:div>
        <w:div w:id="890656300">
          <w:marLeft w:val="0"/>
          <w:marRight w:val="0"/>
          <w:marTop w:val="0"/>
          <w:marBottom w:val="180"/>
          <w:divBdr>
            <w:top w:val="none" w:sz="0" w:space="0" w:color="auto"/>
            <w:left w:val="none" w:sz="0" w:space="0" w:color="auto"/>
            <w:bottom w:val="none" w:sz="0" w:space="0" w:color="auto"/>
            <w:right w:val="none" w:sz="0" w:space="0" w:color="auto"/>
          </w:divBdr>
        </w:div>
        <w:div w:id="2047413127">
          <w:marLeft w:val="0"/>
          <w:marRight w:val="0"/>
          <w:marTop w:val="0"/>
          <w:marBottom w:val="180"/>
          <w:divBdr>
            <w:top w:val="none" w:sz="0" w:space="0" w:color="auto"/>
            <w:left w:val="none" w:sz="0" w:space="0" w:color="auto"/>
            <w:bottom w:val="none" w:sz="0" w:space="0" w:color="auto"/>
            <w:right w:val="none" w:sz="0" w:space="0" w:color="auto"/>
          </w:divBdr>
        </w:div>
        <w:div w:id="1302732570">
          <w:marLeft w:val="0"/>
          <w:marRight w:val="0"/>
          <w:marTop w:val="0"/>
          <w:marBottom w:val="180"/>
          <w:divBdr>
            <w:top w:val="none" w:sz="0" w:space="0" w:color="auto"/>
            <w:left w:val="none" w:sz="0" w:space="0" w:color="auto"/>
            <w:bottom w:val="none" w:sz="0" w:space="0" w:color="auto"/>
            <w:right w:val="none" w:sz="0" w:space="0" w:color="auto"/>
          </w:divBdr>
        </w:div>
      </w:divsChild>
    </w:div>
    <w:div w:id="584269687">
      <w:marLeft w:val="0"/>
      <w:marRight w:val="0"/>
      <w:marTop w:val="0"/>
      <w:marBottom w:val="180"/>
      <w:divBdr>
        <w:top w:val="none" w:sz="0" w:space="0" w:color="auto"/>
        <w:left w:val="none" w:sz="0" w:space="0" w:color="auto"/>
        <w:bottom w:val="none" w:sz="0" w:space="0" w:color="auto"/>
        <w:right w:val="none" w:sz="0" w:space="0" w:color="auto"/>
      </w:divBdr>
    </w:div>
    <w:div w:id="588268691">
      <w:marLeft w:val="0"/>
      <w:marRight w:val="0"/>
      <w:marTop w:val="0"/>
      <w:marBottom w:val="0"/>
      <w:divBdr>
        <w:top w:val="none" w:sz="0" w:space="0" w:color="auto"/>
        <w:left w:val="none" w:sz="0" w:space="0" w:color="auto"/>
        <w:bottom w:val="none" w:sz="0" w:space="0" w:color="auto"/>
        <w:right w:val="none" w:sz="0" w:space="0" w:color="auto"/>
      </w:divBdr>
    </w:div>
    <w:div w:id="591351305">
      <w:marLeft w:val="0"/>
      <w:marRight w:val="0"/>
      <w:marTop w:val="0"/>
      <w:marBottom w:val="0"/>
      <w:divBdr>
        <w:top w:val="none" w:sz="0" w:space="0" w:color="auto"/>
        <w:left w:val="none" w:sz="0" w:space="0" w:color="auto"/>
        <w:bottom w:val="none" w:sz="0" w:space="0" w:color="auto"/>
        <w:right w:val="none" w:sz="0" w:space="0" w:color="auto"/>
      </w:divBdr>
    </w:div>
    <w:div w:id="592129823">
      <w:marLeft w:val="0"/>
      <w:marRight w:val="0"/>
      <w:marTop w:val="0"/>
      <w:marBottom w:val="180"/>
      <w:divBdr>
        <w:top w:val="none" w:sz="0" w:space="0" w:color="auto"/>
        <w:left w:val="none" w:sz="0" w:space="0" w:color="auto"/>
        <w:bottom w:val="none" w:sz="0" w:space="0" w:color="auto"/>
        <w:right w:val="none" w:sz="0" w:space="0" w:color="auto"/>
      </w:divBdr>
    </w:div>
    <w:div w:id="592934943">
      <w:marLeft w:val="0"/>
      <w:marRight w:val="0"/>
      <w:marTop w:val="180"/>
      <w:marBottom w:val="180"/>
      <w:divBdr>
        <w:top w:val="none" w:sz="0" w:space="0" w:color="auto"/>
        <w:left w:val="none" w:sz="0" w:space="0" w:color="auto"/>
        <w:bottom w:val="none" w:sz="0" w:space="0" w:color="auto"/>
        <w:right w:val="none" w:sz="0" w:space="0" w:color="auto"/>
      </w:divBdr>
    </w:div>
    <w:div w:id="594746622">
      <w:marLeft w:val="0"/>
      <w:marRight w:val="0"/>
      <w:marTop w:val="180"/>
      <w:marBottom w:val="180"/>
      <w:divBdr>
        <w:top w:val="none" w:sz="0" w:space="0" w:color="auto"/>
        <w:left w:val="none" w:sz="0" w:space="0" w:color="auto"/>
        <w:bottom w:val="none" w:sz="0" w:space="0" w:color="auto"/>
        <w:right w:val="none" w:sz="0" w:space="0" w:color="auto"/>
      </w:divBdr>
    </w:div>
    <w:div w:id="597640484">
      <w:marLeft w:val="0"/>
      <w:marRight w:val="0"/>
      <w:marTop w:val="0"/>
      <w:marBottom w:val="0"/>
      <w:divBdr>
        <w:top w:val="none" w:sz="0" w:space="0" w:color="auto"/>
        <w:left w:val="none" w:sz="0" w:space="0" w:color="auto"/>
        <w:bottom w:val="none" w:sz="0" w:space="0" w:color="auto"/>
        <w:right w:val="none" w:sz="0" w:space="0" w:color="auto"/>
      </w:divBdr>
      <w:divsChild>
        <w:div w:id="1657760089">
          <w:marLeft w:val="0"/>
          <w:marRight w:val="0"/>
          <w:marTop w:val="0"/>
          <w:marBottom w:val="0"/>
          <w:divBdr>
            <w:top w:val="none" w:sz="0" w:space="0" w:color="auto"/>
            <w:left w:val="none" w:sz="0" w:space="0" w:color="auto"/>
            <w:bottom w:val="none" w:sz="0" w:space="0" w:color="auto"/>
            <w:right w:val="none" w:sz="0" w:space="0" w:color="auto"/>
          </w:divBdr>
        </w:div>
      </w:divsChild>
    </w:div>
    <w:div w:id="598217034">
      <w:marLeft w:val="0"/>
      <w:marRight w:val="0"/>
      <w:marTop w:val="0"/>
      <w:marBottom w:val="180"/>
      <w:divBdr>
        <w:top w:val="none" w:sz="0" w:space="0" w:color="auto"/>
        <w:left w:val="none" w:sz="0" w:space="0" w:color="auto"/>
        <w:bottom w:val="none" w:sz="0" w:space="0" w:color="auto"/>
        <w:right w:val="none" w:sz="0" w:space="0" w:color="auto"/>
      </w:divBdr>
    </w:div>
    <w:div w:id="599292839">
      <w:marLeft w:val="0"/>
      <w:marRight w:val="0"/>
      <w:marTop w:val="0"/>
      <w:marBottom w:val="180"/>
      <w:divBdr>
        <w:top w:val="none" w:sz="0" w:space="0" w:color="auto"/>
        <w:left w:val="none" w:sz="0" w:space="0" w:color="auto"/>
        <w:bottom w:val="none" w:sz="0" w:space="0" w:color="auto"/>
        <w:right w:val="none" w:sz="0" w:space="0" w:color="auto"/>
      </w:divBdr>
    </w:div>
    <w:div w:id="602154326">
      <w:marLeft w:val="0"/>
      <w:marRight w:val="0"/>
      <w:marTop w:val="0"/>
      <w:marBottom w:val="0"/>
      <w:divBdr>
        <w:top w:val="none" w:sz="0" w:space="0" w:color="auto"/>
        <w:left w:val="none" w:sz="0" w:space="0" w:color="auto"/>
        <w:bottom w:val="none" w:sz="0" w:space="0" w:color="auto"/>
        <w:right w:val="none" w:sz="0" w:space="0" w:color="auto"/>
      </w:divBdr>
    </w:div>
    <w:div w:id="604463640">
      <w:marLeft w:val="0"/>
      <w:marRight w:val="0"/>
      <w:marTop w:val="0"/>
      <w:marBottom w:val="0"/>
      <w:divBdr>
        <w:top w:val="none" w:sz="0" w:space="0" w:color="auto"/>
        <w:left w:val="none" w:sz="0" w:space="0" w:color="auto"/>
        <w:bottom w:val="none" w:sz="0" w:space="0" w:color="auto"/>
        <w:right w:val="none" w:sz="0" w:space="0" w:color="auto"/>
      </w:divBdr>
    </w:div>
    <w:div w:id="606040960">
      <w:marLeft w:val="0"/>
      <w:marRight w:val="0"/>
      <w:marTop w:val="100"/>
      <w:marBottom w:val="220"/>
      <w:divBdr>
        <w:top w:val="none" w:sz="0" w:space="0" w:color="auto"/>
        <w:left w:val="none" w:sz="0" w:space="0" w:color="auto"/>
        <w:bottom w:val="none" w:sz="0" w:space="0" w:color="auto"/>
        <w:right w:val="none" w:sz="0" w:space="0" w:color="auto"/>
      </w:divBdr>
      <w:divsChild>
        <w:div w:id="1707560498">
          <w:marLeft w:val="0"/>
          <w:marRight w:val="0"/>
          <w:marTop w:val="0"/>
          <w:marBottom w:val="0"/>
          <w:divBdr>
            <w:top w:val="none" w:sz="0" w:space="0" w:color="auto"/>
            <w:left w:val="none" w:sz="0" w:space="0" w:color="auto"/>
            <w:bottom w:val="none" w:sz="0" w:space="0" w:color="auto"/>
            <w:right w:val="none" w:sz="0" w:space="0" w:color="auto"/>
          </w:divBdr>
        </w:div>
        <w:div w:id="65106692">
          <w:marLeft w:val="0"/>
          <w:marRight w:val="0"/>
          <w:marTop w:val="0"/>
          <w:marBottom w:val="0"/>
          <w:divBdr>
            <w:top w:val="none" w:sz="0" w:space="0" w:color="auto"/>
            <w:left w:val="none" w:sz="0" w:space="0" w:color="auto"/>
            <w:bottom w:val="none" w:sz="0" w:space="0" w:color="auto"/>
            <w:right w:val="none" w:sz="0" w:space="0" w:color="auto"/>
          </w:divBdr>
        </w:div>
        <w:div w:id="122433849">
          <w:marLeft w:val="0"/>
          <w:marRight w:val="0"/>
          <w:marTop w:val="0"/>
          <w:marBottom w:val="0"/>
          <w:divBdr>
            <w:top w:val="none" w:sz="0" w:space="0" w:color="auto"/>
            <w:left w:val="none" w:sz="0" w:space="0" w:color="auto"/>
            <w:bottom w:val="none" w:sz="0" w:space="0" w:color="auto"/>
            <w:right w:val="none" w:sz="0" w:space="0" w:color="auto"/>
          </w:divBdr>
        </w:div>
        <w:div w:id="1557202881">
          <w:marLeft w:val="0"/>
          <w:marRight w:val="0"/>
          <w:marTop w:val="0"/>
          <w:marBottom w:val="0"/>
          <w:divBdr>
            <w:top w:val="none" w:sz="0" w:space="0" w:color="auto"/>
            <w:left w:val="none" w:sz="0" w:space="0" w:color="auto"/>
            <w:bottom w:val="none" w:sz="0" w:space="0" w:color="auto"/>
            <w:right w:val="none" w:sz="0" w:space="0" w:color="auto"/>
          </w:divBdr>
        </w:div>
      </w:divsChild>
    </w:div>
    <w:div w:id="606498217">
      <w:marLeft w:val="0"/>
      <w:marRight w:val="0"/>
      <w:marTop w:val="0"/>
      <w:marBottom w:val="0"/>
      <w:divBdr>
        <w:top w:val="none" w:sz="0" w:space="0" w:color="auto"/>
        <w:left w:val="none" w:sz="0" w:space="0" w:color="auto"/>
        <w:bottom w:val="none" w:sz="0" w:space="0" w:color="auto"/>
        <w:right w:val="none" w:sz="0" w:space="0" w:color="auto"/>
      </w:divBdr>
    </w:div>
    <w:div w:id="607127729">
      <w:marLeft w:val="0"/>
      <w:marRight w:val="0"/>
      <w:marTop w:val="0"/>
      <w:marBottom w:val="0"/>
      <w:divBdr>
        <w:top w:val="none" w:sz="0" w:space="0" w:color="auto"/>
        <w:left w:val="none" w:sz="0" w:space="0" w:color="auto"/>
        <w:bottom w:val="none" w:sz="0" w:space="0" w:color="auto"/>
        <w:right w:val="none" w:sz="0" w:space="0" w:color="auto"/>
      </w:divBdr>
    </w:div>
    <w:div w:id="607810590">
      <w:marLeft w:val="0"/>
      <w:marRight w:val="0"/>
      <w:marTop w:val="0"/>
      <w:marBottom w:val="180"/>
      <w:divBdr>
        <w:top w:val="none" w:sz="0" w:space="0" w:color="auto"/>
        <w:left w:val="none" w:sz="0" w:space="0" w:color="auto"/>
        <w:bottom w:val="none" w:sz="0" w:space="0" w:color="auto"/>
        <w:right w:val="none" w:sz="0" w:space="0" w:color="auto"/>
      </w:divBdr>
    </w:div>
    <w:div w:id="609430247">
      <w:marLeft w:val="0"/>
      <w:marRight w:val="0"/>
      <w:marTop w:val="0"/>
      <w:marBottom w:val="0"/>
      <w:divBdr>
        <w:top w:val="none" w:sz="0" w:space="0" w:color="auto"/>
        <w:left w:val="none" w:sz="0" w:space="0" w:color="auto"/>
        <w:bottom w:val="none" w:sz="0" w:space="0" w:color="auto"/>
        <w:right w:val="none" w:sz="0" w:space="0" w:color="auto"/>
      </w:divBdr>
    </w:div>
    <w:div w:id="609430998">
      <w:marLeft w:val="0"/>
      <w:marRight w:val="0"/>
      <w:marTop w:val="180"/>
      <w:marBottom w:val="180"/>
      <w:divBdr>
        <w:top w:val="none" w:sz="0" w:space="0" w:color="auto"/>
        <w:left w:val="none" w:sz="0" w:space="0" w:color="auto"/>
        <w:bottom w:val="none" w:sz="0" w:space="0" w:color="auto"/>
        <w:right w:val="none" w:sz="0" w:space="0" w:color="auto"/>
      </w:divBdr>
    </w:div>
    <w:div w:id="611017081">
      <w:marLeft w:val="0"/>
      <w:marRight w:val="0"/>
      <w:marTop w:val="0"/>
      <w:marBottom w:val="0"/>
      <w:divBdr>
        <w:top w:val="none" w:sz="0" w:space="0" w:color="auto"/>
        <w:left w:val="none" w:sz="0" w:space="0" w:color="auto"/>
        <w:bottom w:val="none" w:sz="0" w:space="0" w:color="auto"/>
        <w:right w:val="none" w:sz="0" w:space="0" w:color="auto"/>
      </w:divBdr>
    </w:div>
    <w:div w:id="611278481">
      <w:marLeft w:val="0"/>
      <w:marRight w:val="0"/>
      <w:marTop w:val="0"/>
      <w:marBottom w:val="0"/>
      <w:divBdr>
        <w:top w:val="none" w:sz="0" w:space="0" w:color="auto"/>
        <w:left w:val="none" w:sz="0" w:space="0" w:color="auto"/>
        <w:bottom w:val="none" w:sz="0" w:space="0" w:color="auto"/>
        <w:right w:val="none" w:sz="0" w:space="0" w:color="auto"/>
      </w:divBdr>
    </w:div>
    <w:div w:id="611324959">
      <w:marLeft w:val="0"/>
      <w:marRight w:val="0"/>
      <w:marTop w:val="0"/>
      <w:marBottom w:val="180"/>
      <w:divBdr>
        <w:top w:val="none" w:sz="0" w:space="0" w:color="auto"/>
        <w:left w:val="none" w:sz="0" w:space="0" w:color="auto"/>
        <w:bottom w:val="none" w:sz="0" w:space="0" w:color="auto"/>
        <w:right w:val="none" w:sz="0" w:space="0" w:color="auto"/>
      </w:divBdr>
    </w:div>
    <w:div w:id="612172998">
      <w:marLeft w:val="0"/>
      <w:marRight w:val="0"/>
      <w:marTop w:val="100"/>
      <w:marBottom w:val="100"/>
      <w:divBdr>
        <w:top w:val="none" w:sz="0" w:space="0" w:color="auto"/>
        <w:left w:val="none" w:sz="0" w:space="0" w:color="auto"/>
        <w:bottom w:val="none" w:sz="0" w:space="0" w:color="auto"/>
        <w:right w:val="none" w:sz="0" w:space="0" w:color="auto"/>
      </w:divBdr>
      <w:divsChild>
        <w:div w:id="1527407480">
          <w:marLeft w:val="0"/>
          <w:marRight w:val="0"/>
          <w:marTop w:val="0"/>
          <w:marBottom w:val="0"/>
          <w:divBdr>
            <w:top w:val="none" w:sz="0" w:space="0" w:color="auto"/>
            <w:left w:val="none" w:sz="0" w:space="0" w:color="auto"/>
            <w:bottom w:val="none" w:sz="0" w:space="0" w:color="auto"/>
            <w:right w:val="none" w:sz="0" w:space="0" w:color="auto"/>
          </w:divBdr>
        </w:div>
        <w:div w:id="326247438">
          <w:marLeft w:val="0"/>
          <w:marRight w:val="0"/>
          <w:marTop w:val="0"/>
          <w:marBottom w:val="0"/>
          <w:divBdr>
            <w:top w:val="none" w:sz="0" w:space="0" w:color="auto"/>
            <w:left w:val="none" w:sz="0" w:space="0" w:color="auto"/>
            <w:bottom w:val="none" w:sz="0" w:space="0" w:color="auto"/>
            <w:right w:val="none" w:sz="0" w:space="0" w:color="auto"/>
          </w:divBdr>
        </w:div>
        <w:div w:id="1012949568">
          <w:marLeft w:val="0"/>
          <w:marRight w:val="0"/>
          <w:marTop w:val="0"/>
          <w:marBottom w:val="0"/>
          <w:divBdr>
            <w:top w:val="none" w:sz="0" w:space="0" w:color="auto"/>
            <w:left w:val="none" w:sz="0" w:space="0" w:color="auto"/>
            <w:bottom w:val="none" w:sz="0" w:space="0" w:color="auto"/>
            <w:right w:val="none" w:sz="0" w:space="0" w:color="auto"/>
          </w:divBdr>
        </w:div>
        <w:div w:id="1273899563">
          <w:marLeft w:val="0"/>
          <w:marRight w:val="0"/>
          <w:marTop w:val="0"/>
          <w:marBottom w:val="0"/>
          <w:divBdr>
            <w:top w:val="none" w:sz="0" w:space="0" w:color="auto"/>
            <w:left w:val="none" w:sz="0" w:space="0" w:color="auto"/>
            <w:bottom w:val="none" w:sz="0" w:space="0" w:color="auto"/>
            <w:right w:val="none" w:sz="0" w:space="0" w:color="auto"/>
          </w:divBdr>
        </w:div>
      </w:divsChild>
    </w:div>
    <w:div w:id="613101707">
      <w:marLeft w:val="0"/>
      <w:marRight w:val="0"/>
      <w:marTop w:val="100"/>
      <w:marBottom w:val="100"/>
      <w:divBdr>
        <w:top w:val="none" w:sz="0" w:space="0" w:color="auto"/>
        <w:left w:val="none" w:sz="0" w:space="0" w:color="auto"/>
        <w:bottom w:val="none" w:sz="0" w:space="0" w:color="auto"/>
        <w:right w:val="none" w:sz="0" w:space="0" w:color="auto"/>
      </w:divBdr>
    </w:div>
    <w:div w:id="613484495">
      <w:marLeft w:val="0"/>
      <w:marRight w:val="0"/>
      <w:marTop w:val="0"/>
      <w:marBottom w:val="180"/>
      <w:divBdr>
        <w:top w:val="none" w:sz="0" w:space="0" w:color="auto"/>
        <w:left w:val="none" w:sz="0" w:space="0" w:color="auto"/>
        <w:bottom w:val="none" w:sz="0" w:space="0" w:color="auto"/>
        <w:right w:val="none" w:sz="0" w:space="0" w:color="auto"/>
      </w:divBdr>
    </w:div>
    <w:div w:id="617759214">
      <w:marLeft w:val="0"/>
      <w:marRight w:val="0"/>
      <w:marTop w:val="100"/>
      <w:marBottom w:val="100"/>
      <w:divBdr>
        <w:top w:val="none" w:sz="0" w:space="0" w:color="auto"/>
        <w:left w:val="none" w:sz="0" w:space="0" w:color="auto"/>
        <w:bottom w:val="none" w:sz="0" w:space="0" w:color="auto"/>
        <w:right w:val="none" w:sz="0" w:space="0" w:color="auto"/>
      </w:divBdr>
    </w:div>
    <w:div w:id="618224609">
      <w:marLeft w:val="0"/>
      <w:marRight w:val="0"/>
      <w:marTop w:val="0"/>
      <w:marBottom w:val="0"/>
      <w:divBdr>
        <w:top w:val="none" w:sz="0" w:space="0" w:color="auto"/>
        <w:left w:val="none" w:sz="0" w:space="0" w:color="auto"/>
        <w:bottom w:val="none" w:sz="0" w:space="0" w:color="auto"/>
        <w:right w:val="none" w:sz="0" w:space="0" w:color="auto"/>
      </w:divBdr>
    </w:div>
    <w:div w:id="618491804">
      <w:marLeft w:val="0"/>
      <w:marRight w:val="0"/>
      <w:marTop w:val="0"/>
      <w:marBottom w:val="240"/>
      <w:divBdr>
        <w:top w:val="none" w:sz="0" w:space="0" w:color="auto"/>
        <w:left w:val="none" w:sz="0" w:space="0" w:color="auto"/>
        <w:bottom w:val="none" w:sz="0" w:space="0" w:color="auto"/>
        <w:right w:val="none" w:sz="0" w:space="0" w:color="auto"/>
      </w:divBdr>
    </w:div>
    <w:div w:id="620303242">
      <w:marLeft w:val="0"/>
      <w:marRight w:val="0"/>
      <w:marTop w:val="120"/>
      <w:marBottom w:val="120"/>
      <w:divBdr>
        <w:top w:val="none" w:sz="0" w:space="0" w:color="auto"/>
        <w:left w:val="none" w:sz="0" w:space="0" w:color="auto"/>
        <w:bottom w:val="none" w:sz="0" w:space="0" w:color="auto"/>
        <w:right w:val="none" w:sz="0" w:space="0" w:color="auto"/>
      </w:divBdr>
    </w:div>
    <w:div w:id="621500170">
      <w:marLeft w:val="0"/>
      <w:marRight w:val="0"/>
      <w:marTop w:val="0"/>
      <w:marBottom w:val="0"/>
      <w:divBdr>
        <w:top w:val="none" w:sz="0" w:space="0" w:color="auto"/>
        <w:left w:val="none" w:sz="0" w:space="0" w:color="auto"/>
        <w:bottom w:val="none" w:sz="0" w:space="0" w:color="auto"/>
        <w:right w:val="none" w:sz="0" w:space="0" w:color="auto"/>
      </w:divBdr>
      <w:divsChild>
        <w:div w:id="1308513887">
          <w:marLeft w:val="0"/>
          <w:marRight w:val="0"/>
          <w:marTop w:val="0"/>
          <w:marBottom w:val="0"/>
          <w:divBdr>
            <w:top w:val="none" w:sz="0" w:space="0" w:color="auto"/>
            <w:left w:val="none" w:sz="0" w:space="0" w:color="auto"/>
            <w:bottom w:val="none" w:sz="0" w:space="0" w:color="auto"/>
            <w:right w:val="none" w:sz="0" w:space="0" w:color="auto"/>
          </w:divBdr>
        </w:div>
      </w:divsChild>
    </w:div>
    <w:div w:id="621693644">
      <w:marLeft w:val="0"/>
      <w:marRight w:val="0"/>
      <w:marTop w:val="120"/>
      <w:marBottom w:val="120"/>
      <w:divBdr>
        <w:top w:val="none" w:sz="0" w:space="0" w:color="auto"/>
        <w:left w:val="none" w:sz="0" w:space="0" w:color="auto"/>
        <w:bottom w:val="none" w:sz="0" w:space="0" w:color="auto"/>
        <w:right w:val="none" w:sz="0" w:space="0" w:color="auto"/>
      </w:divBdr>
    </w:div>
    <w:div w:id="622885165">
      <w:marLeft w:val="0"/>
      <w:marRight w:val="0"/>
      <w:marTop w:val="0"/>
      <w:marBottom w:val="0"/>
      <w:divBdr>
        <w:top w:val="none" w:sz="0" w:space="0" w:color="auto"/>
        <w:left w:val="none" w:sz="0" w:space="0" w:color="auto"/>
        <w:bottom w:val="none" w:sz="0" w:space="0" w:color="auto"/>
        <w:right w:val="none" w:sz="0" w:space="0" w:color="auto"/>
      </w:divBdr>
      <w:divsChild>
        <w:div w:id="563837324">
          <w:marLeft w:val="0"/>
          <w:marRight w:val="0"/>
          <w:marTop w:val="0"/>
          <w:marBottom w:val="0"/>
          <w:divBdr>
            <w:top w:val="none" w:sz="0" w:space="0" w:color="auto"/>
            <w:left w:val="none" w:sz="0" w:space="0" w:color="auto"/>
            <w:bottom w:val="none" w:sz="0" w:space="0" w:color="auto"/>
            <w:right w:val="none" w:sz="0" w:space="0" w:color="auto"/>
          </w:divBdr>
        </w:div>
      </w:divsChild>
    </w:div>
    <w:div w:id="624392464">
      <w:marLeft w:val="0"/>
      <w:marRight w:val="0"/>
      <w:marTop w:val="0"/>
      <w:marBottom w:val="240"/>
      <w:divBdr>
        <w:top w:val="none" w:sz="0" w:space="0" w:color="auto"/>
        <w:left w:val="none" w:sz="0" w:space="0" w:color="auto"/>
        <w:bottom w:val="none" w:sz="0" w:space="0" w:color="auto"/>
        <w:right w:val="none" w:sz="0" w:space="0" w:color="auto"/>
      </w:divBdr>
    </w:div>
    <w:div w:id="624888227">
      <w:marLeft w:val="0"/>
      <w:marRight w:val="0"/>
      <w:marTop w:val="0"/>
      <w:marBottom w:val="0"/>
      <w:divBdr>
        <w:top w:val="none" w:sz="0" w:space="0" w:color="auto"/>
        <w:left w:val="none" w:sz="0" w:space="0" w:color="auto"/>
        <w:bottom w:val="none" w:sz="0" w:space="0" w:color="auto"/>
        <w:right w:val="none" w:sz="0" w:space="0" w:color="auto"/>
      </w:divBdr>
      <w:divsChild>
        <w:div w:id="712774785">
          <w:marLeft w:val="0"/>
          <w:marRight w:val="0"/>
          <w:marTop w:val="0"/>
          <w:marBottom w:val="0"/>
          <w:divBdr>
            <w:top w:val="none" w:sz="0" w:space="0" w:color="auto"/>
            <w:left w:val="none" w:sz="0" w:space="0" w:color="auto"/>
            <w:bottom w:val="none" w:sz="0" w:space="0" w:color="auto"/>
            <w:right w:val="none" w:sz="0" w:space="0" w:color="auto"/>
          </w:divBdr>
        </w:div>
      </w:divsChild>
    </w:div>
    <w:div w:id="626278982">
      <w:marLeft w:val="0"/>
      <w:marRight w:val="0"/>
      <w:marTop w:val="0"/>
      <w:marBottom w:val="240"/>
      <w:divBdr>
        <w:top w:val="none" w:sz="0" w:space="0" w:color="auto"/>
        <w:left w:val="none" w:sz="0" w:space="0" w:color="auto"/>
        <w:bottom w:val="none" w:sz="0" w:space="0" w:color="auto"/>
        <w:right w:val="none" w:sz="0" w:space="0" w:color="auto"/>
      </w:divBdr>
    </w:div>
    <w:div w:id="626934524">
      <w:marLeft w:val="0"/>
      <w:marRight w:val="0"/>
      <w:marTop w:val="180"/>
      <w:marBottom w:val="180"/>
      <w:divBdr>
        <w:top w:val="none" w:sz="0" w:space="0" w:color="auto"/>
        <w:left w:val="none" w:sz="0" w:space="0" w:color="auto"/>
        <w:bottom w:val="none" w:sz="0" w:space="0" w:color="auto"/>
        <w:right w:val="none" w:sz="0" w:space="0" w:color="auto"/>
      </w:divBdr>
    </w:div>
    <w:div w:id="627711568">
      <w:marLeft w:val="0"/>
      <w:marRight w:val="0"/>
      <w:marTop w:val="180"/>
      <w:marBottom w:val="180"/>
      <w:divBdr>
        <w:top w:val="none" w:sz="0" w:space="0" w:color="auto"/>
        <w:left w:val="none" w:sz="0" w:space="0" w:color="auto"/>
        <w:bottom w:val="none" w:sz="0" w:space="0" w:color="auto"/>
        <w:right w:val="none" w:sz="0" w:space="0" w:color="auto"/>
      </w:divBdr>
    </w:div>
    <w:div w:id="628513374">
      <w:marLeft w:val="0"/>
      <w:marRight w:val="0"/>
      <w:marTop w:val="0"/>
      <w:marBottom w:val="180"/>
      <w:divBdr>
        <w:top w:val="none" w:sz="0" w:space="0" w:color="auto"/>
        <w:left w:val="none" w:sz="0" w:space="0" w:color="auto"/>
        <w:bottom w:val="none" w:sz="0" w:space="0" w:color="auto"/>
        <w:right w:val="none" w:sz="0" w:space="0" w:color="auto"/>
      </w:divBdr>
    </w:div>
    <w:div w:id="629285407">
      <w:marLeft w:val="0"/>
      <w:marRight w:val="0"/>
      <w:marTop w:val="0"/>
      <w:marBottom w:val="180"/>
      <w:divBdr>
        <w:top w:val="none" w:sz="0" w:space="0" w:color="auto"/>
        <w:left w:val="none" w:sz="0" w:space="0" w:color="auto"/>
        <w:bottom w:val="none" w:sz="0" w:space="0" w:color="auto"/>
        <w:right w:val="none" w:sz="0" w:space="0" w:color="auto"/>
      </w:divBdr>
    </w:div>
    <w:div w:id="629828107">
      <w:marLeft w:val="0"/>
      <w:marRight w:val="0"/>
      <w:marTop w:val="180"/>
      <w:marBottom w:val="180"/>
      <w:divBdr>
        <w:top w:val="none" w:sz="0" w:space="0" w:color="auto"/>
        <w:left w:val="none" w:sz="0" w:space="0" w:color="auto"/>
        <w:bottom w:val="none" w:sz="0" w:space="0" w:color="auto"/>
        <w:right w:val="none" w:sz="0" w:space="0" w:color="auto"/>
      </w:divBdr>
    </w:div>
    <w:div w:id="630593834">
      <w:marLeft w:val="0"/>
      <w:marRight w:val="0"/>
      <w:marTop w:val="120"/>
      <w:marBottom w:val="120"/>
      <w:divBdr>
        <w:top w:val="none" w:sz="0" w:space="0" w:color="auto"/>
        <w:left w:val="none" w:sz="0" w:space="0" w:color="auto"/>
        <w:bottom w:val="none" w:sz="0" w:space="0" w:color="auto"/>
        <w:right w:val="none" w:sz="0" w:space="0" w:color="auto"/>
      </w:divBdr>
    </w:div>
    <w:div w:id="635376380">
      <w:marLeft w:val="0"/>
      <w:marRight w:val="0"/>
      <w:marTop w:val="0"/>
      <w:marBottom w:val="180"/>
      <w:divBdr>
        <w:top w:val="none" w:sz="0" w:space="0" w:color="auto"/>
        <w:left w:val="none" w:sz="0" w:space="0" w:color="auto"/>
        <w:bottom w:val="none" w:sz="0" w:space="0" w:color="auto"/>
        <w:right w:val="none" w:sz="0" w:space="0" w:color="auto"/>
      </w:divBdr>
    </w:div>
    <w:div w:id="636300574">
      <w:marLeft w:val="0"/>
      <w:marRight w:val="0"/>
      <w:marTop w:val="0"/>
      <w:marBottom w:val="240"/>
      <w:divBdr>
        <w:top w:val="none" w:sz="0" w:space="0" w:color="auto"/>
        <w:left w:val="none" w:sz="0" w:space="0" w:color="auto"/>
        <w:bottom w:val="none" w:sz="0" w:space="0" w:color="auto"/>
        <w:right w:val="none" w:sz="0" w:space="0" w:color="auto"/>
      </w:divBdr>
    </w:div>
    <w:div w:id="638726352">
      <w:marLeft w:val="0"/>
      <w:marRight w:val="0"/>
      <w:marTop w:val="100"/>
      <w:marBottom w:val="100"/>
      <w:divBdr>
        <w:top w:val="none" w:sz="0" w:space="0" w:color="auto"/>
        <w:left w:val="none" w:sz="0" w:space="0" w:color="auto"/>
        <w:bottom w:val="none" w:sz="0" w:space="0" w:color="auto"/>
        <w:right w:val="none" w:sz="0" w:space="0" w:color="auto"/>
      </w:divBdr>
    </w:div>
    <w:div w:id="639459469">
      <w:marLeft w:val="0"/>
      <w:marRight w:val="0"/>
      <w:marTop w:val="0"/>
      <w:marBottom w:val="180"/>
      <w:divBdr>
        <w:top w:val="none" w:sz="0" w:space="0" w:color="auto"/>
        <w:left w:val="none" w:sz="0" w:space="0" w:color="auto"/>
        <w:bottom w:val="none" w:sz="0" w:space="0" w:color="auto"/>
        <w:right w:val="none" w:sz="0" w:space="0" w:color="auto"/>
      </w:divBdr>
    </w:div>
    <w:div w:id="640885055">
      <w:marLeft w:val="0"/>
      <w:marRight w:val="0"/>
      <w:marTop w:val="100"/>
      <w:marBottom w:val="100"/>
      <w:divBdr>
        <w:top w:val="none" w:sz="0" w:space="0" w:color="auto"/>
        <w:left w:val="none" w:sz="0" w:space="0" w:color="auto"/>
        <w:bottom w:val="none" w:sz="0" w:space="0" w:color="auto"/>
        <w:right w:val="none" w:sz="0" w:space="0" w:color="auto"/>
      </w:divBdr>
    </w:div>
    <w:div w:id="644163798">
      <w:marLeft w:val="0"/>
      <w:marRight w:val="0"/>
      <w:marTop w:val="100"/>
      <w:marBottom w:val="100"/>
      <w:divBdr>
        <w:top w:val="none" w:sz="0" w:space="0" w:color="auto"/>
        <w:left w:val="none" w:sz="0" w:space="0" w:color="auto"/>
        <w:bottom w:val="none" w:sz="0" w:space="0" w:color="auto"/>
        <w:right w:val="none" w:sz="0" w:space="0" w:color="auto"/>
      </w:divBdr>
    </w:div>
    <w:div w:id="644355809">
      <w:marLeft w:val="0"/>
      <w:marRight w:val="0"/>
      <w:marTop w:val="120"/>
      <w:marBottom w:val="120"/>
      <w:divBdr>
        <w:top w:val="none" w:sz="0" w:space="0" w:color="auto"/>
        <w:left w:val="none" w:sz="0" w:space="0" w:color="auto"/>
        <w:bottom w:val="none" w:sz="0" w:space="0" w:color="auto"/>
        <w:right w:val="none" w:sz="0" w:space="0" w:color="auto"/>
      </w:divBdr>
    </w:div>
    <w:div w:id="644821677">
      <w:marLeft w:val="0"/>
      <w:marRight w:val="0"/>
      <w:marTop w:val="0"/>
      <w:marBottom w:val="0"/>
      <w:divBdr>
        <w:top w:val="none" w:sz="0" w:space="0" w:color="auto"/>
        <w:left w:val="none" w:sz="0" w:space="0" w:color="auto"/>
        <w:bottom w:val="none" w:sz="0" w:space="0" w:color="auto"/>
        <w:right w:val="none" w:sz="0" w:space="0" w:color="auto"/>
      </w:divBdr>
      <w:divsChild>
        <w:div w:id="2117631563">
          <w:marLeft w:val="0"/>
          <w:marRight w:val="0"/>
          <w:marTop w:val="0"/>
          <w:marBottom w:val="0"/>
          <w:divBdr>
            <w:top w:val="none" w:sz="0" w:space="0" w:color="auto"/>
            <w:left w:val="none" w:sz="0" w:space="0" w:color="auto"/>
            <w:bottom w:val="none" w:sz="0" w:space="0" w:color="auto"/>
            <w:right w:val="none" w:sz="0" w:space="0" w:color="auto"/>
          </w:divBdr>
        </w:div>
      </w:divsChild>
    </w:div>
    <w:div w:id="645667680">
      <w:marLeft w:val="0"/>
      <w:marRight w:val="0"/>
      <w:marTop w:val="100"/>
      <w:marBottom w:val="100"/>
      <w:divBdr>
        <w:top w:val="none" w:sz="0" w:space="0" w:color="auto"/>
        <w:left w:val="none" w:sz="0" w:space="0" w:color="auto"/>
        <w:bottom w:val="none" w:sz="0" w:space="0" w:color="auto"/>
        <w:right w:val="none" w:sz="0" w:space="0" w:color="auto"/>
      </w:divBdr>
    </w:div>
    <w:div w:id="648437700">
      <w:marLeft w:val="0"/>
      <w:marRight w:val="0"/>
      <w:marTop w:val="0"/>
      <w:marBottom w:val="0"/>
      <w:divBdr>
        <w:top w:val="none" w:sz="0" w:space="0" w:color="auto"/>
        <w:left w:val="none" w:sz="0" w:space="0" w:color="auto"/>
        <w:bottom w:val="none" w:sz="0" w:space="0" w:color="auto"/>
        <w:right w:val="none" w:sz="0" w:space="0" w:color="auto"/>
      </w:divBdr>
    </w:div>
    <w:div w:id="649285451">
      <w:marLeft w:val="0"/>
      <w:marRight w:val="0"/>
      <w:marTop w:val="180"/>
      <w:marBottom w:val="180"/>
      <w:divBdr>
        <w:top w:val="none" w:sz="0" w:space="0" w:color="auto"/>
        <w:left w:val="none" w:sz="0" w:space="0" w:color="auto"/>
        <w:bottom w:val="none" w:sz="0" w:space="0" w:color="auto"/>
        <w:right w:val="none" w:sz="0" w:space="0" w:color="auto"/>
      </w:divBdr>
    </w:div>
    <w:div w:id="651257135">
      <w:marLeft w:val="0"/>
      <w:marRight w:val="0"/>
      <w:marTop w:val="0"/>
      <w:marBottom w:val="0"/>
      <w:divBdr>
        <w:top w:val="none" w:sz="0" w:space="0" w:color="auto"/>
        <w:left w:val="none" w:sz="0" w:space="0" w:color="auto"/>
        <w:bottom w:val="none" w:sz="0" w:space="0" w:color="auto"/>
        <w:right w:val="none" w:sz="0" w:space="0" w:color="auto"/>
      </w:divBdr>
    </w:div>
    <w:div w:id="653265143">
      <w:marLeft w:val="0"/>
      <w:marRight w:val="0"/>
      <w:marTop w:val="120"/>
      <w:marBottom w:val="120"/>
      <w:divBdr>
        <w:top w:val="none" w:sz="0" w:space="0" w:color="auto"/>
        <w:left w:val="none" w:sz="0" w:space="0" w:color="auto"/>
        <w:bottom w:val="none" w:sz="0" w:space="0" w:color="auto"/>
        <w:right w:val="none" w:sz="0" w:space="0" w:color="auto"/>
      </w:divBdr>
    </w:div>
    <w:div w:id="655648890">
      <w:marLeft w:val="0"/>
      <w:marRight w:val="0"/>
      <w:marTop w:val="0"/>
      <w:marBottom w:val="180"/>
      <w:divBdr>
        <w:top w:val="none" w:sz="0" w:space="0" w:color="auto"/>
        <w:left w:val="none" w:sz="0" w:space="0" w:color="auto"/>
        <w:bottom w:val="none" w:sz="0" w:space="0" w:color="auto"/>
        <w:right w:val="none" w:sz="0" w:space="0" w:color="auto"/>
      </w:divBdr>
    </w:div>
    <w:div w:id="656612854">
      <w:marLeft w:val="0"/>
      <w:marRight w:val="0"/>
      <w:marTop w:val="100"/>
      <w:marBottom w:val="100"/>
      <w:divBdr>
        <w:top w:val="none" w:sz="0" w:space="0" w:color="auto"/>
        <w:left w:val="none" w:sz="0" w:space="0" w:color="auto"/>
        <w:bottom w:val="none" w:sz="0" w:space="0" w:color="auto"/>
        <w:right w:val="none" w:sz="0" w:space="0" w:color="auto"/>
      </w:divBdr>
    </w:div>
    <w:div w:id="658189335">
      <w:marLeft w:val="0"/>
      <w:marRight w:val="0"/>
      <w:marTop w:val="0"/>
      <w:marBottom w:val="240"/>
      <w:divBdr>
        <w:top w:val="none" w:sz="0" w:space="0" w:color="auto"/>
        <w:left w:val="none" w:sz="0" w:space="0" w:color="auto"/>
        <w:bottom w:val="none" w:sz="0" w:space="0" w:color="auto"/>
        <w:right w:val="none" w:sz="0" w:space="0" w:color="auto"/>
      </w:divBdr>
    </w:div>
    <w:div w:id="658658864">
      <w:marLeft w:val="0"/>
      <w:marRight w:val="0"/>
      <w:marTop w:val="0"/>
      <w:marBottom w:val="180"/>
      <w:divBdr>
        <w:top w:val="none" w:sz="0" w:space="0" w:color="auto"/>
        <w:left w:val="none" w:sz="0" w:space="0" w:color="auto"/>
        <w:bottom w:val="none" w:sz="0" w:space="0" w:color="auto"/>
        <w:right w:val="none" w:sz="0" w:space="0" w:color="auto"/>
      </w:divBdr>
    </w:div>
    <w:div w:id="663557409">
      <w:marLeft w:val="0"/>
      <w:marRight w:val="0"/>
      <w:marTop w:val="0"/>
      <w:marBottom w:val="240"/>
      <w:divBdr>
        <w:top w:val="none" w:sz="0" w:space="0" w:color="auto"/>
        <w:left w:val="none" w:sz="0" w:space="0" w:color="auto"/>
        <w:bottom w:val="none" w:sz="0" w:space="0" w:color="auto"/>
        <w:right w:val="none" w:sz="0" w:space="0" w:color="auto"/>
      </w:divBdr>
    </w:div>
    <w:div w:id="664556600">
      <w:marLeft w:val="0"/>
      <w:marRight w:val="0"/>
      <w:marTop w:val="0"/>
      <w:marBottom w:val="240"/>
      <w:divBdr>
        <w:top w:val="none" w:sz="0" w:space="0" w:color="auto"/>
        <w:left w:val="none" w:sz="0" w:space="0" w:color="auto"/>
        <w:bottom w:val="none" w:sz="0" w:space="0" w:color="auto"/>
        <w:right w:val="none" w:sz="0" w:space="0" w:color="auto"/>
      </w:divBdr>
    </w:div>
    <w:div w:id="666321138">
      <w:marLeft w:val="0"/>
      <w:marRight w:val="0"/>
      <w:marTop w:val="0"/>
      <w:marBottom w:val="240"/>
      <w:divBdr>
        <w:top w:val="none" w:sz="0" w:space="0" w:color="auto"/>
        <w:left w:val="none" w:sz="0" w:space="0" w:color="auto"/>
        <w:bottom w:val="none" w:sz="0" w:space="0" w:color="auto"/>
        <w:right w:val="none" w:sz="0" w:space="0" w:color="auto"/>
      </w:divBdr>
    </w:div>
    <w:div w:id="666325283">
      <w:marLeft w:val="0"/>
      <w:marRight w:val="0"/>
      <w:marTop w:val="100"/>
      <w:marBottom w:val="100"/>
      <w:divBdr>
        <w:top w:val="none" w:sz="0" w:space="0" w:color="auto"/>
        <w:left w:val="none" w:sz="0" w:space="0" w:color="auto"/>
        <w:bottom w:val="none" w:sz="0" w:space="0" w:color="auto"/>
        <w:right w:val="none" w:sz="0" w:space="0" w:color="auto"/>
      </w:divBdr>
      <w:divsChild>
        <w:div w:id="960651925">
          <w:marLeft w:val="0"/>
          <w:marRight w:val="0"/>
          <w:marTop w:val="0"/>
          <w:marBottom w:val="0"/>
          <w:divBdr>
            <w:top w:val="none" w:sz="0" w:space="0" w:color="auto"/>
            <w:left w:val="none" w:sz="0" w:space="0" w:color="auto"/>
            <w:bottom w:val="none" w:sz="0" w:space="0" w:color="auto"/>
            <w:right w:val="none" w:sz="0" w:space="0" w:color="auto"/>
          </w:divBdr>
        </w:div>
        <w:div w:id="81223663">
          <w:marLeft w:val="0"/>
          <w:marRight w:val="0"/>
          <w:marTop w:val="0"/>
          <w:marBottom w:val="0"/>
          <w:divBdr>
            <w:top w:val="none" w:sz="0" w:space="0" w:color="auto"/>
            <w:left w:val="none" w:sz="0" w:space="0" w:color="auto"/>
            <w:bottom w:val="none" w:sz="0" w:space="0" w:color="auto"/>
            <w:right w:val="none" w:sz="0" w:space="0" w:color="auto"/>
          </w:divBdr>
        </w:div>
        <w:div w:id="1830443743">
          <w:marLeft w:val="0"/>
          <w:marRight w:val="0"/>
          <w:marTop w:val="0"/>
          <w:marBottom w:val="0"/>
          <w:divBdr>
            <w:top w:val="none" w:sz="0" w:space="0" w:color="auto"/>
            <w:left w:val="none" w:sz="0" w:space="0" w:color="auto"/>
            <w:bottom w:val="none" w:sz="0" w:space="0" w:color="auto"/>
            <w:right w:val="none" w:sz="0" w:space="0" w:color="auto"/>
          </w:divBdr>
        </w:div>
        <w:div w:id="875199345">
          <w:marLeft w:val="0"/>
          <w:marRight w:val="0"/>
          <w:marTop w:val="0"/>
          <w:marBottom w:val="0"/>
          <w:divBdr>
            <w:top w:val="none" w:sz="0" w:space="0" w:color="auto"/>
            <w:left w:val="none" w:sz="0" w:space="0" w:color="auto"/>
            <w:bottom w:val="none" w:sz="0" w:space="0" w:color="auto"/>
            <w:right w:val="none" w:sz="0" w:space="0" w:color="auto"/>
          </w:divBdr>
        </w:div>
        <w:div w:id="1083911079">
          <w:marLeft w:val="0"/>
          <w:marRight w:val="0"/>
          <w:marTop w:val="0"/>
          <w:marBottom w:val="0"/>
          <w:divBdr>
            <w:top w:val="none" w:sz="0" w:space="0" w:color="auto"/>
            <w:left w:val="none" w:sz="0" w:space="0" w:color="auto"/>
            <w:bottom w:val="none" w:sz="0" w:space="0" w:color="auto"/>
            <w:right w:val="none" w:sz="0" w:space="0" w:color="auto"/>
          </w:divBdr>
        </w:div>
        <w:div w:id="1068499114">
          <w:marLeft w:val="0"/>
          <w:marRight w:val="0"/>
          <w:marTop w:val="0"/>
          <w:marBottom w:val="0"/>
          <w:divBdr>
            <w:top w:val="none" w:sz="0" w:space="0" w:color="auto"/>
            <w:left w:val="none" w:sz="0" w:space="0" w:color="auto"/>
            <w:bottom w:val="none" w:sz="0" w:space="0" w:color="auto"/>
            <w:right w:val="none" w:sz="0" w:space="0" w:color="auto"/>
          </w:divBdr>
        </w:div>
        <w:div w:id="246499756">
          <w:marLeft w:val="0"/>
          <w:marRight w:val="0"/>
          <w:marTop w:val="0"/>
          <w:marBottom w:val="0"/>
          <w:divBdr>
            <w:top w:val="none" w:sz="0" w:space="0" w:color="auto"/>
            <w:left w:val="none" w:sz="0" w:space="0" w:color="auto"/>
            <w:bottom w:val="none" w:sz="0" w:space="0" w:color="auto"/>
            <w:right w:val="none" w:sz="0" w:space="0" w:color="auto"/>
          </w:divBdr>
        </w:div>
        <w:div w:id="2088458484">
          <w:marLeft w:val="0"/>
          <w:marRight w:val="0"/>
          <w:marTop w:val="0"/>
          <w:marBottom w:val="0"/>
          <w:divBdr>
            <w:top w:val="none" w:sz="0" w:space="0" w:color="auto"/>
            <w:left w:val="none" w:sz="0" w:space="0" w:color="auto"/>
            <w:bottom w:val="none" w:sz="0" w:space="0" w:color="auto"/>
            <w:right w:val="none" w:sz="0" w:space="0" w:color="auto"/>
          </w:divBdr>
        </w:div>
        <w:div w:id="524363173">
          <w:marLeft w:val="0"/>
          <w:marRight w:val="0"/>
          <w:marTop w:val="0"/>
          <w:marBottom w:val="0"/>
          <w:divBdr>
            <w:top w:val="none" w:sz="0" w:space="0" w:color="auto"/>
            <w:left w:val="none" w:sz="0" w:space="0" w:color="auto"/>
            <w:bottom w:val="none" w:sz="0" w:space="0" w:color="auto"/>
            <w:right w:val="none" w:sz="0" w:space="0" w:color="auto"/>
          </w:divBdr>
        </w:div>
        <w:div w:id="784617837">
          <w:marLeft w:val="0"/>
          <w:marRight w:val="0"/>
          <w:marTop w:val="0"/>
          <w:marBottom w:val="0"/>
          <w:divBdr>
            <w:top w:val="none" w:sz="0" w:space="0" w:color="auto"/>
            <w:left w:val="none" w:sz="0" w:space="0" w:color="auto"/>
            <w:bottom w:val="none" w:sz="0" w:space="0" w:color="auto"/>
            <w:right w:val="none" w:sz="0" w:space="0" w:color="auto"/>
          </w:divBdr>
        </w:div>
        <w:div w:id="1660304507">
          <w:marLeft w:val="0"/>
          <w:marRight w:val="0"/>
          <w:marTop w:val="0"/>
          <w:marBottom w:val="0"/>
          <w:divBdr>
            <w:top w:val="none" w:sz="0" w:space="0" w:color="auto"/>
            <w:left w:val="none" w:sz="0" w:space="0" w:color="auto"/>
            <w:bottom w:val="none" w:sz="0" w:space="0" w:color="auto"/>
            <w:right w:val="none" w:sz="0" w:space="0" w:color="auto"/>
          </w:divBdr>
        </w:div>
      </w:divsChild>
    </w:div>
    <w:div w:id="667710395">
      <w:marLeft w:val="0"/>
      <w:marRight w:val="0"/>
      <w:marTop w:val="0"/>
      <w:marBottom w:val="240"/>
      <w:divBdr>
        <w:top w:val="none" w:sz="0" w:space="0" w:color="auto"/>
        <w:left w:val="none" w:sz="0" w:space="0" w:color="auto"/>
        <w:bottom w:val="none" w:sz="0" w:space="0" w:color="auto"/>
        <w:right w:val="none" w:sz="0" w:space="0" w:color="auto"/>
      </w:divBdr>
    </w:div>
    <w:div w:id="668170493">
      <w:marLeft w:val="0"/>
      <w:marRight w:val="0"/>
      <w:marTop w:val="0"/>
      <w:marBottom w:val="240"/>
      <w:divBdr>
        <w:top w:val="none" w:sz="0" w:space="0" w:color="auto"/>
        <w:left w:val="none" w:sz="0" w:space="0" w:color="auto"/>
        <w:bottom w:val="none" w:sz="0" w:space="0" w:color="auto"/>
        <w:right w:val="none" w:sz="0" w:space="0" w:color="auto"/>
      </w:divBdr>
    </w:div>
    <w:div w:id="668407478">
      <w:marLeft w:val="0"/>
      <w:marRight w:val="0"/>
      <w:marTop w:val="0"/>
      <w:marBottom w:val="0"/>
      <w:divBdr>
        <w:top w:val="none" w:sz="0" w:space="0" w:color="auto"/>
        <w:left w:val="none" w:sz="0" w:space="0" w:color="auto"/>
        <w:bottom w:val="none" w:sz="0" w:space="0" w:color="auto"/>
        <w:right w:val="none" w:sz="0" w:space="0" w:color="auto"/>
      </w:divBdr>
    </w:div>
    <w:div w:id="668799791">
      <w:marLeft w:val="0"/>
      <w:marRight w:val="0"/>
      <w:marTop w:val="0"/>
      <w:marBottom w:val="240"/>
      <w:divBdr>
        <w:top w:val="none" w:sz="0" w:space="0" w:color="auto"/>
        <w:left w:val="none" w:sz="0" w:space="0" w:color="auto"/>
        <w:bottom w:val="none" w:sz="0" w:space="0" w:color="auto"/>
        <w:right w:val="none" w:sz="0" w:space="0" w:color="auto"/>
      </w:divBdr>
    </w:div>
    <w:div w:id="669331983">
      <w:marLeft w:val="0"/>
      <w:marRight w:val="0"/>
      <w:marTop w:val="0"/>
      <w:marBottom w:val="0"/>
      <w:divBdr>
        <w:top w:val="none" w:sz="0" w:space="0" w:color="auto"/>
        <w:left w:val="none" w:sz="0" w:space="0" w:color="auto"/>
        <w:bottom w:val="none" w:sz="0" w:space="0" w:color="auto"/>
        <w:right w:val="none" w:sz="0" w:space="0" w:color="auto"/>
      </w:divBdr>
      <w:divsChild>
        <w:div w:id="322201071">
          <w:marLeft w:val="0"/>
          <w:marRight w:val="0"/>
          <w:marTop w:val="0"/>
          <w:marBottom w:val="0"/>
          <w:divBdr>
            <w:top w:val="none" w:sz="0" w:space="0" w:color="auto"/>
            <w:left w:val="none" w:sz="0" w:space="0" w:color="auto"/>
            <w:bottom w:val="none" w:sz="0" w:space="0" w:color="auto"/>
            <w:right w:val="none" w:sz="0" w:space="0" w:color="auto"/>
          </w:divBdr>
        </w:div>
      </w:divsChild>
    </w:div>
    <w:div w:id="670106901">
      <w:marLeft w:val="0"/>
      <w:marRight w:val="0"/>
      <w:marTop w:val="100"/>
      <w:marBottom w:val="100"/>
      <w:divBdr>
        <w:top w:val="none" w:sz="0" w:space="0" w:color="auto"/>
        <w:left w:val="none" w:sz="0" w:space="0" w:color="auto"/>
        <w:bottom w:val="none" w:sz="0" w:space="0" w:color="auto"/>
        <w:right w:val="none" w:sz="0" w:space="0" w:color="auto"/>
      </w:divBdr>
    </w:div>
    <w:div w:id="670303717">
      <w:marLeft w:val="0"/>
      <w:marRight w:val="0"/>
      <w:marTop w:val="0"/>
      <w:marBottom w:val="0"/>
      <w:divBdr>
        <w:top w:val="none" w:sz="0" w:space="0" w:color="auto"/>
        <w:left w:val="none" w:sz="0" w:space="0" w:color="auto"/>
        <w:bottom w:val="none" w:sz="0" w:space="0" w:color="auto"/>
        <w:right w:val="none" w:sz="0" w:space="0" w:color="auto"/>
      </w:divBdr>
    </w:div>
    <w:div w:id="670833708">
      <w:marLeft w:val="0"/>
      <w:marRight w:val="0"/>
      <w:marTop w:val="0"/>
      <w:marBottom w:val="240"/>
      <w:divBdr>
        <w:top w:val="none" w:sz="0" w:space="0" w:color="auto"/>
        <w:left w:val="none" w:sz="0" w:space="0" w:color="auto"/>
        <w:bottom w:val="none" w:sz="0" w:space="0" w:color="auto"/>
        <w:right w:val="none" w:sz="0" w:space="0" w:color="auto"/>
      </w:divBdr>
    </w:div>
    <w:div w:id="673066513">
      <w:marLeft w:val="0"/>
      <w:marRight w:val="0"/>
      <w:marTop w:val="0"/>
      <w:marBottom w:val="240"/>
      <w:divBdr>
        <w:top w:val="none" w:sz="0" w:space="0" w:color="auto"/>
        <w:left w:val="none" w:sz="0" w:space="0" w:color="auto"/>
        <w:bottom w:val="none" w:sz="0" w:space="0" w:color="auto"/>
        <w:right w:val="none" w:sz="0" w:space="0" w:color="auto"/>
      </w:divBdr>
    </w:div>
    <w:div w:id="682172768">
      <w:marLeft w:val="0"/>
      <w:marRight w:val="0"/>
      <w:marTop w:val="120"/>
      <w:marBottom w:val="120"/>
      <w:divBdr>
        <w:top w:val="none" w:sz="0" w:space="0" w:color="auto"/>
        <w:left w:val="none" w:sz="0" w:space="0" w:color="auto"/>
        <w:bottom w:val="none" w:sz="0" w:space="0" w:color="auto"/>
        <w:right w:val="none" w:sz="0" w:space="0" w:color="auto"/>
      </w:divBdr>
    </w:div>
    <w:div w:id="682322125">
      <w:marLeft w:val="0"/>
      <w:marRight w:val="0"/>
      <w:marTop w:val="0"/>
      <w:marBottom w:val="0"/>
      <w:divBdr>
        <w:top w:val="none" w:sz="0" w:space="0" w:color="auto"/>
        <w:left w:val="none" w:sz="0" w:space="0" w:color="auto"/>
        <w:bottom w:val="none" w:sz="0" w:space="0" w:color="auto"/>
        <w:right w:val="none" w:sz="0" w:space="0" w:color="auto"/>
      </w:divBdr>
      <w:divsChild>
        <w:div w:id="1830825044">
          <w:marLeft w:val="0"/>
          <w:marRight w:val="0"/>
          <w:marTop w:val="0"/>
          <w:marBottom w:val="0"/>
          <w:divBdr>
            <w:top w:val="none" w:sz="0" w:space="0" w:color="auto"/>
            <w:left w:val="none" w:sz="0" w:space="0" w:color="auto"/>
            <w:bottom w:val="none" w:sz="0" w:space="0" w:color="auto"/>
            <w:right w:val="none" w:sz="0" w:space="0" w:color="auto"/>
          </w:divBdr>
        </w:div>
      </w:divsChild>
    </w:div>
    <w:div w:id="682514089">
      <w:marLeft w:val="0"/>
      <w:marRight w:val="0"/>
      <w:marTop w:val="0"/>
      <w:marBottom w:val="0"/>
      <w:divBdr>
        <w:top w:val="none" w:sz="0" w:space="0" w:color="auto"/>
        <w:left w:val="none" w:sz="0" w:space="0" w:color="auto"/>
        <w:bottom w:val="none" w:sz="0" w:space="0" w:color="auto"/>
        <w:right w:val="none" w:sz="0" w:space="0" w:color="auto"/>
      </w:divBdr>
    </w:div>
    <w:div w:id="683166043">
      <w:marLeft w:val="0"/>
      <w:marRight w:val="0"/>
      <w:marTop w:val="120"/>
      <w:marBottom w:val="120"/>
      <w:divBdr>
        <w:top w:val="none" w:sz="0" w:space="0" w:color="auto"/>
        <w:left w:val="none" w:sz="0" w:space="0" w:color="auto"/>
        <w:bottom w:val="none" w:sz="0" w:space="0" w:color="auto"/>
        <w:right w:val="none" w:sz="0" w:space="0" w:color="auto"/>
      </w:divBdr>
    </w:div>
    <w:div w:id="683361554">
      <w:marLeft w:val="0"/>
      <w:marRight w:val="0"/>
      <w:marTop w:val="120"/>
      <w:marBottom w:val="240"/>
      <w:divBdr>
        <w:top w:val="none" w:sz="0" w:space="0" w:color="auto"/>
        <w:left w:val="none" w:sz="0" w:space="0" w:color="auto"/>
        <w:bottom w:val="none" w:sz="0" w:space="0" w:color="auto"/>
        <w:right w:val="none" w:sz="0" w:space="0" w:color="auto"/>
      </w:divBdr>
    </w:div>
    <w:div w:id="683362919">
      <w:marLeft w:val="0"/>
      <w:marRight w:val="0"/>
      <w:marTop w:val="0"/>
      <w:marBottom w:val="180"/>
      <w:divBdr>
        <w:top w:val="none" w:sz="0" w:space="0" w:color="auto"/>
        <w:left w:val="none" w:sz="0" w:space="0" w:color="auto"/>
        <w:bottom w:val="none" w:sz="0" w:space="0" w:color="auto"/>
        <w:right w:val="none" w:sz="0" w:space="0" w:color="auto"/>
      </w:divBdr>
    </w:div>
    <w:div w:id="686253742">
      <w:marLeft w:val="0"/>
      <w:marRight w:val="0"/>
      <w:marTop w:val="0"/>
      <w:marBottom w:val="240"/>
      <w:divBdr>
        <w:top w:val="none" w:sz="0" w:space="0" w:color="auto"/>
        <w:left w:val="none" w:sz="0" w:space="0" w:color="auto"/>
        <w:bottom w:val="none" w:sz="0" w:space="0" w:color="auto"/>
        <w:right w:val="none" w:sz="0" w:space="0" w:color="auto"/>
      </w:divBdr>
    </w:div>
    <w:div w:id="689795338">
      <w:marLeft w:val="0"/>
      <w:marRight w:val="0"/>
      <w:marTop w:val="0"/>
      <w:marBottom w:val="180"/>
      <w:divBdr>
        <w:top w:val="none" w:sz="0" w:space="0" w:color="auto"/>
        <w:left w:val="none" w:sz="0" w:space="0" w:color="auto"/>
        <w:bottom w:val="none" w:sz="0" w:space="0" w:color="auto"/>
        <w:right w:val="none" w:sz="0" w:space="0" w:color="auto"/>
      </w:divBdr>
    </w:div>
    <w:div w:id="692614991">
      <w:marLeft w:val="0"/>
      <w:marRight w:val="0"/>
      <w:marTop w:val="0"/>
      <w:marBottom w:val="0"/>
      <w:divBdr>
        <w:top w:val="none" w:sz="0" w:space="0" w:color="auto"/>
        <w:left w:val="none" w:sz="0" w:space="0" w:color="auto"/>
        <w:bottom w:val="none" w:sz="0" w:space="0" w:color="auto"/>
        <w:right w:val="none" w:sz="0" w:space="0" w:color="auto"/>
      </w:divBdr>
    </w:div>
    <w:div w:id="693045035">
      <w:marLeft w:val="0"/>
      <w:marRight w:val="0"/>
      <w:marTop w:val="0"/>
      <w:marBottom w:val="180"/>
      <w:divBdr>
        <w:top w:val="none" w:sz="0" w:space="0" w:color="auto"/>
        <w:left w:val="none" w:sz="0" w:space="0" w:color="auto"/>
        <w:bottom w:val="none" w:sz="0" w:space="0" w:color="auto"/>
        <w:right w:val="none" w:sz="0" w:space="0" w:color="auto"/>
      </w:divBdr>
    </w:div>
    <w:div w:id="693506559">
      <w:marLeft w:val="0"/>
      <w:marRight w:val="0"/>
      <w:marTop w:val="0"/>
      <w:marBottom w:val="120"/>
      <w:divBdr>
        <w:top w:val="none" w:sz="0" w:space="0" w:color="auto"/>
        <w:left w:val="none" w:sz="0" w:space="0" w:color="auto"/>
        <w:bottom w:val="none" w:sz="0" w:space="0" w:color="auto"/>
        <w:right w:val="none" w:sz="0" w:space="0" w:color="auto"/>
      </w:divBdr>
    </w:div>
    <w:div w:id="693922665">
      <w:marLeft w:val="0"/>
      <w:marRight w:val="0"/>
      <w:marTop w:val="0"/>
      <w:marBottom w:val="0"/>
      <w:divBdr>
        <w:top w:val="none" w:sz="0" w:space="0" w:color="auto"/>
        <w:left w:val="none" w:sz="0" w:space="0" w:color="auto"/>
        <w:bottom w:val="none" w:sz="0" w:space="0" w:color="auto"/>
        <w:right w:val="none" w:sz="0" w:space="0" w:color="auto"/>
      </w:divBdr>
      <w:divsChild>
        <w:div w:id="130513813">
          <w:marLeft w:val="0"/>
          <w:marRight w:val="0"/>
          <w:marTop w:val="0"/>
          <w:marBottom w:val="0"/>
          <w:divBdr>
            <w:top w:val="none" w:sz="0" w:space="0" w:color="auto"/>
            <w:left w:val="none" w:sz="0" w:space="0" w:color="auto"/>
            <w:bottom w:val="none" w:sz="0" w:space="0" w:color="auto"/>
            <w:right w:val="none" w:sz="0" w:space="0" w:color="auto"/>
          </w:divBdr>
        </w:div>
      </w:divsChild>
    </w:div>
    <w:div w:id="694424334">
      <w:marLeft w:val="0"/>
      <w:marRight w:val="0"/>
      <w:marTop w:val="180"/>
      <w:marBottom w:val="180"/>
      <w:divBdr>
        <w:top w:val="none" w:sz="0" w:space="0" w:color="auto"/>
        <w:left w:val="none" w:sz="0" w:space="0" w:color="auto"/>
        <w:bottom w:val="none" w:sz="0" w:space="0" w:color="auto"/>
        <w:right w:val="none" w:sz="0" w:space="0" w:color="auto"/>
      </w:divBdr>
    </w:div>
    <w:div w:id="696738447">
      <w:marLeft w:val="0"/>
      <w:marRight w:val="0"/>
      <w:marTop w:val="120"/>
      <w:marBottom w:val="240"/>
      <w:divBdr>
        <w:top w:val="none" w:sz="0" w:space="0" w:color="auto"/>
        <w:left w:val="none" w:sz="0" w:space="0" w:color="auto"/>
        <w:bottom w:val="none" w:sz="0" w:space="0" w:color="auto"/>
        <w:right w:val="none" w:sz="0" w:space="0" w:color="auto"/>
      </w:divBdr>
    </w:div>
    <w:div w:id="698048040">
      <w:marLeft w:val="0"/>
      <w:marRight w:val="0"/>
      <w:marTop w:val="0"/>
      <w:marBottom w:val="0"/>
      <w:divBdr>
        <w:top w:val="none" w:sz="0" w:space="0" w:color="auto"/>
        <w:left w:val="none" w:sz="0" w:space="0" w:color="auto"/>
        <w:bottom w:val="none" w:sz="0" w:space="0" w:color="auto"/>
        <w:right w:val="none" w:sz="0" w:space="0" w:color="auto"/>
      </w:divBdr>
    </w:div>
    <w:div w:id="698049724">
      <w:marLeft w:val="0"/>
      <w:marRight w:val="0"/>
      <w:marTop w:val="120"/>
      <w:marBottom w:val="120"/>
      <w:divBdr>
        <w:top w:val="none" w:sz="0" w:space="0" w:color="auto"/>
        <w:left w:val="none" w:sz="0" w:space="0" w:color="auto"/>
        <w:bottom w:val="none" w:sz="0" w:space="0" w:color="auto"/>
        <w:right w:val="none" w:sz="0" w:space="0" w:color="auto"/>
      </w:divBdr>
    </w:div>
    <w:div w:id="698092500">
      <w:marLeft w:val="0"/>
      <w:marRight w:val="0"/>
      <w:marTop w:val="0"/>
      <w:marBottom w:val="0"/>
      <w:divBdr>
        <w:top w:val="none" w:sz="0" w:space="0" w:color="auto"/>
        <w:left w:val="none" w:sz="0" w:space="0" w:color="auto"/>
        <w:bottom w:val="none" w:sz="0" w:space="0" w:color="auto"/>
        <w:right w:val="none" w:sz="0" w:space="0" w:color="auto"/>
      </w:divBdr>
    </w:div>
    <w:div w:id="701638286">
      <w:marLeft w:val="0"/>
      <w:marRight w:val="0"/>
      <w:marTop w:val="120"/>
      <w:marBottom w:val="180"/>
      <w:divBdr>
        <w:top w:val="none" w:sz="0" w:space="0" w:color="auto"/>
        <w:left w:val="none" w:sz="0" w:space="0" w:color="auto"/>
        <w:bottom w:val="none" w:sz="0" w:space="0" w:color="auto"/>
        <w:right w:val="none" w:sz="0" w:space="0" w:color="auto"/>
      </w:divBdr>
    </w:div>
    <w:div w:id="701782645">
      <w:marLeft w:val="0"/>
      <w:marRight w:val="0"/>
      <w:marTop w:val="0"/>
      <w:marBottom w:val="0"/>
      <w:divBdr>
        <w:top w:val="none" w:sz="0" w:space="0" w:color="auto"/>
        <w:left w:val="none" w:sz="0" w:space="0" w:color="auto"/>
        <w:bottom w:val="none" w:sz="0" w:space="0" w:color="auto"/>
        <w:right w:val="none" w:sz="0" w:space="0" w:color="auto"/>
      </w:divBdr>
    </w:div>
    <w:div w:id="709577819">
      <w:marLeft w:val="0"/>
      <w:marRight w:val="0"/>
      <w:marTop w:val="180"/>
      <w:marBottom w:val="180"/>
      <w:divBdr>
        <w:top w:val="none" w:sz="0" w:space="0" w:color="auto"/>
        <w:left w:val="none" w:sz="0" w:space="0" w:color="auto"/>
        <w:bottom w:val="none" w:sz="0" w:space="0" w:color="auto"/>
        <w:right w:val="none" w:sz="0" w:space="0" w:color="auto"/>
      </w:divBdr>
    </w:div>
    <w:div w:id="710500472">
      <w:marLeft w:val="0"/>
      <w:marRight w:val="0"/>
      <w:marTop w:val="120"/>
      <w:marBottom w:val="120"/>
      <w:divBdr>
        <w:top w:val="none" w:sz="0" w:space="0" w:color="auto"/>
        <w:left w:val="none" w:sz="0" w:space="0" w:color="auto"/>
        <w:bottom w:val="none" w:sz="0" w:space="0" w:color="auto"/>
        <w:right w:val="none" w:sz="0" w:space="0" w:color="auto"/>
      </w:divBdr>
    </w:div>
    <w:div w:id="711924117">
      <w:marLeft w:val="0"/>
      <w:marRight w:val="0"/>
      <w:marTop w:val="240"/>
      <w:marBottom w:val="240"/>
      <w:divBdr>
        <w:top w:val="none" w:sz="0" w:space="0" w:color="auto"/>
        <w:left w:val="none" w:sz="0" w:space="0" w:color="auto"/>
        <w:bottom w:val="none" w:sz="0" w:space="0" w:color="auto"/>
        <w:right w:val="none" w:sz="0" w:space="0" w:color="auto"/>
      </w:divBdr>
    </w:div>
    <w:div w:id="712728796">
      <w:marLeft w:val="0"/>
      <w:marRight w:val="0"/>
      <w:marTop w:val="0"/>
      <w:marBottom w:val="0"/>
      <w:divBdr>
        <w:top w:val="none" w:sz="0" w:space="0" w:color="auto"/>
        <w:left w:val="none" w:sz="0" w:space="0" w:color="auto"/>
        <w:bottom w:val="none" w:sz="0" w:space="0" w:color="auto"/>
        <w:right w:val="none" w:sz="0" w:space="0" w:color="auto"/>
      </w:divBdr>
    </w:div>
    <w:div w:id="715736968">
      <w:marLeft w:val="0"/>
      <w:marRight w:val="0"/>
      <w:marTop w:val="0"/>
      <w:marBottom w:val="0"/>
      <w:divBdr>
        <w:top w:val="none" w:sz="0" w:space="0" w:color="auto"/>
        <w:left w:val="none" w:sz="0" w:space="0" w:color="auto"/>
        <w:bottom w:val="none" w:sz="0" w:space="0" w:color="auto"/>
        <w:right w:val="none" w:sz="0" w:space="0" w:color="auto"/>
      </w:divBdr>
    </w:div>
    <w:div w:id="718550202">
      <w:marLeft w:val="0"/>
      <w:marRight w:val="0"/>
      <w:marTop w:val="120"/>
      <w:marBottom w:val="120"/>
      <w:divBdr>
        <w:top w:val="none" w:sz="0" w:space="0" w:color="auto"/>
        <w:left w:val="none" w:sz="0" w:space="0" w:color="auto"/>
        <w:bottom w:val="none" w:sz="0" w:space="0" w:color="auto"/>
        <w:right w:val="none" w:sz="0" w:space="0" w:color="auto"/>
      </w:divBdr>
    </w:div>
    <w:div w:id="720136904">
      <w:marLeft w:val="0"/>
      <w:marRight w:val="0"/>
      <w:marTop w:val="0"/>
      <w:marBottom w:val="0"/>
      <w:divBdr>
        <w:top w:val="none" w:sz="0" w:space="0" w:color="auto"/>
        <w:left w:val="none" w:sz="0" w:space="0" w:color="auto"/>
        <w:bottom w:val="none" w:sz="0" w:space="0" w:color="auto"/>
        <w:right w:val="none" w:sz="0" w:space="0" w:color="auto"/>
      </w:divBdr>
      <w:divsChild>
        <w:div w:id="2070154615">
          <w:marLeft w:val="0"/>
          <w:marRight w:val="0"/>
          <w:marTop w:val="0"/>
          <w:marBottom w:val="0"/>
          <w:divBdr>
            <w:top w:val="none" w:sz="0" w:space="0" w:color="auto"/>
            <w:left w:val="none" w:sz="0" w:space="0" w:color="auto"/>
            <w:bottom w:val="none" w:sz="0" w:space="0" w:color="auto"/>
            <w:right w:val="none" w:sz="0" w:space="0" w:color="auto"/>
          </w:divBdr>
        </w:div>
      </w:divsChild>
    </w:div>
    <w:div w:id="720518325">
      <w:marLeft w:val="0"/>
      <w:marRight w:val="0"/>
      <w:marTop w:val="0"/>
      <w:marBottom w:val="0"/>
      <w:divBdr>
        <w:top w:val="none" w:sz="0" w:space="0" w:color="auto"/>
        <w:left w:val="none" w:sz="0" w:space="0" w:color="auto"/>
        <w:bottom w:val="none" w:sz="0" w:space="0" w:color="auto"/>
        <w:right w:val="none" w:sz="0" w:space="0" w:color="auto"/>
      </w:divBdr>
      <w:divsChild>
        <w:div w:id="1705213281">
          <w:marLeft w:val="0"/>
          <w:marRight w:val="0"/>
          <w:marTop w:val="0"/>
          <w:marBottom w:val="0"/>
          <w:divBdr>
            <w:top w:val="none" w:sz="0" w:space="0" w:color="auto"/>
            <w:left w:val="none" w:sz="0" w:space="0" w:color="auto"/>
            <w:bottom w:val="none" w:sz="0" w:space="0" w:color="auto"/>
            <w:right w:val="none" w:sz="0" w:space="0" w:color="auto"/>
          </w:divBdr>
        </w:div>
      </w:divsChild>
    </w:div>
    <w:div w:id="721902458">
      <w:marLeft w:val="0"/>
      <w:marRight w:val="0"/>
      <w:marTop w:val="0"/>
      <w:marBottom w:val="0"/>
      <w:divBdr>
        <w:top w:val="none" w:sz="0" w:space="0" w:color="auto"/>
        <w:left w:val="none" w:sz="0" w:space="0" w:color="auto"/>
        <w:bottom w:val="none" w:sz="0" w:space="0" w:color="auto"/>
        <w:right w:val="none" w:sz="0" w:space="0" w:color="auto"/>
      </w:divBdr>
    </w:div>
    <w:div w:id="721944610">
      <w:marLeft w:val="0"/>
      <w:marRight w:val="0"/>
      <w:marTop w:val="0"/>
      <w:marBottom w:val="180"/>
      <w:divBdr>
        <w:top w:val="none" w:sz="0" w:space="0" w:color="auto"/>
        <w:left w:val="none" w:sz="0" w:space="0" w:color="auto"/>
        <w:bottom w:val="none" w:sz="0" w:space="0" w:color="auto"/>
        <w:right w:val="none" w:sz="0" w:space="0" w:color="auto"/>
      </w:divBdr>
    </w:div>
    <w:div w:id="722870801">
      <w:marLeft w:val="0"/>
      <w:marRight w:val="0"/>
      <w:marTop w:val="0"/>
      <w:marBottom w:val="0"/>
      <w:divBdr>
        <w:top w:val="none" w:sz="0" w:space="0" w:color="auto"/>
        <w:left w:val="none" w:sz="0" w:space="0" w:color="auto"/>
        <w:bottom w:val="none" w:sz="0" w:space="0" w:color="auto"/>
        <w:right w:val="none" w:sz="0" w:space="0" w:color="auto"/>
      </w:divBdr>
      <w:divsChild>
        <w:div w:id="106391857">
          <w:marLeft w:val="0"/>
          <w:marRight w:val="0"/>
          <w:marTop w:val="0"/>
          <w:marBottom w:val="0"/>
          <w:divBdr>
            <w:top w:val="none" w:sz="0" w:space="0" w:color="auto"/>
            <w:left w:val="none" w:sz="0" w:space="0" w:color="auto"/>
            <w:bottom w:val="none" w:sz="0" w:space="0" w:color="auto"/>
            <w:right w:val="none" w:sz="0" w:space="0" w:color="auto"/>
          </w:divBdr>
        </w:div>
      </w:divsChild>
    </w:div>
    <w:div w:id="723025859">
      <w:marLeft w:val="0"/>
      <w:marRight w:val="0"/>
      <w:marTop w:val="100"/>
      <w:marBottom w:val="100"/>
      <w:divBdr>
        <w:top w:val="none" w:sz="0" w:space="0" w:color="auto"/>
        <w:left w:val="none" w:sz="0" w:space="0" w:color="auto"/>
        <w:bottom w:val="none" w:sz="0" w:space="0" w:color="auto"/>
        <w:right w:val="none" w:sz="0" w:space="0" w:color="auto"/>
      </w:divBdr>
    </w:div>
    <w:div w:id="723871895">
      <w:marLeft w:val="0"/>
      <w:marRight w:val="0"/>
      <w:marTop w:val="0"/>
      <w:marBottom w:val="240"/>
      <w:divBdr>
        <w:top w:val="none" w:sz="0" w:space="0" w:color="auto"/>
        <w:left w:val="none" w:sz="0" w:space="0" w:color="auto"/>
        <w:bottom w:val="none" w:sz="0" w:space="0" w:color="auto"/>
        <w:right w:val="none" w:sz="0" w:space="0" w:color="auto"/>
      </w:divBdr>
    </w:div>
    <w:div w:id="724332149">
      <w:marLeft w:val="0"/>
      <w:marRight w:val="0"/>
      <w:marTop w:val="0"/>
      <w:marBottom w:val="0"/>
      <w:divBdr>
        <w:top w:val="none" w:sz="0" w:space="0" w:color="auto"/>
        <w:left w:val="none" w:sz="0" w:space="0" w:color="auto"/>
        <w:bottom w:val="none" w:sz="0" w:space="0" w:color="auto"/>
        <w:right w:val="none" w:sz="0" w:space="0" w:color="auto"/>
      </w:divBdr>
    </w:div>
    <w:div w:id="727337404">
      <w:marLeft w:val="0"/>
      <w:marRight w:val="0"/>
      <w:marTop w:val="0"/>
      <w:marBottom w:val="180"/>
      <w:divBdr>
        <w:top w:val="none" w:sz="0" w:space="0" w:color="auto"/>
        <w:left w:val="none" w:sz="0" w:space="0" w:color="auto"/>
        <w:bottom w:val="none" w:sz="0" w:space="0" w:color="auto"/>
        <w:right w:val="none" w:sz="0" w:space="0" w:color="auto"/>
      </w:divBdr>
    </w:div>
    <w:div w:id="727384755">
      <w:marLeft w:val="0"/>
      <w:marRight w:val="0"/>
      <w:marTop w:val="0"/>
      <w:marBottom w:val="0"/>
      <w:divBdr>
        <w:top w:val="none" w:sz="0" w:space="0" w:color="auto"/>
        <w:left w:val="none" w:sz="0" w:space="0" w:color="auto"/>
        <w:bottom w:val="none" w:sz="0" w:space="0" w:color="auto"/>
        <w:right w:val="none" w:sz="0" w:space="0" w:color="auto"/>
      </w:divBdr>
      <w:divsChild>
        <w:div w:id="631980551">
          <w:marLeft w:val="0"/>
          <w:marRight w:val="0"/>
          <w:marTop w:val="0"/>
          <w:marBottom w:val="0"/>
          <w:divBdr>
            <w:top w:val="none" w:sz="0" w:space="0" w:color="auto"/>
            <w:left w:val="none" w:sz="0" w:space="0" w:color="auto"/>
            <w:bottom w:val="none" w:sz="0" w:space="0" w:color="auto"/>
            <w:right w:val="none" w:sz="0" w:space="0" w:color="auto"/>
          </w:divBdr>
        </w:div>
      </w:divsChild>
    </w:div>
    <w:div w:id="727994759">
      <w:marLeft w:val="0"/>
      <w:marRight w:val="0"/>
      <w:marTop w:val="0"/>
      <w:marBottom w:val="240"/>
      <w:divBdr>
        <w:top w:val="none" w:sz="0" w:space="0" w:color="auto"/>
        <w:left w:val="none" w:sz="0" w:space="0" w:color="auto"/>
        <w:bottom w:val="none" w:sz="0" w:space="0" w:color="auto"/>
        <w:right w:val="none" w:sz="0" w:space="0" w:color="auto"/>
      </w:divBdr>
    </w:div>
    <w:div w:id="728571523">
      <w:marLeft w:val="0"/>
      <w:marRight w:val="0"/>
      <w:marTop w:val="0"/>
      <w:marBottom w:val="240"/>
      <w:divBdr>
        <w:top w:val="none" w:sz="0" w:space="0" w:color="auto"/>
        <w:left w:val="none" w:sz="0" w:space="0" w:color="auto"/>
        <w:bottom w:val="none" w:sz="0" w:space="0" w:color="auto"/>
        <w:right w:val="none" w:sz="0" w:space="0" w:color="auto"/>
      </w:divBdr>
    </w:div>
    <w:div w:id="728915220">
      <w:marLeft w:val="0"/>
      <w:marRight w:val="0"/>
      <w:marTop w:val="0"/>
      <w:marBottom w:val="0"/>
      <w:divBdr>
        <w:top w:val="none" w:sz="0" w:space="0" w:color="auto"/>
        <w:left w:val="none" w:sz="0" w:space="0" w:color="auto"/>
        <w:bottom w:val="none" w:sz="0" w:space="0" w:color="auto"/>
        <w:right w:val="none" w:sz="0" w:space="0" w:color="auto"/>
      </w:divBdr>
      <w:divsChild>
        <w:div w:id="1249117536">
          <w:marLeft w:val="0"/>
          <w:marRight w:val="0"/>
          <w:marTop w:val="0"/>
          <w:marBottom w:val="0"/>
          <w:divBdr>
            <w:top w:val="none" w:sz="0" w:space="0" w:color="auto"/>
            <w:left w:val="none" w:sz="0" w:space="0" w:color="auto"/>
            <w:bottom w:val="none" w:sz="0" w:space="0" w:color="auto"/>
            <w:right w:val="none" w:sz="0" w:space="0" w:color="auto"/>
          </w:divBdr>
        </w:div>
      </w:divsChild>
    </w:div>
    <w:div w:id="730735046">
      <w:marLeft w:val="0"/>
      <w:marRight w:val="0"/>
      <w:marTop w:val="120"/>
      <w:marBottom w:val="180"/>
      <w:divBdr>
        <w:top w:val="none" w:sz="0" w:space="0" w:color="auto"/>
        <w:left w:val="none" w:sz="0" w:space="0" w:color="auto"/>
        <w:bottom w:val="none" w:sz="0" w:space="0" w:color="auto"/>
        <w:right w:val="none" w:sz="0" w:space="0" w:color="auto"/>
      </w:divBdr>
    </w:div>
    <w:div w:id="733159755">
      <w:marLeft w:val="0"/>
      <w:marRight w:val="0"/>
      <w:marTop w:val="0"/>
      <w:marBottom w:val="0"/>
      <w:divBdr>
        <w:top w:val="none" w:sz="0" w:space="0" w:color="auto"/>
        <w:left w:val="none" w:sz="0" w:space="0" w:color="auto"/>
        <w:bottom w:val="none" w:sz="0" w:space="0" w:color="auto"/>
        <w:right w:val="none" w:sz="0" w:space="0" w:color="auto"/>
      </w:divBdr>
      <w:divsChild>
        <w:div w:id="2137063789">
          <w:marLeft w:val="0"/>
          <w:marRight w:val="0"/>
          <w:marTop w:val="0"/>
          <w:marBottom w:val="0"/>
          <w:divBdr>
            <w:top w:val="none" w:sz="0" w:space="0" w:color="auto"/>
            <w:left w:val="none" w:sz="0" w:space="0" w:color="auto"/>
            <w:bottom w:val="none" w:sz="0" w:space="0" w:color="auto"/>
            <w:right w:val="none" w:sz="0" w:space="0" w:color="auto"/>
          </w:divBdr>
        </w:div>
      </w:divsChild>
    </w:div>
    <w:div w:id="734086156">
      <w:marLeft w:val="0"/>
      <w:marRight w:val="0"/>
      <w:marTop w:val="0"/>
      <w:marBottom w:val="0"/>
      <w:divBdr>
        <w:top w:val="none" w:sz="0" w:space="0" w:color="auto"/>
        <w:left w:val="none" w:sz="0" w:space="0" w:color="auto"/>
        <w:bottom w:val="none" w:sz="0" w:space="0" w:color="auto"/>
        <w:right w:val="none" w:sz="0" w:space="0" w:color="auto"/>
      </w:divBdr>
    </w:div>
    <w:div w:id="735130874">
      <w:marLeft w:val="0"/>
      <w:marRight w:val="0"/>
      <w:marTop w:val="0"/>
      <w:marBottom w:val="0"/>
      <w:divBdr>
        <w:top w:val="none" w:sz="0" w:space="0" w:color="auto"/>
        <w:left w:val="none" w:sz="0" w:space="0" w:color="auto"/>
        <w:bottom w:val="none" w:sz="0" w:space="0" w:color="auto"/>
        <w:right w:val="none" w:sz="0" w:space="0" w:color="auto"/>
      </w:divBdr>
    </w:div>
    <w:div w:id="738095119">
      <w:marLeft w:val="0"/>
      <w:marRight w:val="0"/>
      <w:marTop w:val="0"/>
      <w:marBottom w:val="240"/>
      <w:divBdr>
        <w:top w:val="none" w:sz="0" w:space="0" w:color="auto"/>
        <w:left w:val="none" w:sz="0" w:space="0" w:color="auto"/>
        <w:bottom w:val="none" w:sz="0" w:space="0" w:color="auto"/>
        <w:right w:val="none" w:sz="0" w:space="0" w:color="auto"/>
      </w:divBdr>
    </w:div>
    <w:div w:id="738331999">
      <w:marLeft w:val="0"/>
      <w:marRight w:val="0"/>
      <w:marTop w:val="0"/>
      <w:marBottom w:val="180"/>
      <w:divBdr>
        <w:top w:val="none" w:sz="0" w:space="0" w:color="auto"/>
        <w:left w:val="none" w:sz="0" w:space="0" w:color="auto"/>
        <w:bottom w:val="none" w:sz="0" w:space="0" w:color="auto"/>
        <w:right w:val="none" w:sz="0" w:space="0" w:color="auto"/>
      </w:divBdr>
    </w:div>
    <w:div w:id="741802739">
      <w:marLeft w:val="0"/>
      <w:marRight w:val="0"/>
      <w:marTop w:val="0"/>
      <w:marBottom w:val="0"/>
      <w:divBdr>
        <w:top w:val="none" w:sz="0" w:space="0" w:color="auto"/>
        <w:left w:val="none" w:sz="0" w:space="0" w:color="auto"/>
        <w:bottom w:val="none" w:sz="0" w:space="0" w:color="auto"/>
        <w:right w:val="none" w:sz="0" w:space="0" w:color="auto"/>
      </w:divBdr>
    </w:div>
    <w:div w:id="743987568">
      <w:marLeft w:val="0"/>
      <w:marRight w:val="0"/>
      <w:marTop w:val="0"/>
      <w:marBottom w:val="240"/>
      <w:divBdr>
        <w:top w:val="none" w:sz="0" w:space="0" w:color="auto"/>
        <w:left w:val="none" w:sz="0" w:space="0" w:color="auto"/>
        <w:bottom w:val="none" w:sz="0" w:space="0" w:color="auto"/>
        <w:right w:val="none" w:sz="0" w:space="0" w:color="auto"/>
      </w:divBdr>
    </w:div>
    <w:div w:id="746154002">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100"/>
      <w:marBottom w:val="100"/>
      <w:divBdr>
        <w:top w:val="none" w:sz="0" w:space="0" w:color="auto"/>
        <w:left w:val="none" w:sz="0" w:space="0" w:color="auto"/>
        <w:bottom w:val="none" w:sz="0" w:space="0" w:color="auto"/>
        <w:right w:val="none" w:sz="0" w:space="0" w:color="auto"/>
      </w:divBdr>
    </w:div>
    <w:div w:id="749499655">
      <w:marLeft w:val="0"/>
      <w:marRight w:val="0"/>
      <w:marTop w:val="0"/>
      <w:marBottom w:val="180"/>
      <w:divBdr>
        <w:top w:val="none" w:sz="0" w:space="0" w:color="auto"/>
        <w:left w:val="none" w:sz="0" w:space="0" w:color="auto"/>
        <w:bottom w:val="none" w:sz="0" w:space="0" w:color="auto"/>
        <w:right w:val="none" w:sz="0" w:space="0" w:color="auto"/>
      </w:divBdr>
    </w:div>
    <w:div w:id="750155930">
      <w:marLeft w:val="0"/>
      <w:marRight w:val="0"/>
      <w:marTop w:val="0"/>
      <w:marBottom w:val="240"/>
      <w:divBdr>
        <w:top w:val="none" w:sz="0" w:space="0" w:color="auto"/>
        <w:left w:val="none" w:sz="0" w:space="0" w:color="auto"/>
        <w:bottom w:val="none" w:sz="0" w:space="0" w:color="auto"/>
        <w:right w:val="none" w:sz="0" w:space="0" w:color="auto"/>
      </w:divBdr>
    </w:div>
    <w:div w:id="750395829">
      <w:marLeft w:val="0"/>
      <w:marRight w:val="0"/>
      <w:marTop w:val="120"/>
      <w:marBottom w:val="120"/>
      <w:divBdr>
        <w:top w:val="none" w:sz="0" w:space="0" w:color="auto"/>
        <w:left w:val="none" w:sz="0" w:space="0" w:color="auto"/>
        <w:bottom w:val="none" w:sz="0" w:space="0" w:color="auto"/>
        <w:right w:val="none" w:sz="0" w:space="0" w:color="auto"/>
      </w:divBdr>
    </w:div>
    <w:div w:id="750657688">
      <w:marLeft w:val="0"/>
      <w:marRight w:val="0"/>
      <w:marTop w:val="100"/>
      <w:marBottom w:val="100"/>
      <w:divBdr>
        <w:top w:val="none" w:sz="0" w:space="0" w:color="auto"/>
        <w:left w:val="none" w:sz="0" w:space="0" w:color="auto"/>
        <w:bottom w:val="none" w:sz="0" w:space="0" w:color="auto"/>
        <w:right w:val="none" w:sz="0" w:space="0" w:color="auto"/>
      </w:divBdr>
      <w:divsChild>
        <w:div w:id="1085691477">
          <w:marLeft w:val="0"/>
          <w:marRight w:val="0"/>
          <w:marTop w:val="0"/>
          <w:marBottom w:val="0"/>
          <w:divBdr>
            <w:top w:val="none" w:sz="0" w:space="0" w:color="auto"/>
            <w:left w:val="none" w:sz="0" w:space="0" w:color="auto"/>
            <w:bottom w:val="none" w:sz="0" w:space="0" w:color="auto"/>
            <w:right w:val="none" w:sz="0" w:space="0" w:color="auto"/>
          </w:divBdr>
        </w:div>
        <w:div w:id="482939274">
          <w:marLeft w:val="0"/>
          <w:marRight w:val="0"/>
          <w:marTop w:val="0"/>
          <w:marBottom w:val="0"/>
          <w:divBdr>
            <w:top w:val="none" w:sz="0" w:space="0" w:color="auto"/>
            <w:left w:val="none" w:sz="0" w:space="0" w:color="auto"/>
            <w:bottom w:val="none" w:sz="0" w:space="0" w:color="auto"/>
            <w:right w:val="none" w:sz="0" w:space="0" w:color="auto"/>
          </w:divBdr>
        </w:div>
        <w:div w:id="1522861625">
          <w:marLeft w:val="0"/>
          <w:marRight w:val="0"/>
          <w:marTop w:val="0"/>
          <w:marBottom w:val="0"/>
          <w:divBdr>
            <w:top w:val="none" w:sz="0" w:space="0" w:color="auto"/>
            <w:left w:val="none" w:sz="0" w:space="0" w:color="auto"/>
            <w:bottom w:val="none" w:sz="0" w:space="0" w:color="auto"/>
            <w:right w:val="none" w:sz="0" w:space="0" w:color="auto"/>
          </w:divBdr>
        </w:div>
        <w:div w:id="1293363573">
          <w:marLeft w:val="0"/>
          <w:marRight w:val="0"/>
          <w:marTop w:val="0"/>
          <w:marBottom w:val="0"/>
          <w:divBdr>
            <w:top w:val="none" w:sz="0" w:space="0" w:color="auto"/>
            <w:left w:val="none" w:sz="0" w:space="0" w:color="auto"/>
            <w:bottom w:val="none" w:sz="0" w:space="0" w:color="auto"/>
            <w:right w:val="none" w:sz="0" w:space="0" w:color="auto"/>
          </w:divBdr>
        </w:div>
        <w:div w:id="2007711419">
          <w:marLeft w:val="0"/>
          <w:marRight w:val="0"/>
          <w:marTop w:val="0"/>
          <w:marBottom w:val="0"/>
          <w:divBdr>
            <w:top w:val="none" w:sz="0" w:space="0" w:color="auto"/>
            <w:left w:val="none" w:sz="0" w:space="0" w:color="auto"/>
            <w:bottom w:val="none" w:sz="0" w:space="0" w:color="auto"/>
            <w:right w:val="none" w:sz="0" w:space="0" w:color="auto"/>
          </w:divBdr>
        </w:div>
        <w:div w:id="542139701">
          <w:marLeft w:val="0"/>
          <w:marRight w:val="0"/>
          <w:marTop w:val="0"/>
          <w:marBottom w:val="0"/>
          <w:divBdr>
            <w:top w:val="none" w:sz="0" w:space="0" w:color="auto"/>
            <w:left w:val="none" w:sz="0" w:space="0" w:color="auto"/>
            <w:bottom w:val="none" w:sz="0" w:space="0" w:color="auto"/>
            <w:right w:val="none" w:sz="0" w:space="0" w:color="auto"/>
          </w:divBdr>
        </w:div>
        <w:div w:id="1082601743">
          <w:marLeft w:val="0"/>
          <w:marRight w:val="0"/>
          <w:marTop w:val="0"/>
          <w:marBottom w:val="0"/>
          <w:divBdr>
            <w:top w:val="none" w:sz="0" w:space="0" w:color="auto"/>
            <w:left w:val="none" w:sz="0" w:space="0" w:color="auto"/>
            <w:bottom w:val="none" w:sz="0" w:space="0" w:color="auto"/>
            <w:right w:val="none" w:sz="0" w:space="0" w:color="auto"/>
          </w:divBdr>
        </w:div>
        <w:div w:id="471943794">
          <w:marLeft w:val="0"/>
          <w:marRight w:val="0"/>
          <w:marTop w:val="0"/>
          <w:marBottom w:val="0"/>
          <w:divBdr>
            <w:top w:val="none" w:sz="0" w:space="0" w:color="auto"/>
            <w:left w:val="none" w:sz="0" w:space="0" w:color="auto"/>
            <w:bottom w:val="none" w:sz="0" w:space="0" w:color="auto"/>
            <w:right w:val="none" w:sz="0" w:space="0" w:color="auto"/>
          </w:divBdr>
        </w:div>
        <w:div w:id="439839690">
          <w:marLeft w:val="0"/>
          <w:marRight w:val="0"/>
          <w:marTop w:val="0"/>
          <w:marBottom w:val="0"/>
          <w:divBdr>
            <w:top w:val="none" w:sz="0" w:space="0" w:color="auto"/>
            <w:left w:val="none" w:sz="0" w:space="0" w:color="auto"/>
            <w:bottom w:val="none" w:sz="0" w:space="0" w:color="auto"/>
            <w:right w:val="none" w:sz="0" w:space="0" w:color="auto"/>
          </w:divBdr>
        </w:div>
        <w:div w:id="1395198364">
          <w:marLeft w:val="0"/>
          <w:marRight w:val="0"/>
          <w:marTop w:val="0"/>
          <w:marBottom w:val="0"/>
          <w:divBdr>
            <w:top w:val="none" w:sz="0" w:space="0" w:color="auto"/>
            <w:left w:val="none" w:sz="0" w:space="0" w:color="auto"/>
            <w:bottom w:val="none" w:sz="0" w:space="0" w:color="auto"/>
            <w:right w:val="none" w:sz="0" w:space="0" w:color="auto"/>
          </w:divBdr>
        </w:div>
        <w:div w:id="620763786">
          <w:marLeft w:val="0"/>
          <w:marRight w:val="0"/>
          <w:marTop w:val="0"/>
          <w:marBottom w:val="0"/>
          <w:divBdr>
            <w:top w:val="none" w:sz="0" w:space="0" w:color="auto"/>
            <w:left w:val="none" w:sz="0" w:space="0" w:color="auto"/>
            <w:bottom w:val="none" w:sz="0" w:space="0" w:color="auto"/>
            <w:right w:val="none" w:sz="0" w:space="0" w:color="auto"/>
          </w:divBdr>
        </w:div>
        <w:div w:id="976684414">
          <w:marLeft w:val="0"/>
          <w:marRight w:val="0"/>
          <w:marTop w:val="0"/>
          <w:marBottom w:val="0"/>
          <w:divBdr>
            <w:top w:val="none" w:sz="0" w:space="0" w:color="auto"/>
            <w:left w:val="none" w:sz="0" w:space="0" w:color="auto"/>
            <w:bottom w:val="none" w:sz="0" w:space="0" w:color="auto"/>
            <w:right w:val="none" w:sz="0" w:space="0" w:color="auto"/>
          </w:divBdr>
        </w:div>
        <w:div w:id="1205370280">
          <w:marLeft w:val="0"/>
          <w:marRight w:val="0"/>
          <w:marTop w:val="0"/>
          <w:marBottom w:val="0"/>
          <w:divBdr>
            <w:top w:val="none" w:sz="0" w:space="0" w:color="auto"/>
            <w:left w:val="none" w:sz="0" w:space="0" w:color="auto"/>
            <w:bottom w:val="none" w:sz="0" w:space="0" w:color="auto"/>
            <w:right w:val="none" w:sz="0" w:space="0" w:color="auto"/>
          </w:divBdr>
        </w:div>
        <w:div w:id="1252013002">
          <w:marLeft w:val="0"/>
          <w:marRight w:val="0"/>
          <w:marTop w:val="0"/>
          <w:marBottom w:val="0"/>
          <w:divBdr>
            <w:top w:val="none" w:sz="0" w:space="0" w:color="auto"/>
            <w:left w:val="none" w:sz="0" w:space="0" w:color="auto"/>
            <w:bottom w:val="none" w:sz="0" w:space="0" w:color="auto"/>
            <w:right w:val="none" w:sz="0" w:space="0" w:color="auto"/>
          </w:divBdr>
        </w:div>
        <w:div w:id="1399015370">
          <w:marLeft w:val="0"/>
          <w:marRight w:val="0"/>
          <w:marTop w:val="0"/>
          <w:marBottom w:val="0"/>
          <w:divBdr>
            <w:top w:val="none" w:sz="0" w:space="0" w:color="auto"/>
            <w:left w:val="none" w:sz="0" w:space="0" w:color="auto"/>
            <w:bottom w:val="none" w:sz="0" w:space="0" w:color="auto"/>
            <w:right w:val="none" w:sz="0" w:space="0" w:color="auto"/>
          </w:divBdr>
        </w:div>
        <w:div w:id="662047913">
          <w:marLeft w:val="0"/>
          <w:marRight w:val="0"/>
          <w:marTop w:val="0"/>
          <w:marBottom w:val="0"/>
          <w:divBdr>
            <w:top w:val="none" w:sz="0" w:space="0" w:color="auto"/>
            <w:left w:val="none" w:sz="0" w:space="0" w:color="auto"/>
            <w:bottom w:val="none" w:sz="0" w:space="0" w:color="auto"/>
            <w:right w:val="none" w:sz="0" w:space="0" w:color="auto"/>
          </w:divBdr>
        </w:div>
        <w:div w:id="770781216">
          <w:marLeft w:val="0"/>
          <w:marRight w:val="0"/>
          <w:marTop w:val="0"/>
          <w:marBottom w:val="0"/>
          <w:divBdr>
            <w:top w:val="none" w:sz="0" w:space="0" w:color="auto"/>
            <w:left w:val="none" w:sz="0" w:space="0" w:color="auto"/>
            <w:bottom w:val="none" w:sz="0" w:space="0" w:color="auto"/>
            <w:right w:val="none" w:sz="0" w:space="0" w:color="auto"/>
          </w:divBdr>
        </w:div>
        <w:div w:id="1423526635">
          <w:marLeft w:val="0"/>
          <w:marRight w:val="0"/>
          <w:marTop w:val="0"/>
          <w:marBottom w:val="0"/>
          <w:divBdr>
            <w:top w:val="none" w:sz="0" w:space="0" w:color="auto"/>
            <w:left w:val="none" w:sz="0" w:space="0" w:color="auto"/>
            <w:bottom w:val="none" w:sz="0" w:space="0" w:color="auto"/>
            <w:right w:val="none" w:sz="0" w:space="0" w:color="auto"/>
          </w:divBdr>
        </w:div>
        <w:div w:id="1199584879">
          <w:marLeft w:val="0"/>
          <w:marRight w:val="0"/>
          <w:marTop w:val="0"/>
          <w:marBottom w:val="0"/>
          <w:divBdr>
            <w:top w:val="none" w:sz="0" w:space="0" w:color="auto"/>
            <w:left w:val="none" w:sz="0" w:space="0" w:color="auto"/>
            <w:bottom w:val="none" w:sz="0" w:space="0" w:color="auto"/>
            <w:right w:val="none" w:sz="0" w:space="0" w:color="auto"/>
          </w:divBdr>
        </w:div>
        <w:div w:id="1502310685">
          <w:marLeft w:val="0"/>
          <w:marRight w:val="0"/>
          <w:marTop w:val="0"/>
          <w:marBottom w:val="0"/>
          <w:divBdr>
            <w:top w:val="none" w:sz="0" w:space="0" w:color="auto"/>
            <w:left w:val="none" w:sz="0" w:space="0" w:color="auto"/>
            <w:bottom w:val="none" w:sz="0" w:space="0" w:color="auto"/>
            <w:right w:val="none" w:sz="0" w:space="0" w:color="auto"/>
          </w:divBdr>
        </w:div>
        <w:div w:id="315259465">
          <w:marLeft w:val="0"/>
          <w:marRight w:val="0"/>
          <w:marTop w:val="0"/>
          <w:marBottom w:val="0"/>
          <w:divBdr>
            <w:top w:val="none" w:sz="0" w:space="0" w:color="auto"/>
            <w:left w:val="none" w:sz="0" w:space="0" w:color="auto"/>
            <w:bottom w:val="none" w:sz="0" w:space="0" w:color="auto"/>
            <w:right w:val="none" w:sz="0" w:space="0" w:color="auto"/>
          </w:divBdr>
        </w:div>
        <w:div w:id="2140613469">
          <w:marLeft w:val="0"/>
          <w:marRight w:val="0"/>
          <w:marTop w:val="0"/>
          <w:marBottom w:val="0"/>
          <w:divBdr>
            <w:top w:val="none" w:sz="0" w:space="0" w:color="auto"/>
            <w:left w:val="none" w:sz="0" w:space="0" w:color="auto"/>
            <w:bottom w:val="none" w:sz="0" w:space="0" w:color="auto"/>
            <w:right w:val="none" w:sz="0" w:space="0" w:color="auto"/>
          </w:divBdr>
        </w:div>
        <w:div w:id="769666239">
          <w:marLeft w:val="0"/>
          <w:marRight w:val="0"/>
          <w:marTop w:val="0"/>
          <w:marBottom w:val="0"/>
          <w:divBdr>
            <w:top w:val="none" w:sz="0" w:space="0" w:color="auto"/>
            <w:left w:val="none" w:sz="0" w:space="0" w:color="auto"/>
            <w:bottom w:val="none" w:sz="0" w:space="0" w:color="auto"/>
            <w:right w:val="none" w:sz="0" w:space="0" w:color="auto"/>
          </w:divBdr>
        </w:div>
        <w:div w:id="1019237995">
          <w:marLeft w:val="0"/>
          <w:marRight w:val="0"/>
          <w:marTop w:val="0"/>
          <w:marBottom w:val="0"/>
          <w:divBdr>
            <w:top w:val="none" w:sz="0" w:space="0" w:color="auto"/>
            <w:left w:val="none" w:sz="0" w:space="0" w:color="auto"/>
            <w:bottom w:val="none" w:sz="0" w:space="0" w:color="auto"/>
            <w:right w:val="none" w:sz="0" w:space="0" w:color="auto"/>
          </w:divBdr>
        </w:div>
        <w:div w:id="1824278110">
          <w:marLeft w:val="0"/>
          <w:marRight w:val="0"/>
          <w:marTop w:val="0"/>
          <w:marBottom w:val="0"/>
          <w:divBdr>
            <w:top w:val="none" w:sz="0" w:space="0" w:color="auto"/>
            <w:left w:val="none" w:sz="0" w:space="0" w:color="auto"/>
            <w:bottom w:val="none" w:sz="0" w:space="0" w:color="auto"/>
            <w:right w:val="none" w:sz="0" w:space="0" w:color="auto"/>
          </w:divBdr>
        </w:div>
        <w:div w:id="872574546">
          <w:marLeft w:val="0"/>
          <w:marRight w:val="0"/>
          <w:marTop w:val="0"/>
          <w:marBottom w:val="0"/>
          <w:divBdr>
            <w:top w:val="none" w:sz="0" w:space="0" w:color="auto"/>
            <w:left w:val="none" w:sz="0" w:space="0" w:color="auto"/>
            <w:bottom w:val="none" w:sz="0" w:space="0" w:color="auto"/>
            <w:right w:val="none" w:sz="0" w:space="0" w:color="auto"/>
          </w:divBdr>
        </w:div>
        <w:div w:id="1962683448">
          <w:marLeft w:val="0"/>
          <w:marRight w:val="0"/>
          <w:marTop w:val="0"/>
          <w:marBottom w:val="0"/>
          <w:divBdr>
            <w:top w:val="none" w:sz="0" w:space="0" w:color="auto"/>
            <w:left w:val="none" w:sz="0" w:space="0" w:color="auto"/>
            <w:bottom w:val="none" w:sz="0" w:space="0" w:color="auto"/>
            <w:right w:val="none" w:sz="0" w:space="0" w:color="auto"/>
          </w:divBdr>
        </w:div>
        <w:div w:id="1686593600">
          <w:marLeft w:val="0"/>
          <w:marRight w:val="0"/>
          <w:marTop w:val="0"/>
          <w:marBottom w:val="0"/>
          <w:divBdr>
            <w:top w:val="none" w:sz="0" w:space="0" w:color="auto"/>
            <w:left w:val="none" w:sz="0" w:space="0" w:color="auto"/>
            <w:bottom w:val="none" w:sz="0" w:space="0" w:color="auto"/>
            <w:right w:val="none" w:sz="0" w:space="0" w:color="auto"/>
          </w:divBdr>
        </w:div>
        <w:div w:id="244538660">
          <w:marLeft w:val="0"/>
          <w:marRight w:val="0"/>
          <w:marTop w:val="0"/>
          <w:marBottom w:val="0"/>
          <w:divBdr>
            <w:top w:val="none" w:sz="0" w:space="0" w:color="auto"/>
            <w:left w:val="none" w:sz="0" w:space="0" w:color="auto"/>
            <w:bottom w:val="none" w:sz="0" w:space="0" w:color="auto"/>
            <w:right w:val="none" w:sz="0" w:space="0" w:color="auto"/>
          </w:divBdr>
        </w:div>
        <w:div w:id="1266617278">
          <w:marLeft w:val="0"/>
          <w:marRight w:val="0"/>
          <w:marTop w:val="0"/>
          <w:marBottom w:val="0"/>
          <w:divBdr>
            <w:top w:val="none" w:sz="0" w:space="0" w:color="auto"/>
            <w:left w:val="none" w:sz="0" w:space="0" w:color="auto"/>
            <w:bottom w:val="none" w:sz="0" w:space="0" w:color="auto"/>
            <w:right w:val="none" w:sz="0" w:space="0" w:color="auto"/>
          </w:divBdr>
        </w:div>
        <w:div w:id="345862360">
          <w:marLeft w:val="0"/>
          <w:marRight w:val="0"/>
          <w:marTop w:val="0"/>
          <w:marBottom w:val="0"/>
          <w:divBdr>
            <w:top w:val="none" w:sz="0" w:space="0" w:color="auto"/>
            <w:left w:val="none" w:sz="0" w:space="0" w:color="auto"/>
            <w:bottom w:val="none" w:sz="0" w:space="0" w:color="auto"/>
            <w:right w:val="none" w:sz="0" w:space="0" w:color="auto"/>
          </w:divBdr>
        </w:div>
        <w:div w:id="752357444">
          <w:marLeft w:val="0"/>
          <w:marRight w:val="0"/>
          <w:marTop w:val="0"/>
          <w:marBottom w:val="0"/>
          <w:divBdr>
            <w:top w:val="none" w:sz="0" w:space="0" w:color="auto"/>
            <w:left w:val="none" w:sz="0" w:space="0" w:color="auto"/>
            <w:bottom w:val="none" w:sz="0" w:space="0" w:color="auto"/>
            <w:right w:val="none" w:sz="0" w:space="0" w:color="auto"/>
          </w:divBdr>
        </w:div>
        <w:div w:id="39550091">
          <w:marLeft w:val="0"/>
          <w:marRight w:val="0"/>
          <w:marTop w:val="0"/>
          <w:marBottom w:val="0"/>
          <w:divBdr>
            <w:top w:val="none" w:sz="0" w:space="0" w:color="auto"/>
            <w:left w:val="none" w:sz="0" w:space="0" w:color="auto"/>
            <w:bottom w:val="none" w:sz="0" w:space="0" w:color="auto"/>
            <w:right w:val="none" w:sz="0" w:space="0" w:color="auto"/>
          </w:divBdr>
        </w:div>
        <w:div w:id="382171657">
          <w:marLeft w:val="0"/>
          <w:marRight w:val="0"/>
          <w:marTop w:val="0"/>
          <w:marBottom w:val="0"/>
          <w:divBdr>
            <w:top w:val="none" w:sz="0" w:space="0" w:color="auto"/>
            <w:left w:val="none" w:sz="0" w:space="0" w:color="auto"/>
            <w:bottom w:val="none" w:sz="0" w:space="0" w:color="auto"/>
            <w:right w:val="none" w:sz="0" w:space="0" w:color="auto"/>
          </w:divBdr>
        </w:div>
        <w:div w:id="1664773397">
          <w:marLeft w:val="0"/>
          <w:marRight w:val="0"/>
          <w:marTop w:val="0"/>
          <w:marBottom w:val="0"/>
          <w:divBdr>
            <w:top w:val="none" w:sz="0" w:space="0" w:color="auto"/>
            <w:left w:val="none" w:sz="0" w:space="0" w:color="auto"/>
            <w:bottom w:val="none" w:sz="0" w:space="0" w:color="auto"/>
            <w:right w:val="none" w:sz="0" w:space="0" w:color="auto"/>
          </w:divBdr>
        </w:div>
        <w:div w:id="1655528955">
          <w:marLeft w:val="0"/>
          <w:marRight w:val="0"/>
          <w:marTop w:val="0"/>
          <w:marBottom w:val="0"/>
          <w:divBdr>
            <w:top w:val="none" w:sz="0" w:space="0" w:color="auto"/>
            <w:left w:val="none" w:sz="0" w:space="0" w:color="auto"/>
            <w:bottom w:val="none" w:sz="0" w:space="0" w:color="auto"/>
            <w:right w:val="none" w:sz="0" w:space="0" w:color="auto"/>
          </w:divBdr>
        </w:div>
        <w:div w:id="386298673">
          <w:marLeft w:val="0"/>
          <w:marRight w:val="0"/>
          <w:marTop w:val="0"/>
          <w:marBottom w:val="0"/>
          <w:divBdr>
            <w:top w:val="none" w:sz="0" w:space="0" w:color="auto"/>
            <w:left w:val="none" w:sz="0" w:space="0" w:color="auto"/>
            <w:bottom w:val="none" w:sz="0" w:space="0" w:color="auto"/>
            <w:right w:val="none" w:sz="0" w:space="0" w:color="auto"/>
          </w:divBdr>
        </w:div>
        <w:div w:id="1036781426">
          <w:marLeft w:val="0"/>
          <w:marRight w:val="0"/>
          <w:marTop w:val="0"/>
          <w:marBottom w:val="0"/>
          <w:divBdr>
            <w:top w:val="none" w:sz="0" w:space="0" w:color="auto"/>
            <w:left w:val="none" w:sz="0" w:space="0" w:color="auto"/>
            <w:bottom w:val="none" w:sz="0" w:space="0" w:color="auto"/>
            <w:right w:val="none" w:sz="0" w:space="0" w:color="auto"/>
          </w:divBdr>
        </w:div>
        <w:div w:id="1007439464">
          <w:marLeft w:val="0"/>
          <w:marRight w:val="0"/>
          <w:marTop w:val="0"/>
          <w:marBottom w:val="0"/>
          <w:divBdr>
            <w:top w:val="none" w:sz="0" w:space="0" w:color="auto"/>
            <w:left w:val="none" w:sz="0" w:space="0" w:color="auto"/>
            <w:bottom w:val="none" w:sz="0" w:space="0" w:color="auto"/>
            <w:right w:val="none" w:sz="0" w:space="0" w:color="auto"/>
          </w:divBdr>
        </w:div>
        <w:div w:id="18088346">
          <w:marLeft w:val="0"/>
          <w:marRight w:val="0"/>
          <w:marTop w:val="0"/>
          <w:marBottom w:val="0"/>
          <w:divBdr>
            <w:top w:val="none" w:sz="0" w:space="0" w:color="auto"/>
            <w:left w:val="none" w:sz="0" w:space="0" w:color="auto"/>
            <w:bottom w:val="none" w:sz="0" w:space="0" w:color="auto"/>
            <w:right w:val="none" w:sz="0" w:space="0" w:color="auto"/>
          </w:divBdr>
        </w:div>
        <w:div w:id="147330819">
          <w:marLeft w:val="0"/>
          <w:marRight w:val="0"/>
          <w:marTop w:val="0"/>
          <w:marBottom w:val="0"/>
          <w:divBdr>
            <w:top w:val="none" w:sz="0" w:space="0" w:color="auto"/>
            <w:left w:val="none" w:sz="0" w:space="0" w:color="auto"/>
            <w:bottom w:val="none" w:sz="0" w:space="0" w:color="auto"/>
            <w:right w:val="none" w:sz="0" w:space="0" w:color="auto"/>
          </w:divBdr>
        </w:div>
      </w:divsChild>
    </w:div>
    <w:div w:id="750933122">
      <w:marLeft w:val="0"/>
      <w:marRight w:val="0"/>
      <w:marTop w:val="0"/>
      <w:marBottom w:val="240"/>
      <w:divBdr>
        <w:top w:val="none" w:sz="0" w:space="0" w:color="auto"/>
        <w:left w:val="none" w:sz="0" w:space="0" w:color="auto"/>
        <w:bottom w:val="none" w:sz="0" w:space="0" w:color="auto"/>
        <w:right w:val="none" w:sz="0" w:space="0" w:color="auto"/>
      </w:divBdr>
    </w:div>
    <w:div w:id="753086188">
      <w:marLeft w:val="0"/>
      <w:marRight w:val="0"/>
      <w:marTop w:val="0"/>
      <w:marBottom w:val="180"/>
      <w:divBdr>
        <w:top w:val="none" w:sz="0" w:space="0" w:color="auto"/>
        <w:left w:val="none" w:sz="0" w:space="0" w:color="auto"/>
        <w:bottom w:val="none" w:sz="0" w:space="0" w:color="auto"/>
        <w:right w:val="none" w:sz="0" w:space="0" w:color="auto"/>
      </w:divBdr>
    </w:div>
    <w:div w:id="753430892">
      <w:marLeft w:val="0"/>
      <w:marRight w:val="0"/>
      <w:marTop w:val="120"/>
      <w:marBottom w:val="180"/>
      <w:divBdr>
        <w:top w:val="none" w:sz="0" w:space="0" w:color="auto"/>
        <w:left w:val="none" w:sz="0" w:space="0" w:color="auto"/>
        <w:bottom w:val="none" w:sz="0" w:space="0" w:color="auto"/>
        <w:right w:val="none" w:sz="0" w:space="0" w:color="auto"/>
      </w:divBdr>
    </w:div>
    <w:div w:id="754281343">
      <w:marLeft w:val="0"/>
      <w:marRight w:val="0"/>
      <w:marTop w:val="180"/>
      <w:marBottom w:val="180"/>
      <w:divBdr>
        <w:top w:val="none" w:sz="0" w:space="0" w:color="auto"/>
        <w:left w:val="none" w:sz="0" w:space="0" w:color="auto"/>
        <w:bottom w:val="none" w:sz="0" w:space="0" w:color="auto"/>
        <w:right w:val="none" w:sz="0" w:space="0" w:color="auto"/>
      </w:divBdr>
    </w:div>
    <w:div w:id="758334638">
      <w:marLeft w:val="0"/>
      <w:marRight w:val="0"/>
      <w:marTop w:val="0"/>
      <w:marBottom w:val="180"/>
      <w:divBdr>
        <w:top w:val="none" w:sz="0" w:space="0" w:color="auto"/>
        <w:left w:val="none" w:sz="0" w:space="0" w:color="auto"/>
        <w:bottom w:val="none" w:sz="0" w:space="0" w:color="auto"/>
        <w:right w:val="none" w:sz="0" w:space="0" w:color="auto"/>
      </w:divBdr>
    </w:div>
    <w:div w:id="764108223">
      <w:marLeft w:val="0"/>
      <w:marRight w:val="0"/>
      <w:marTop w:val="180"/>
      <w:marBottom w:val="180"/>
      <w:divBdr>
        <w:top w:val="none" w:sz="0" w:space="0" w:color="auto"/>
        <w:left w:val="none" w:sz="0" w:space="0" w:color="auto"/>
        <w:bottom w:val="none" w:sz="0" w:space="0" w:color="auto"/>
        <w:right w:val="none" w:sz="0" w:space="0" w:color="auto"/>
      </w:divBdr>
    </w:div>
    <w:div w:id="766658030">
      <w:marLeft w:val="0"/>
      <w:marRight w:val="0"/>
      <w:marTop w:val="180"/>
      <w:marBottom w:val="180"/>
      <w:divBdr>
        <w:top w:val="none" w:sz="0" w:space="0" w:color="auto"/>
        <w:left w:val="none" w:sz="0" w:space="0" w:color="auto"/>
        <w:bottom w:val="none" w:sz="0" w:space="0" w:color="auto"/>
        <w:right w:val="none" w:sz="0" w:space="0" w:color="auto"/>
      </w:divBdr>
    </w:div>
    <w:div w:id="766772753">
      <w:marLeft w:val="0"/>
      <w:marRight w:val="0"/>
      <w:marTop w:val="0"/>
      <w:marBottom w:val="0"/>
      <w:divBdr>
        <w:top w:val="none" w:sz="0" w:space="0" w:color="auto"/>
        <w:left w:val="none" w:sz="0" w:space="0" w:color="auto"/>
        <w:bottom w:val="none" w:sz="0" w:space="0" w:color="auto"/>
        <w:right w:val="none" w:sz="0" w:space="0" w:color="auto"/>
      </w:divBdr>
    </w:div>
    <w:div w:id="767775344">
      <w:marLeft w:val="0"/>
      <w:marRight w:val="0"/>
      <w:marTop w:val="0"/>
      <w:marBottom w:val="240"/>
      <w:divBdr>
        <w:top w:val="none" w:sz="0" w:space="0" w:color="auto"/>
        <w:left w:val="none" w:sz="0" w:space="0" w:color="auto"/>
        <w:bottom w:val="none" w:sz="0" w:space="0" w:color="auto"/>
        <w:right w:val="none" w:sz="0" w:space="0" w:color="auto"/>
      </w:divBdr>
    </w:div>
    <w:div w:id="768813540">
      <w:marLeft w:val="0"/>
      <w:marRight w:val="0"/>
      <w:marTop w:val="240"/>
      <w:marBottom w:val="240"/>
      <w:divBdr>
        <w:top w:val="none" w:sz="0" w:space="0" w:color="auto"/>
        <w:left w:val="none" w:sz="0" w:space="0" w:color="auto"/>
        <w:bottom w:val="none" w:sz="0" w:space="0" w:color="auto"/>
        <w:right w:val="none" w:sz="0" w:space="0" w:color="auto"/>
      </w:divBdr>
    </w:div>
    <w:div w:id="771438959">
      <w:marLeft w:val="0"/>
      <w:marRight w:val="0"/>
      <w:marTop w:val="100"/>
      <w:marBottom w:val="100"/>
      <w:divBdr>
        <w:top w:val="none" w:sz="0" w:space="0" w:color="auto"/>
        <w:left w:val="none" w:sz="0" w:space="0" w:color="auto"/>
        <w:bottom w:val="none" w:sz="0" w:space="0" w:color="auto"/>
        <w:right w:val="none" w:sz="0" w:space="0" w:color="auto"/>
      </w:divBdr>
    </w:div>
    <w:div w:id="773398226">
      <w:marLeft w:val="0"/>
      <w:marRight w:val="0"/>
      <w:marTop w:val="120"/>
      <w:marBottom w:val="120"/>
      <w:divBdr>
        <w:top w:val="none" w:sz="0" w:space="0" w:color="auto"/>
        <w:left w:val="none" w:sz="0" w:space="0" w:color="auto"/>
        <w:bottom w:val="none" w:sz="0" w:space="0" w:color="auto"/>
        <w:right w:val="none" w:sz="0" w:space="0" w:color="auto"/>
      </w:divBdr>
    </w:div>
    <w:div w:id="773746425">
      <w:marLeft w:val="0"/>
      <w:marRight w:val="0"/>
      <w:marTop w:val="0"/>
      <w:marBottom w:val="240"/>
      <w:divBdr>
        <w:top w:val="none" w:sz="0" w:space="0" w:color="auto"/>
        <w:left w:val="none" w:sz="0" w:space="0" w:color="auto"/>
        <w:bottom w:val="none" w:sz="0" w:space="0" w:color="auto"/>
        <w:right w:val="none" w:sz="0" w:space="0" w:color="auto"/>
      </w:divBdr>
    </w:div>
    <w:div w:id="774059454">
      <w:marLeft w:val="0"/>
      <w:marRight w:val="0"/>
      <w:marTop w:val="0"/>
      <w:marBottom w:val="240"/>
      <w:divBdr>
        <w:top w:val="none" w:sz="0" w:space="0" w:color="auto"/>
        <w:left w:val="none" w:sz="0" w:space="0" w:color="auto"/>
        <w:bottom w:val="none" w:sz="0" w:space="0" w:color="auto"/>
        <w:right w:val="none" w:sz="0" w:space="0" w:color="auto"/>
      </w:divBdr>
    </w:div>
    <w:div w:id="780151169">
      <w:marLeft w:val="0"/>
      <w:marRight w:val="0"/>
      <w:marTop w:val="0"/>
      <w:marBottom w:val="0"/>
      <w:divBdr>
        <w:top w:val="none" w:sz="0" w:space="0" w:color="auto"/>
        <w:left w:val="none" w:sz="0" w:space="0" w:color="auto"/>
        <w:bottom w:val="none" w:sz="0" w:space="0" w:color="auto"/>
        <w:right w:val="none" w:sz="0" w:space="0" w:color="auto"/>
      </w:divBdr>
    </w:div>
    <w:div w:id="784423411">
      <w:marLeft w:val="0"/>
      <w:marRight w:val="0"/>
      <w:marTop w:val="0"/>
      <w:marBottom w:val="0"/>
      <w:divBdr>
        <w:top w:val="none" w:sz="0" w:space="0" w:color="auto"/>
        <w:left w:val="none" w:sz="0" w:space="0" w:color="auto"/>
        <w:bottom w:val="none" w:sz="0" w:space="0" w:color="auto"/>
        <w:right w:val="none" w:sz="0" w:space="0" w:color="auto"/>
      </w:divBdr>
      <w:divsChild>
        <w:div w:id="2075346817">
          <w:marLeft w:val="0"/>
          <w:marRight w:val="0"/>
          <w:marTop w:val="0"/>
          <w:marBottom w:val="0"/>
          <w:divBdr>
            <w:top w:val="none" w:sz="0" w:space="0" w:color="auto"/>
            <w:left w:val="none" w:sz="0" w:space="0" w:color="auto"/>
            <w:bottom w:val="none" w:sz="0" w:space="0" w:color="auto"/>
            <w:right w:val="none" w:sz="0" w:space="0" w:color="auto"/>
          </w:divBdr>
        </w:div>
      </w:divsChild>
    </w:div>
    <w:div w:id="784538700">
      <w:marLeft w:val="0"/>
      <w:marRight w:val="0"/>
      <w:marTop w:val="0"/>
      <w:marBottom w:val="0"/>
      <w:divBdr>
        <w:top w:val="none" w:sz="0" w:space="0" w:color="auto"/>
        <w:left w:val="none" w:sz="0" w:space="0" w:color="auto"/>
        <w:bottom w:val="none" w:sz="0" w:space="0" w:color="auto"/>
        <w:right w:val="none" w:sz="0" w:space="0" w:color="auto"/>
      </w:divBdr>
    </w:div>
    <w:div w:id="785349706">
      <w:marLeft w:val="0"/>
      <w:marRight w:val="0"/>
      <w:marTop w:val="180"/>
      <w:marBottom w:val="180"/>
      <w:divBdr>
        <w:top w:val="none" w:sz="0" w:space="0" w:color="auto"/>
        <w:left w:val="none" w:sz="0" w:space="0" w:color="auto"/>
        <w:bottom w:val="none" w:sz="0" w:space="0" w:color="auto"/>
        <w:right w:val="none" w:sz="0" w:space="0" w:color="auto"/>
      </w:divBdr>
    </w:div>
    <w:div w:id="785660047">
      <w:marLeft w:val="0"/>
      <w:marRight w:val="0"/>
      <w:marTop w:val="0"/>
      <w:marBottom w:val="0"/>
      <w:divBdr>
        <w:top w:val="none" w:sz="0" w:space="0" w:color="auto"/>
        <w:left w:val="none" w:sz="0" w:space="0" w:color="auto"/>
        <w:bottom w:val="none" w:sz="0" w:space="0" w:color="auto"/>
        <w:right w:val="none" w:sz="0" w:space="0" w:color="auto"/>
      </w:divBdr>
    </w:div>
    <w:div w:id="785853862">
      <w:marLeft w:val="0"/>
      <w:marRight w:val="0"/>
      <w:marTop w:val="0"/>
      <w:marBottom w:val="0"/>
      <w:divBdr>
        <w:top w:val="none" w:sz="0" w:space="0" w:color="auto"/>
        <w:left w:val="none" w:sz="0" w:space="0" w:color="auto"/>
        <w:bottom w:val="none" w:sz="0" w:space="0" w:color="auto"/>
        <w:right w:val="none" w:sz="0" w:space="0" w:color="auto"/>
      </w:divBdr>
      <w:divsChild>
        <w:div w:id="715085154">
          <w:marLeft w:val="0"/>
          <w:marRight w:val="0"/>
          <w:marTop w:val="0"/>
          <w:marBottom w:val="0"/>
          <w:divBdr>
            <w:top w:val="none" w:sz="0" w:space="0" w:color="auto"/>
            <w:left w:val="none" w:sz="0" w:space="0" w:color="auto"/>
            <w:bottom w:val="none" w:sz="0" w:space="0" w:color="auto"/>
            <w:right w:val="none" w:sz="0" w:space="0" w:color="auto"/>
          </w:divBdr>
        </w:div>
      </w:divsChild>
    </w:div>
    <w:div w:id="787702854">
      <w:marLeft w:val="0"/>
      <w:marRight w:val="0"/>
      <w:marTop w:val="0"/>
      <w:marBottom w:val="0"/>
      <w:divBdr>
        <w:top w:val="none" w:sz="0" w:space="0" w:color="auto"/>
        <w:left w:val="none" w:sz="0" w:space="0" w:color="auto"/>
        <w:bottom w:val="none" w:sz="0" w:space="0" w:color="auto"/>
        <w:right w:val="none" w:sz="0" w:space="0" w:color="auto"/>
      </w:divBdr>
      <w:divsChild>
        <w:div w:id="618150453">
          <w:marLeft w:val="0"/>
          <w:marRight w:val="0"/>
          <w:marTop w:val="0"/>
          <w:marBottom w:val="0"/>
          <w:divBdr>
            <w:top w:val="none" w:sz="0" w:space="0" w:color="auto"/>
            <w:left w:val="none" w:sz="0" w:space="0" w:color="auto"/>
            <w:bottom w:val="none" w:sz="0" w:space="0" w:color="auto"/>
            <w:right w:val="none" w:sz="0" w:space="0" w:color="auto"/>
          </w:divBdr>
        </w:div>
      </w:divsChild>
    </w:div>
    <w:div w:id="788740211">
      <w:marLeft w:val="0"/>
      <w:marRight w:val="0"/>
      <w:marTop w:val="120"/>
      <w:marBottom w:val="120"/>
      <w:divBdr>
        <w:top w:val="none" w:sz="0" w:space="0" w:color="auto"/>
        <w:left w:val="none" w:sz="0" w:space="0" w:color="auto"/>
        <w:bottom w:val="none" w:sz="0" w:space="0" w:color="auto"/>
        <w:right w:val="none" w:sz="0" w:space="0" w:color="auto"/>
      </w:divBdr>
    </w:div>
    <w:div w:id="789477636">
      <w:marLeft w:val="0"/>
      <w:marRight w:val="0"/>
      <w:marTop w:val="180"/>
      <w:marBottom w:val="180"/>
      <w:divBdr>
        <w:top w:val="none" w:sz="0" w:space="0" w:color="auto"/>
        <w:left w:val="none" w:sz="0" w:space="0" w:color="auto"/>
        <w:bottom w:val="none" w:sz="0" w:space="0" w:color="auto"/>
        <w:right w:val="none" w:sz="0" w:space="0" w:color="auto"/>
      </w:divBdr>
    </w:div>
    <w:div w:id="789855614">
      <w:marLeft w:val="0"/>
      <w:marRight w:val="0"/>
      <w:marTop w:val="120"/>
      <w:marBottom w:val="120"/>
      <w:divBdr>
        <w:top w:val="none" w:sz="0" w:space="0" w:color="auto"/>
        <w:left w:val="none" w:sz="0" w:space="0" w:color="auto"/>
        <w:bottom w:val="none" w:sz="0" w:space="0" w:color="auto"/>
        <w:right w:val="none" w:sz="0" w:space="0" w:color="auto"/>
      </w:divBdr>
    </w:div>
    <w:div w:id="791090782">
      <w:marLeft w:val="0"/>
      <w:marRight w:val="0"/>
      <w:marTop w:val="0"/>
      <w:marBottom w:val="0"/>
      <w:divBdr>
        <w:top w:val="none" w:sz="0" w:space="0" w:color="auto"/>
        <w:left w:val="none" w:sz="0" w:space="0" w:color="auto"/>
        <w:bottom w:val="none" w:sz="0" w:space="0" w:color="auto"/>
        <w:right w:val="none" w:sz="0" w:space="0" w:color="auto"/>
      </w:divBdr>
      <w:divsChild>
        <w:div w:id="438644417">
          <w:marLeft w:val="0"/>
          <w:marRight w:val="0"/>
          <w:marTop w:val="0"/>
          <w:marBottom w:val="0"/>
          <w:divBdr>
            <w:top w:val="none" w:sz="0" w:space="0" w:color="auto"/>
            <w:left w:val="none" w:sz="0" w:space="0" w:color="auto"/>
            <w:bottom w:val="none" w:sz="0" w:space="0" w:color="auto"/>
            <w:right w:val="none" w:sz="0" w:space="0" w:color="auto"/>
          </w:divBdr>
        </w:div>
      </w:divsChild>
    </w:div>
    <w:div w:id="791481962">
      <w:marLeft w:val="0"/>
      <w:marRight w:val="0"/>
      <w:marTop w:val="0"/>
      <w:marBottom w:val="0"/>
      <w:divBdr>
        <w:top w:val="none" w:sz="0" w:space="0" w:color="auto"/>
        <w:left w:val="none" w:sz="0" w:space="0" w:color="auto"/>
        <w:bottom w:val="none" w:sz="0" w:space="0" w:color="auto"/>
        <w:right w:val="none" w:sz="0" w:space="0" w:color="auto"/>
      </w:divBdr>
      <w:divsChild>
        <w:div w:id="2093428397">
          <w:marLeft w:val="0"/>
          <w:marRight w:val="0"/>
          <w:marTop w:val="0"/>
          <w:marBottom w:val="0"/>
          <w:divBdr>
            <w:top w:val="none" w:sz="0" w:space="0" w:color="auto"/>
            <w:left w:val="none" w:sz="0" w:space="0" w:color="auto"/>
            <w:bottom w:val="none" w:sz="0" w:space="0" w:color="auto"/>
            <w:right w:val="none" w:sz="0" w:space="0" w:color="auto"/>
          </w:divBdr>
        </w:div>
      </w:divsChild>
    </w:div>
    <w:div w:id="791754635">
      <w:marLeft w:val="0"/>
      <w:marRight w:val="0"/>
      <w:marTop w:val="120"/>
      <w:marBottom w:val="120"/>
      <w:divBdr>
        <w:top w:val="none" w:sz="0" w:space="0" w:color="auto"/>
        <w:left w:val="none" w:sz="0" w:space="0" w:color="auto"/>
        <w:bottom w:val="none" w:sz="0" w:space="0" w:color="auto"/>
        <w:right w:val="none" w:sz="0" w:space="0" w:color="auto"/>
      </w:divBdr>
    </w:div>
    <w:div w:id="791829080">
      <w:marLeft w:val="0"/>
      <w:marRight w:val="0"/>
      <w:marTop w:val="0"/>
      <w:marBottom w:val="0"/>
      <w:divBdr>
        <w:top w:val="none" w:sz="0" w:space="0" w:color="auto"/>
        <w:left w:val="none" w:sz="0" w:space="0" w:color="auto"/>
        <w:bottom w:val="none" w:sz="0" w:space="0" w:color="auto"/>
        <w:right w:val="none" w:sz="0" w:space="0" w:color="auto"/>
      </w:divBdr>
    </w:div>
    <w:div w:id="792207807">
      <w:marLeft w:val="0"/>
      <w:marRight w:val="0"/>
      <w:marTop w:val="120"/>
      <w:marBottom w:val="180"/>
      <w:divBdr>
        <w:top w:val="none" w:sz="0" w:space="0" w:color="auto"/>
        <w:left w:val="none" w:sz="0" w:space="0" w:color="auto"/>
        <w:bottom w:val="none" w:sz="0" w:space="0" w:color="auto"/>
        <w:right w:val="none" w:sz="0" w:space="0" w:color="auto"/>
      </w:divBdr>
    </w:div>
    <w:div w:id="792753940">
      <w:marLeft w:val="0"/>
      <w:marRight w:val="0"/>
      <w:marTop w:val="120"/>
      <w:marBottom w:val="180"/>
      <w:divBdr>
        <w:top w:val="none" w:sz="0" w:space="0" w:color="auto"/>
        <w:left w:val="none" w:sz="0" w:space="0" w:color="auto"/>
        <w:bottom w:val="none" w:sz="0" w:space="0" w:color="auto"/>
        <w:right w:val="none" w:sz="0" w:space="0" w:color="auto"/>
      </w:divBdr>
    </w:div>
    <w:div w:id="795413903">
      <w:marLeft w:val="0"/>
      <w:marRight w:val="0"/>
      <w:marTop w:val="180"/>
      <w:marBottom w:val="180"/>
      <w:divBdr>
        <w:top w:val="none" w:sz="0" w:space="0" w:color="auto"/>
        <w:left w:val="none" w:sz="0" w:space="0" w:color="auto"/>
        <w:bottom w:val="none" w:sz="0" w:space="0" w:color="auto"/>
        <w:right w:val="none" w:sz="0" w:space="0" w:color="auto"/>
      </w:divBdr>
    </w:div>
    <w:div w:id="795681271">
      <w:marLeft w:val="0"/>
      <w:marRight w:val="0"/>
      <w:marTop w:val="0"/>
      <w:marBottom w:val="240"/>
      <w:divBdr>
        <w:top w:val="none" w:sz="0" w:space="0" w:color="auto"/>
        <w:left w:val="none" w:sz="0" w:space="0" w:color="auto"/>
        <w:bottom w:val="none" w:sz="0" w:space="0" w:color="auto"/>
        <w:right w:val="none" w:sz="0" w:space="0" w:color="auto"/>
      </w:divBdr>
    </w:div>
    <w:div w:id="796950504">
      <w:marLeft w:val="0"/>
      <w:marRight w:val="0"/>
      <w:marTop w:val="240"/>
      <w:marBottom w:val="240"/>
      <w:divBdr>
        <w:top w:val="none" w:sz="0" w:space="0" w:color="auto"/>
        <w:left w:val="none" w:sz="0" w:space="0" w:color="auto"/>
        <w:bottom w:val="none" w:sz="0" w:space="0" w:color="auto"/>
        <w:right w:val="none" w:sz="0" w:space="0" w:color="auto"/>
      </w:divBdr>
    </w:div>
    <w:div w:id="798111532">
      <w:marLeft w:val="0"/>
      <w:marRight w:val="0"/>
      <w:marTop w:val="120"/>
      <w:marBottom w:val="240"/>
      <w:divBdr>
        <w:top w:val="none" w:sz="0" w:space="0" w:color="auto"/>
        <w:left w:val="none" w:sz="0" w:space="0" w:color="auto"/>
        <w:bottom w:val="none" w:sz="0" w:space="0" w:color="auto"/>
        <w:right w:val="none" w:sz="0" w:space="0" w:color="auto"/>
      </w:divBdr>
    </w:div>
    <w:div w:id="798569548">
      <w:marLeft w:val="0"/>
      <w:marRight w:val="0"/>
      <w:marTop w:val="0"/>
      <w:marBottom w:val="0"/>
      <w:divBdr>
        <w:top w:val="none" w:sz="0" w:space="0" w:color="auto"/>
        <w:left w:val="none" w:sz="0" w:space="0" w:color="auto"/>
        <w:bottom w:val="none" w:sz="0" w:space="0" w:color="auto"/>
        <w:right w:val="none" w:sz="0" w:space="0" w:color="auto"/>
      </w:divBdr>
    </w:div>
    <w:div w:id="802498953">
      <w:marLeft w:val="0"/>
      <w:marRight w:val="0"/>
      <w:marTop w:val="0"/>
      <w:marBottom w:val="240"/>
      <w:divBdr>
        <w:top w:val="none" w:sz="0" w:space="0" w:color="auto"/>
        <w:left w:val="none" w:sz="0" w:space="0" w:color="auto"/>
        <w:bottom w:val="none" w:sz="0" w:space="0" w:color="auto"/>
        <w:right w:val="none" w:sz="0" w:space="0" w:color="auto"/>
      </w:divBdr>
    </w:div>
    <w:div w:id="803620078">
      <w:marLeft w:val="0"/>
      <w:marRight w:val="0"/>
      <w:marTop w:val="0"/>
      <w:marBottom w:val="0"/>
      <w:divBdr>
        <w:top w:val="none" w:sz="0" w:space="0" w:color="auto"/>
        <w:left w:val="none" w:sz="0" w:space="0" w:color="auto"/>
        <w:bottom w:val="none" w:sz="0" w:space="0" w:color="auto"/>
        <w:right w:val="none" w:sz="0" w:space="0" w:color="auto"/>
      </w:divBdr>
      <w:divsChild>
        <w:div w:id="1336155860">
          <w:marLeft w:val="0"/>
          <w:marRight w:val="0"/>
          <w:marTop w:val="0"/>
          <w:marBottom w:val="0"/>
          <w:divBdr>
            <w:top w:val="none" w:sz="0" w:space="0" w:color="auto"/>
            <w:left w:val="none" w:sz="0" w:space="0" w:color="auto"/>
            <w:bottom w:val="none" w:sz="0" w:space="0" w:color="auto"/>
            <w:right w:val="none" w:sz="0" w:space="0" w:color="auto"/>
          </w:divBdr>
        </w:div>
      </w:divsChild>
    </w:div>
    <w:div w:id="806555695">
      <w:marLeft w:val="0"/>
      <w:marRight w:val="0"/>
      <w:marTop w:val="0"/>
      <w:marBottom w:val="120"/>
      <w:divBdr>
        <w:top w:val="none" w:sz="0" w:space="0" w:color="auto"/>
        <w:left w:val="none" w:sz="0" w:space="0" w:color="auto"/>
        <w:bottom w:val="none" w:sz="0" w:space="0" w:color="auto"/>
        <w:right w:val="none" w:sz="0" w:space="0" w:color="auto"/>
      </w:divBdr>
    </w:div>
    <w:div w:id="807279063">
      <w:marLeft w:val="0"/>
      <w:marRight w:val="0"/>
      <w:marTop w:val="0"/>
      <w:marBottom w:val="0"/>
      <w:divBdr>
        <w:top w:val="none" w:sz="0" w:space="0" w:color="auto"/>
        <w:left w:val="none" w:sz="0" w:space="0" w:color="auto"/>
        <w:bottom w:val="none" w:sz="0" w:space="0" w:color="auto"/>
        <w:right w:val="none" w:sz="0" w:space="0" w:color="auto"/>
      </w:divBdr>
    </w:div>
    <w:div w:id="807474426">
      <w:marLeft w:val="0"/>
      <w:marRight w:val="0"/>
      <w:marTop w:val="0"/>
      <w:marBottom w:val="240"/>
      <w:divBdr>
        <w:top w:val="none" w:sz="0" w:space="0" w:color="auto"/>
        <w:left w:val="none" w:sz="0" w:space="0" w:color="auto"/>
        <w:bottom w:val="none" w:sz="0" w:space="0" w:color="auto"/>
        <w:right w:val="none" w:sz="0" w:space="0" w:color="auto"/>
      </w:divBdr>
    </w:div>
    <w:div w:id="807476114">
      <w:marLeft w:val="0"/>
      <w:marRight w:val="0"/>
      <w:marTop w:val="0"/>
      <w:marBottom w:val="0"/>
      <w:divBdr>
        <w:top w:val="none" w:sz="0" w:space="0" w:color="auto"/>
        <w:left w:val="none" w:sz="0" w:space="0" w:color="auto"/>
        <w:bottom w:val="none" w:sz="0" w:space="0" w:color="auto"/>
        <w:right w:val="none" w:sz="0" w:space="0" w:color="auto"/>
      </w:divBdr>
      <w:divsChild>
        <w:div w:id="763692887">
          <w:marLeft w:val="0"/>
          <w:marRight w:val="0"/>
          <w:marTop w:val="0"/>
          <w:marBottom w:val="0"/>
          <w:divBdr>
            <w:top w:val="none" w:sz="0" w:space="0" w:color="auto"/>
            <w:left w:val="none" w:sz="0" w:space="0" w:color="auto"/>
            <w:bottom w:val="none" w:sz="0" w:space="0" w:color="auto"/>
            <w:right w:val="none" w:sz="0" w:space="0" w:color="auto"/>
          </w:divBdr>
        </w:div>
      </w:divsChild>
    </w:div>
    <w:div w:id="810053979">
      <w:marLeft w:val="0"/>
      <w:marRight w:val="0"/>
      <w:marTop w:val="0"/>
      <w:marBottom w:val="0"/>
      <w:divBdr>
        <w:top w:val="none" w:sz="0" w:space="0" w:color="auto"/>
        <w:left w:val="none" w:sz="0" w:space="0" w:color="auto"/>
        <w:bottom w:val="none" w:sz="0" w:space="0" w:color="auto"/>
        <w:right w:val="none" w:sz="0" w:space="0" w:color="auto"/>
      </w:divBdr>
    </w:div>
    <w:div w:id="810630460">
      <w:marLeft w:val="0"/>
      <w:marRight w:val="0"/>
      <w:marTop w:val="0"/>
      <w:marBottom w:val="180"/>
      <w:divBdr>
        <w:top w:val="none" w:sz="0" w:space="0" w:color="auto"/>
        <w:left w:val="none" w:sz="0" w:space="0" w:color="auto"/>
        <w:bottom w:val="none" w:sz="0" w:space="0" w:color="auto"/>
        <w:right w:val="none" w:sz="0" w:space="0" w:color="auto"/>
      </w:divBdr>
    </w:div>
    <w:div w:id="810826153">
      <w:marLeft w:val="0"/>
      <w:marRight w:val="0"/>
      <w:marTop w:val="0"/>
      <w:marBottom w:val="240"/>
      <w:divBdr>
        <w:top w:val="none" w:sz="0" w:space="0" w:color="auto"/>
        <w:left w:val="none" w:sz="0" w:space="0" w:color="auto"/>
        <w:bottom w:val="none" w:sz="0" w:space="0" w:color="auto"/>
        <w:right w:val="none" w:sz="0" w:space="0" w:color="auto"/>
      </w:divBdr>
    </w:div>
    <w:div w:id="813568840">
      <w:marLeft w:val="0"/>
      <w:marRight w:val="0"/>
      <w:marTop w:val="0"/>
      <w:marBottom w:val="0"/>
      <w:divBdr>
        <w:top w:val="none" w:sz="0" w:space="0" w:color="auto"/>
        <w:left w:val="none" w:sz="0" w:space="0" w:color="auto"/>
        <w:bottom w:val="none" w:sz="0" w:space="0" w:color="auto"/>
        <w:right w:val="none" w:sz="0" w:space="0" w:color="auto"/>
      </w:divBdr>
    </w:div>
    <w:div w:id="816803834">
      <w:marLeft w:val="0"/>
      <w:marRight w:val="0"/>
      <w:marTop w:val="0"/>
      <w:marBottom w:val="180"/>
      <w:divBdr>
        <w:top w:val="none" w:sz="0" w:space="0" w:color="auto"/>
        <w:left w:val="none" w:sz="0" w:space="0" w:color="auto"/>
        <w:bottom w:val="none" w:sz="0" w:space="0" w:color="auto"/>
        <w:right w:val="none" w:sz="0" w:space="0" w:color="auto"/>
      </w:divBdr>
    </w:div>
    <w:div w:id="818810450">
      <w:marLeft w:val="0"/>
      <w:marRight w:val="0"/>
      <w:marTop w:val="0"/>
      <w:marBottom w:val="240"/>
      <w:divBdr>
        <w:top w:val="none" w:sz="0" w:space="0" w:color="auto"/>
        <w:left w:val="none" w:sz="0" w:space="0" w:color="auto"/>
        <w:bottom w:val="none" w:sz="0" w:space="0" w:color="auto"/>
        <w:right w:val="none" w:sz="0" w:space="0" w:color="auto"/>
      </w:divBdr>
    </w:div>
    <w:div w:id="819735408">
      <w:marLeft w:val="0"/>
      <w:marRight w:val="0"/>
      <w:marTop w:val="0"/>
      <w:marBottom w:val="0"/>
      <w:divBdr>
        <w:top w:val="none" w:sz="0" w:space="0" w:color="auto"/>
        <w:left w:val="none" w:sz="0" w:space="0" w:color="auto"/>
        <w:bottom w:val="none" w:sz="0" w:space="0" w:color="auto"/>
        <w:right w:val="none" w:sz="0" w:space="0" w:color="auto"/>
      </w:divBdr>
    </w:div>
    <w:div w:id="819882992">
      <w:marLeft w:val="0"/>
      <w:marRight w:val="0"/>
      <w:marTop w:val="100"/>
      <w:marBottom w:val="100"/>
      <w:divBdr>
        <w:top w:val="none" w:sz="0" w:space="0" w:color="auto"/>
        <w:left w:val="none" w:sz="0" w:space="0" w:color="auto"/>
        <w:bottom w:val="none" w:sz="0" w:space="0" w:color="auto"/>
        <w:right w:val="none" w:sz="0" w:space="0" w:color="auto"/>
      </w:divBdr>
      <w:divsChild>
        <w:div w:id="1244292447">
          <w:marLeft w:val="0"/>
          <w:marRight w:val="0"/>
          <w:marTop w:val="0"/>
          <w:marBottom w:val="0"/>
          <w:divBdr>
            <w:top w:val="none" w:sz="0" w:space="0" w:color="auto"/>
            <w:left w:val="none" w:sz="0" w:space="0" w:color="auto"/>
            <w:bottom w:val="none" w:sz="0" w:space="0" w:color="auto"/>
            <w:right w:val="none" w:sz="0" w:space="0" w:color="auto"/>
          </w:divBdr>
        </w:div>
        <w:div w:id="113329420">
          <w:marLeft w:val="0"/>
          <w:marRight w:val="0"/>
          <w:marTop w:val="0"/>
          <w:marBottom w:val="0"/>
          <w:divBdr>
            <w:top w:val="none" w:sz="0" w:space="0" w:color="auto"/>
            <w:left w:val="none" w:sz="0" w:space="0" w:color="auto"/>
            <w:bottom w:val="none" w:sz="0" w:space="0" w:color="auto"/>
            <w:right w:val="none" w:sz="0" w:space="0" w:color="auto"/>
          </w:divBdr>
        </w:div>
      </w:divsChild>
    </w:div>
    <w:div w:id="822623315">
      <w:marLeft w:val="0"/>
      <w:marRight w:val="0"/>
      <w:marTop w:val="0"/>
      <w:marBottom w:val="180"/>
      <w:divBdr>
        <w:top w:val="none" w:sz="0" w:space="0" w:color="auto"/>
        <w:left w:val="none" w:sz="0" w:space="0" w:color="auto"/>
        <w:bottom w:val="none" w:sz="0" w:space="0" w:color="auto"/>
        <w:right w:val="none" w:sz="0" w:space="0" w:color="auto"/>
      </w:divBdr>
    </w:div>
    <w:div w:id="824203212">
      <w:marLeft w:val="0"/>
      <w:marRight w:val="0"/>
      <w:marTop w:val="0"/>
      <w:marBottom w:val="180"/>
      <w:divBdr>
        <w:top w:val="none" w:sz="0" w:space="0" w:color="auto"/>
        <w:left w:val="none" w:sz="0" w:space="0" w:color="auto"/>
        <w:bottom w:val="none" w:sz="0" w:space="0" w:color="auto"/>
        <w:right w:val="none" w:sz="0" w:space="0" w:color="auto"/>
      </w:divBdr>
    </w:div>
    <w:div w:id="830753575">
      <w:marLeft w:val="0"/>
      <w:marRight w:val="0"/>
      <w:marTop w:val="0"/>
      <w:marBottom w:val="180"/>
      <w:divBdr>
        <w:top w:val="none" w:sz="0" w:space="0" w:color="auto"/>
        <w:left w:val="none" w:sz="0" w:space="0" w:color="auto"/>
        <w:bottom w:val="none" w:sz="0" w:space="0" w:color="auto"/>
        <w:right w:val="none" w:sz="0" w:space="0" w:color="auto"/>
      </w:divBdr>
    </w:div>
    <w:div w:id="831022187">
      <w:marLeft w:val="0"/>
      <w:marRight w:val="0"/>
      <w:marTop w:val="0"/>
      <w:marBottom w:val="180"/>
      <w:divBdr>
        <w:top w:val="none" w:sz="0" w:space="0" w:color="auto"/>
        <w:left w:val="none" w:sz="0" w:space="0" w:color="auto"/>
        <w:bottom w:val="none" w:sz="0" w:space="0" w:color="auto"/>
        <w:right w:val="none" w:sz="0" w:space="0" w:color="auto"/>
      </w:divBdr>
    </w:div>
    <w:div w:id="831531065">
      <w:marLeft w:val="0"/>
      <w:marRight w:val="0"/>
      <w:marTop w:val="100"/>
      <w:marBottom w:val="100"/>
      <w:divBdr>
        <w:top w:val="none" w:sz="0" w:space="0" w:color="auto"/>
        <w:left w:val="none" w:sz="0" w:space="0" w:color="auto"/>
        <w:bottom w:val="none" w:sz="0" w:space="0" w:color="auto"/>
        <w:right w:val="none" w:sz="0" w:space="0" w:color="auto"/>
      </w:divBdr>
    </w:div>
    <w:div w:id="831868613">
      <w:marLeft w:val="0"/>
      <w:marRight w:val="0"/>
      <w:marTop w:val="0"/>
      <w:marBottom w:val="0"/>
      <w:divBdr>
        <w:top w:val="none" w:sz="0" w:space="0" w:color="auto"/>
        <w:left w:val="none" w:sz="0" w:space="0" w:color="auto"/>
        <w:bottom w:val="none" w:sz="0" w:space="0" w:color="auto"/>
        <w:right w:val="none" w:sz="0" w:space="0" w:color="auto"/>
      </w:divBdr>
    </w:div>
    <w:div w:id="833642721">
      <w:marLeft w:val="0"/>
      <w:marRight w:val="0"/>
      <w:marTop w:val="120"/>
      <w:marBottom w:val="120"/>
      <w:divBdr>
        <w:top w:val="none" w:sz="0" w:space="0" w:color="auto"/>
        <w:left w:val="none" w:sz="0" w:space="0" w:color="auto"/>
        <w:bottom w:val="none" w:sz="0" w:space="0" w:color="auto"/>
        <w:right w:val="none" w:sz="0" w:space="0" w:color="auto"/>
      </w:divBdr>
    </w:div>
    <w:div w:id="833956178">
      <w:marLeft w:val="0"/>
      <w:marRight w:val="0"/>
      <w:marTop w:val="0"/>
      <w:marBottom w:val="240"/>
      <w:divBdr>
        <w:top w:val="none" w:sz="0" w:space="0" w:color="auto"/>
        <w:left w:val="none" w:sz="0" w:space="0" w:color="auto"/>
        <w:bottom w:val="none" w:sz="0" w:space="0" w:color="auto"/>
        <w:right w:val="none" w:sz="0" w:space="0" w:color="auto"/>
      </w:divBdr>
    </w:div>
    <w:div w:id="836506871">
      <w:marLeft w:val="0"/>
      <w:marRight w:val="0"/>
      <w:marTop w:val="0"/>
      <w:marBottom w:val="0"/>
      <w:divBdr>
        <w:top w:val="none" w:sz="0" w:space="0" w:color="auto"/>
        <w:left w:val="none" w:sz="0" w:space="0" w:color="auto"/>
        <w:bottom w:val="none" w:sz="0" w:space="0" w:color="auto"/>
        <w:right w:val="none" w:sz="0" w:space="0" w:color="auto"/>
      </w:divBdr>
    </w:div>
    <w:div w:id="836921803">
      <w:marLeft w:val="0"/>
      <w:marRight w:val="0"/>
      <w:marTop w:val="0"/>
      <w:marBottom w:val="180"/>
      <w:divBdr>
        <w:top w:val="none" w:sz="0" w:space="0" w:color="auto"/>
        <w:left w:val="none" w:sz="0" w:space="0" w:color="auto"/>
        <w:bottom w:val="none" w:sz="0" w:space="0" w:color="auto"/>
        <w:right w:val="none" w:sz="0" w:space="0" w:color="auto"/>
      </w:divBdr>
    </w:div>
    <w:div w:id="837622692">
      <w:marLeft w:val="0"/>
      <w:marRight w:val="0"/>
      <w:marTop w:val="100"/>
      <w:marBottom w:val="100"/>
      <w:divBdr>
        <w:top w:val="none" w:sz="0" w:space="0" w:color="auto"/>
        <w:left w:val="none" w:sz="0" w:space="0" w:color="auto"/>
        <w:bottom w:val="none" w:sz="0" w:space="0" w:color="auto"/>
        <w:right w:val="none" w:sz="0" w:space="0" w:color="auto"/>
      </w:divBdr>
    </w:div>
    <w:div w:id="838279060">
      <w:marLeft w:val="0"/>
      <w:marRight w:val="0"/>
      <w:marTop w:val="0"/>
      <w:marBottom w:val="0"/>
      <w:divBdr>
        <w:top w:val="none" w:sz="0" w:space="0" w:color="auto"/>
        <w:left w:val="none" w:sz="0" w:space="0" w:color="auto"/>
        <w:bottom w:val="none" w:sz="0" w:space="0" w:color="auto"/>
        <w:right w:val="none" w:sz="0" w:space="0" w:color="auto"/>
      </w:divBdr>
    </w:div>
    <w:div w:id="838548061">
      <w:marLeft w:val="0"/>
      <w:marRight w:val="0"/>
      <w:marTop w:val="0"/>
      <w:marBottom w:val="0"/>
      <w:divBdr>
        <w:top w:val="none" w:sz="0" w:space="0" w:color="auto"/>
        <w:left w:val="none" w:sz="0" w:space="0" w:color="auto"/>
        <w:bottom w:val="none" w:sz="0" w:space="0" w:color="auto"/>
        <w:right w:val="none" w:sz="0" w:space="0" w:color="auto"/>
      </w:divBdr>
    </w:div>
    <w:div w:id="838931730">
      <w:marLeft w:val="0"/>
      <w:marRight w:val="0"/>
      <w:marTop w:val="0"/>
      <w:marBottom w:val="200"/>
      <w:divBdr>
        <w:top w:val="none" w:sz="0" w:space="0" w:color="auto"/>
        <w:left w:val="none" w:sz="0" w:space="0" w:color="auto"/>
        <w:bottom w:val="none" w:sz="0" w:space="0" w:color="auto"/>
        <w:right w:val="none" w:sz="0" w:space="0" w:color="auto"/>
      </w:divBdr>
    </w:div>
    <w:div w:id="839924765">
      <w:marLeft w:val="0"/>
      <w:marRight w:val="0"/>
      <w:marTop w:val="100"/>
      <w:marBottom w:val="100"/>
      <w:divBdr>
        <w:top w:val="none" w:sz="0" w:space="0" w:color="auto"/>
        <w:left w:val="none" w:sz="0" w:space="0" w:color="auto"/>
        <w:bottom w:val="none" w:sz="0" w:space="0" w:color="auto"/>
        <w:right w:val="none" w:sz="0" w:space="0" w:color="auto"/>
      </w:divBdr>
    </w:div>
    <w:div w:id="842235209">
      <w:marLeft w:val="0"/>
      <w:marRight w:val="0"/>
      <w:marTop w:val="180"/>
      <w:marBottom w:val="180"/>
      <w:divBdr>
        <w:top w:val="none" w:sz="0" w:space="0" w:color="auto"/>
        <w:left w:val="none" w:sz="0" w:space="0" w:color="auto"/>
        <w:bottom w:val="none" w:sz="0" w:space="0" w:color="auto"/>
        <w:right w:val="none" w:sz="0" w:space="0" w:color="auto"/>
      </w:divBdr>
    </w:div>
    <w:div w:id="845439339">
      <w:marLeft w:val="0"/>
      <w:marRight w:val="0"/>
      <w:marTop w:val="180"/>
      <w:marBottom w:val="180"/>
      <w:divBdr>
        <w:top w:val="none" w:sz="0" w:space="0" w:color="auto"/>
        <w:left w:val="none" w:sz="0" w:space="0" w:color="auto"/>
        <w:bottom w:val="none" w:sz="0" w:space="0" w:color="auto"/>
        <w:right w:val="none" w:sz="0" w:space="0" w:color="auto"/>
      </w:divBdr>
    </w:div>
    <w:div w:id="847212246">
      <w:marLeft w:val="0"/>
      <w:marRight w:val="0"/>
      <w:marTop w:val="0"/>
      <w:marBottom w:val="240"/>
      <w:divBdr>
        <w:top w:val="none" w:sz="0" w:space="0" w:color="auto"/>
        <w:left w:val="none" w:sz="0" w:space="0" w:color="auto"/>
        <w:bottom w:val="none" w:sz="0" w:space="0" w:color="auto"/>
        <w:right w:val="none" w:sz="0" w:space="0" w:color="auto"/>
      </w:divBdr>
    </w:div>
    <w:div w:id="847981180">
      <w:marLeft w:val="0"/>
      <w:marRight w:val="0"/>
      <w:marTop w:val="100"/>
      <w:marBottom w:val="220"/>
      <w:divBdr>
        <w:top w:val="none" w:sz="0" w:space="0" w:color="auto"/>
        <w:left w:val="none" w:sz="0" w:space="0" w:color="auto"/>
        <w:bottom w:val="none" w:sz="0" w:space="0" w:color="auto"/>
        <w:right w:val="none" w:sz="0" w:space="0" w:color="auto"/>
      </w:divBdr>
      <w:divsChild>
        <w:div w:id="1387141114">
          <w:marLeft w:val="0"/>
          <w:marRight w:val="0"/>
          <w:marTop w:val="0"/>
          <w:marBottom w:val="180"/>
          <w:divBdr>
            <w:top w:val="none" w:sz="0" w:space="0" w:color="auto"/>
            <w:left w:val="none" w:sz="0" w:space="0" w:color="auto"/>
            <w:bottom w:val="none" w:sz="0" w:space="0" w:color="auto"/>
            <w:right w:val="none" w:sz="0" w:space="0" w:color="auto"/>
          </w:divBdr>
        </w:div>
      </w:divsChild>
    </w:div>
    <w:div w:id="848446381">
      <w:marLeft w:val="0"/>
      <w:marRight w:val="0"/>
      <w:marTop w:val="0"/>
      <w:marBottom w:val="180"/>
      <w:divBdr>
        <w:top w:val="none" w:sz="0" w:space="0" w:color="auto"/>
        <w:left w:val="none" w:sz="0" w:space="0" w:color="auto"/>
        <w:bottom w:val="none" w:sz="0" w:space="0" w:color="auto"/>
        <w:right w:val="none" w:sz="0" w:space="0" w:color="auto"/>
      </w:divBdr>
    </w:div>
    <w:div w:id="849174272">
      <w:marLeft w:val="0"/>
      <w:marRight w:val="0"/>
      <w:marTop w:val="120"/>
      <w:marBottom w:val="180"/>
      <w:divBdr>
        <w:top w:val="none" w:sz="0" w:space="0" w:color="auto"/>
        <w:left w:val="none" w:sz="0" w:space="0" w:color="auto"/>
        <w:bottom w:val="none" w:sz="0" w:space="0" w:color="auto"/>
        <w:right w:val="none" w:sz="0" w:space="0" w:color="auto"/>
      </w:divBdr>
    </w:div>
    <w:div w:id="850488274">
      <w:marLeft w:val="0"/>
      <w:marRight w:val="0"/>
      <w:marTop w:val="0"/>
      <w:marBottom w:val="0"/>
      <w:divBdr>
        <w:top w:val="none" w:sz="0" w:space="0" w:color="auto"/>
        <w:left w:val="none" w:sz="0" w:space="0" w:color="auto"/>
        <w:bottom w:val="none" w:sz="0" w:space="0" w:color="auto"/>
        <w:right w:val="none" w:sz="0" w:space="0" w:color="auto"/>
      </w:divBdr>
    </w:div>
    <w:div w:id="850950152">
      <w:marLeft w:val="0"/>
      <w:marRight w:val="0"/>
      <w:marTop w:val="100"/>
      <w:marBottom w:val="100"/>
      <w:divBdr>
        <w:top w:val="none" w:sz="0" w:space="0" w:color="auto"/>
        <w:left w:val="none" w:sz="0" w:space="0" w:color="auto"/>
        <w:bottom w:val="none" w:sz="0" w:space="0" w:color="auto"/>
        <w:right w:val="none" w:sz="0" w:space="0" w:color="auto"/>
      </w:divBdr>
    </w:div>
    <w:div w:id="852954365">
      <w:marLeft w:val="0"/>
      <w:marRight w:val="0"/>
      <w:marTop w:val="0"/>
      <w:marBottom w:val="0"/>
      <w:divBdr>
        <w:top w:val="none" w:sz="0" w:space="0" w:color="auto"/>
        <w:left w:val="none" w:sz="0" w:space="0" w:color="auto"/>
        <w:bottom w:val="none" w:sz="0" w:space="0" w:color="auto"/>
        <w:right w:val="none" w:sz="0" w:space="0" w:color="auto"/>
      </w:divBdr>
    </w:div>
    <w:div w:id="855770618">
      <w:marLeft w:val="0"/>
      <w:marRight w:val="0"/>
      <w:marTop w:val="0"/>
      <w:marBottom w:val="0"/>
      <w:divBdr>
        <w:top w:val="none" w:sz="0" w:space="0" w:color="auto"/>
        <w:left w:val="none" w:sz="0" w:space="0" w:color="auto"/>
        <w:bottom w:val="none" w:sz="0" w:space="0" w:color="auto"/>
        <w:right w:val="none" w:sz="0" w:space="0" w:color="auto"/>
      </w:divBdr>
      <w:divsChild>
        <w:div w:id="2143845816">
          <w:marLeft w:val="0"/>
          <w:marRight w:val="0"/>
          <w:marTop w:val="0"/>
          <w:marBottom w:val="0"/>
          <w:divBdr>
            <w:top w:val="none" w:sz="0" w:space="0" w:color="auto"/>
            <w:left w:val="none" w:sz="0" w:space="0" w:color="auto"/>
            <w:bottom w:val="none" w:sz="0" w:space="0" w:color="auto"/>
            <w:right w:val="none" w:sz="0" w:space="0" w:color="auto"/>
          </w:divBdr>
        </w:div>
      </w:divsChild>
    </w:div>
    <w:div w:id="857239061">
      <w:marLeft w:val="0"/>
      <w:marRight w:val="0"/>
      <w:marTop w:val="0"/>
      <w:marBottom w:val="180"/>
      <w:divBdr>
        <w:top w:val="none" w:sz="0" w:space="0" w:color="auto"/>
        <w:left w:val="none" w:sz="0" w:space="0" w:color="auto"/>
        <w:bottom w:val="none" w:sz="0" w:space="0" w:color="auto"/>
        <w:right w:val="none" w:sz="0" w:space="0" w:color="auto"/>
      </w:divBdr>
    </w:div>
    <w:div w:id="859512982">
      <w:marLeft w:val="0"/>
      <w:marRight w:val="0"/>
      <w:marTop w:val="0"/>
      <w:marBottom w:val="0"/>
      <w:divBdr>
        <w:top w:val="none" w:sz="0" w:space="0" w:color="auto"/>
        <w:left w:val="none" w:sz="0" w:space="0" w:color="auto"/>
        <w:bottom w:val="none" w:sz="0" w:space="0" w:color="auto"/>
        <w:right w:val="none" w:sz="0" w:space="0" w:color="auto"/>
      </w:divBdr>
      <w:divsChild>
        <w:div w:id="858347974">
          <w:marLeft w:val="0"/>
          <w:marRight w:val="0"/>
          <w:marTop w:val="0"/>
          <w:marBottom w:val="0"/>
          <w:divBdr>
            <w:top w:val="none" w:sz="0" w:space="0" w:color="auto"/>
            <w:left w:val="none" w:sz="0" w:space="0" w:color="auto"/>
            <w:bottom w:val="none" w:sz="0" w:space="0" w:color="auto"/>
            <w:right w:val="none" w:sz="0" w:space="0" w:color="auto"/>
          </w:divBdr>
        </w:div>
      </w:divsChild>
    </w:div>
    <w:div w:id="860124275">
      <w:marLeft w:val="0"/>
      <w:marRight w:val="0"/>
      <w:marTop w:val="0"/>
      <w:marBottom w:val="0"/>
      <w:divBdr>
        <w:top w:val="none" w:sz="0" w:space="0" w:color="auto"/>
        <w:left w:val="none" w:sz="0" w:space="0" w:color="auto"/>
        <w:bottom w:val="none" w:sz="0" w:space="0" w:color="auto"/>
        <w:right w:val="none" w:sz="0" w:space="0" w:color="auto"/>
      </w:divBdr>
      <w:divsChild>
        <w:div w:id="1675375911">
          <w:marLeft w:val="0"/>
          <w:marRight w:val="0"/>
          <w:marTop w:val="0"/>
          <w:marBottom w:val="0"/>
          <w:divBdr>
            <w:top w:val="none" w:sz="0" w:space="0" w:color="auto"/>
            <w:left w:val="none" w:sz="0" w:space="0" w:color="auto"/>
            <w:bottom w:val="none" w:sz="0" w:space="0" w:color="auto"/>
            <w:right w:val="none" w:sz="0" w:space="0" w:color="auto"/>
          </w:divBdr>
        </w:div>
      </w:divsChild>
    </w:div>
    <w:div w:id="861284764">
      <w:marLeft w:val="0"/>
      <w:marRight w:val="0"/>
      <w:marTop w:val="0"/>
      <w:marBottom w:val="180"/>
      <w:divBdr>
        <w:top w:val="none" w:sz="0" w:space="0" w:color="auto"/>
        <w:left w:val="none" w:sz="0" w:space="0" w:color="auto"/>
        <w:bottom w:val="none" w:sz="0" w:space="0" w:color="auto"/>
        <w:right w:val="none" w:sz="0" w:space="0" w:color="auto"/>
      </w:divBdr>
    </w:div>
    <w:div w:id="861481432">
      <w:marLeft w:val="0"/>
      <w:marRight w:val="0"/>
      <w:marTop w:val="0"/>
      <w:marBottom w:val="0"/>
      <w:divBdr>
        <w:top w:val="none" w:sz="0" w:space="0" w:color="auto"/>
        <w:left w:val="none" w:sz="0" w:space="0" w:color="auto"/>
        <w:bottom w:val="none" w:sz="0" w:space="0" w:color="auto"/>
        <w:right w:val="none" w:sz="0" w:space="0" w:color="auto"/>
      </w:divBdr>
      <w:divsChild>
        <w:div w:id="1609851799">
          <w:marLeft w:val="0"/>
          <w:marRight w:val="0"/>
          <w:marTop w:val="0"/>
          <w:marBottom w:val="0"/>
          <w:divBdr>
            <w:top w:val="none" w:sz="0" w:space="0" w:color="auto"/>
            <w:left w:val="none" w:sz="0" w:space="0" w:color="auto"/>
            <w:bottom w:val="none" w:sz="0" w:space="0" w:color="auto"/>
            <w:right w:val="none" w:sz="0" w:space="0" w:color="auto"/>
          </w:divBdr>
        </w:div>
      </w:divsChild>
    </w:div>
    <w:div w:id="862549492">
      <w:marLeft w:val="0"/>
      <w:marRight w:val="0"/>
      <w:marTop w:val="120"/>
      <w:marBottom w:val="240"/>
      <w:divBdr>
        <w:top w:val="none" w:sz="0" w:space="0" w:color="auto"/>
        <w:left w:val="none" w:sz="0" w:space="0" w:color="auto"/>
        <w:bottom w:val="none" w:sz="0" w:space="0" w:color="auto"/>
        <w:right w:val="none" w:sz="0" w:space="0" w:color="auto"/>
      </w:divBdr>
    </w:div>
    <w:div w:id="863175919">
      <w:marLeft w:val="0"/>
      <w:marRight w:val="0"/>
      <w:marTop w:val="0"/>
      <w:marBottom w:val="180"/>
      <w:divBdr>
        <w:top w:val="none" w:sz="0" w:space="0" w:color="auto"/>
        <w:left w:val="none" w:sz="0" w:space="0" w:color="auto"/>
        <w:bottom w:val="none" w:sz="0" w:space="0" w:color="auto"/>
        <w:right w:val="none" w:sz="0" w:space="0" w:color="auto"/>
      </w:divBdr>
    </w:div>
    <w:div w:id="865143616">
      <w:marLeft w:val="0"/>
      <w:marRight w:val="0"/>
      <w:marTop w:val="0"/>
      <w:marBottom w:val="240"/>
      <w:divBdr>
        <w:top w:val="none" w:sz="0" w:space="0" w:color="auto"/>
        <w:left w:val="none" w:sz="0" w:space="0" w:color="auto"/>
        <w:bottom w:val="none" w:sz="0" w:space="0" w:color="auto"/>
        <w:right w:val="none" w:sz="0" w:space="0" w:color="auto"/>
      </w:divBdr>
    </w:div>
    <w:div w:id="865412413">
      <w:marLeft w:val="0"/>
      <w:marRight w:val="0"/>
      <w:marTop w:val="0"/>
      <w:marBottom w:val="240"/>
      <w:divBdr>
        <w:top w:val="none" w:sz="0" w:space="0" w:color="auto"/>
        <w:left w:val="none" w:sz="0" w:space="0" w:color="auto"/>
        <w:bottom w:val="none" w:sz="0" w:space="0" w:color="auto"/>
        <w:right w:val="none" w:sz="0" w:space="0" w:color="auto"/>
      </w:divBdr>
    </w:div>
    <w:div w:id="865798724">
      <w:marLeft w:val="0"/>
      <w:marRight w:val="0"/>
      <w:marTop w:val="180"/>
      <w:marBottom w:val="180"/>
      <w:divBdr>
        <w:top w:val="none" w:sz="0" w:space="0" w:color="auto"/>
        <w:left w:val="none" w:sz="0" w:space="0" w:color="auto"/>
        <w:bottom w:val="none" w:sz="0" w:space="0" w:color="auto"/>
        <w:right w:val="none" w:sz="0" w:space="0" w:color="auto"/>
      </w:divBdr>
    </w:div>
    <w:div w:id="867065870">
      <w:marLeft w:val="0"/>
      <w:marRight w:val="0"/>
      <w:marTop w:val="0"/>
      <w:marBottom w:val="0"/>
      <w:divBdr>
        <w:top w:val="none" w:sz="0" w:space="0" w:color="auto"/>
        <w:left w:val="none" w:sz="0" w:space="0" w:color="auto"/>
        <w:bottom w:val="none" w:sz="0" w:space="0" w:color="auto"/>
        <w:right w:val="none" w:sz="0" w:space="0" w:color="auto"/>
      </w:divBdr>
    </w:div>
    <w:div w:id="867571082">
      <w:marLeft w:val="0"/>
      <w:marRight w:val="0"/>
      <w:marTop w:val="120"/>
      <w:marBottom w:val="240"/>
      <w:divBdr>
        <w:top w:val="none" w:sz="0" w:space="0" w:color="auto"/>
        <w:left w:val="none" w:sz="0" w:space="0" w:color="auto"/>
        <w:bottom w:val="none" w:sz="0" w:space="0" w:color="auto"/>
        <w:right w:val="none" w:sz="0" w:space="0" w:color="auto"/>
      </w:divBdr>
    </w:div>
    <w:div w:id="871109231">
      <w:marLeft w:val="0"/>
      <w:marRight w:val="0"/>
      <w:marTop w:val="0"/>
      <w:marBottom w:val="240"/>
      <w:divBdr>
        <w:top w:val="none" w:sz="0" w:space="0" w:color="auto"/>
        <w:left w:val="none" w:sz="0" w:space="0" w:color="auto"/>
        <w:bottom w:val="none" w:sz="0" w:space="0" w:color="auto"/>
        <w:right w:val="none" w:sz="0" w:space="0" w:color="auto"/>
      </w:divBdr>
    </w:div>
    <w:div w:id="871503297">
      <w:marLeft w:val="0"/>
      <w:marRight w:val="0"/>
      <w:marTop w:val="0"/>
      <w:marBottom w:val="0"/>
      <w:divBdr>
        <w:top w:val="none" w:sz="0" w:space="0" w:color="auto"/>
        <w:left w:val="none" w:sz="0" w:space="0" w:color="auto"/>
        <w:bottom w:val="none" w:sz="0" w:space="0" w:color="auto"/>
        <w:right w:val="none" w:sz="0" w:space="0" w:color="auto"/>
      </w:divBdr>
    </w:div>
    <w:div w:id="871959800">
      <w:marLeft w:val="0"/>
      <w:marRight w:val="0"/>
      <w:marTop w:val="100"/>
      <w:marBottom w:val="100"/>
      <w:divBdr>
        <w:top w:val="none" w:sz="0" w:space="0" w:color="auto"/>
        <w:left w:val="none" w:sz="0" w:space="0" w:color="auto"/>
        <w:bottom w:val="none" w:sz="0" w:space="0" w:color="auto"/>
        <w:right w:val="none" w:sz="0" w:space="0" w:color="auto"/>
      </w:divBdr>
      <w:divsChild>
        <w:div w:id="1514103465">
          <w:marLeft w:val="0"/>
          <w:marRight w:val="0"/>
          <w:marTop w:val="0"/>
          <w:marBottom w:val="0"/>
          <w:divBdr>
            <w:top w:val="none" w:sz="0" w:space="0" w:color="auto"/>
            <w:left w:val="none" w:sz="0" w:space="0" w:color="auto"/>
            <w:bottom w:val="none" w:sz="0" w:space="0" w:color="auto"/>
            <w:right w:val="none" w:sz="0" w:space="0" w:color="auto"/>
          </w:divBdr>
        </w:div>
        <w:div w:id="66879099">
          <w:marLeft w:val="0"/>
          <w:marRight w:val="0"/>
          <w:marTop w:val="0"/>
          <w:marBottom w:val="0"/>
          <w:divBdr>
            <w:top w:val="none" w:sz="0" w:space="0" w:color="auto"/>
            <w:left w:val="none" w:sz="0" w:space="0" w:color="auto"/>
            <w:bottom w:val="none" w:sz="0" w:space="0" w:color="auto"/>
            <w:right w:val="none" w:sz="0" w:space="0" w:color="auto"/>
          </w:divBdr>
        </w:div>
      </w:divsChild>
    </w:div>
    <w:div w:id="872693629">
      <w:marLeft w:val="0"/>
      <w:marRight w:val="0"/>
      <w:marTop w:val="0"/>
      <w:marBottom w:val="0"/>
      <w:divBdr>
        <w:top w:val="none" w:sz="0" w:space="0" w:color="auto"/>
        <w:left w:val="none" w:sz="0" w:space="0" w:color="auto"/>
        <w:bottom w:val="none" w:sz="0" w:space="0" w:color="auto"/>
        <w:right w:val="none" w:sz="0" w:space="0" w:color="auto"/>
      </w:divBdr>
      <w:divsChild>
        <w:div w:id="785537385">
          <w:marLeft w:val="0"/>
          <w:marRight w:val="0"/>
          <w:marTop w:val="0"/>
          <w:marBottom w:val="0"/>
          <w:divBdr>
            <w:top w:val="none" w:sz="0" w:space="0" w:color="auto"/>
            <w:left w:val="none" w:sz="0" w:space="0" w:color="auto"/>
            <w:bottom w:val="none" w:sz="0" w:space="0" w:color="auto"/>
            <w:right w:val="none" w:sz="0" w:space="0" w:color="auto"/>
          </w:divBdr>
        </w:div>
      </w:divsChild>
    </w:div>
    <w:div w:id="874540001">
      <w:marLeft w:val="0"/>
      <w:marRight w:val="0"/>
      <w:marTop w:val="0"/>
      <w:marBottom w:val="0"/>
      <w:divBdr>
        <w:top w:val="none" w:sz="0" w:space="0" w:color="auto"/>
        <w:left w:val="none" w:sz="0" w:space="0" w:color="auto"/>
        <w:bottom w:val="none" w:sz="0" w:space="0" w:color="auto"/>
        <w:right w:val="none" w:sz="0" w:space="0" w:color="auto"/>
      </w:divBdr>
      <w:divsChild>
        <w:div w:id="1427382409">
          <w:marLeft w:val="0"/>
          <w:marRight w:val="0"/>
          <w:marTop w:val="0"/>
          <w:marBottom w:val="0"/>
          <w:divBdr>
            <w:top w:val="none" w:sz="0" w:space="0" w:color="auto"/>
            <w:left w:val="none" w:sz="0" w:space="0" w:color="auto"/>
            <w:bottom w:val="none" w:sz="0" w:space="0" w:color="auto"/>
            <w:right w:val="none" w:sz="0" w:space="0" w:color="auto"/>
          </w:divBdr>
        </w:div>
      </w:divsChild>
    </w:div>
    <w:div w:id="878474008">
      <w:marLeft w:val="0"/>
      <w:marRight w:val="0"/>
      <w:marTop w:val="0"/>
      <w:marBottom w:val="180"/>
      <w:divBdr>
        <w:top w:val="none" w:sz="0" w:space="0" w:color="auto"/>
        <w:left w:val="none" w:sz="0" w:space="0" w:color="auto"/>
        <w:bottom w:val="none" w:sz="0" w:space="0" w:color="auto"/>
        <w:right w:val="none" w:sz="0" w:space="0" w:color="auto"/>
      </w:divBdr>
    </w:div>
    <w:div w:id="878661162">
      <w:marLeft w:val="0"/>
      <w:marRight w:val="0"/>
      <w:marTop w:val="0"/>
      <w:marBottom w:val="240"/>
      <w:divBdr>
        <w:top w:val="none" w:sz="0" w:space="0" w:color="auto"/>
        <w:left w:val="none" w:sz="0" w:space="0" w:color="auto"/>
        <w:bottom w:val="none" w:sz="0" w:space="0" w:color="auto"/>
        <w:right w:val="none" w:sz="0" w:space="0" w:color="auto"/>
      </w:divBdr>
    </w:div>
    <w:div w:id="879362164">
      <w:marLeft w:val="0"/>
      <w:marRight w:val="0"/>
      <w:marTop w:val="120"/>
      <w:marBottom w:val="180"/>
      <w:divBdr>
        <w:top w:val="none" w:sz="0" w:space="0" w:color="auto"/>
        <w:left w:val="none" w:sz="0" w:space="0" w:color="auto"/>
        <w:bottom w:val="none" w:sz="0" w:space="0" w:color="auto"/>
        <w:right w:val="none" w:sz="0" w:space="0" w:color="auto"/>
      </w:divBdr>
    </w:div>
    <w:div w:id="879973152">
      <w:marLeft w:val="0"/>
      <w:marRight w:val="0"/>
      <w:marTop w:val="0"/>
      <w:marBottom w:val="240"/>
      <w:divBdr>
        <w:top w:val="none" w:sz="0" w:space="0" w:color="auto"/>
        <w:left w:val="none" w:sz="0" w:space="0" w:color="auto"/>
        <w:bottom w:val="none" w:sz="0" w:space="0" w:color="auto"/>
        <w:right w:val="none" w:sz="0" w:space="0" w:color="auto"/>
      </w:divBdr>
    </w:div>
    <w:div w:id="883058969">
      <w:marLeft w:val="0"/>
      <w:marRight w:val="0"/>
      <w:marTop w:val="0"/>
      <w:marBottom w:val="60"/>
      <w:divBdr>
        <w:top w:val="none" w:sz="0" w:space="0" w:color="auto"/>
        <w:left w:val="none" w:sz="0" w:space="0" w:color="auto"/>
        <w:bottom w:val="none" w:sz="0" w:space="0" w:color="auto"/>
        <w:right w:val="none" w:sz="0" w:space="0" w:color="auto"/>
      </w:divBdr>
    </w:div>
    <w:div w:id="883104105">
      <w:marLeft w:val="0"/>
      <w:marRight w:val="0"/>
      <w:marTop w:val="0"/>
      <w:marBottom w:val="0"/>
      <w:divBdr>
        <w:top w:val="none" w:sz="0" w:space="0" w:color="auto"/>
        <w:left w:val="none" w:sz="0" w:space="0" w:color="auto"/>
        <w:bottom w:val="none" w:sz="0" w:space="0" w:color="auto"/>
        <w:right w:val="none" w:sz="0" w:space="0" w:color="auto"/>
      </w:divBdr>
    </w:div>
    <w:div w:id="885147087">
      <w:marLeft w:val="0"/>
      <w:marRight w:val="0"/>
      <w:marTop w:val="0"/>
      <w:marBottom w:val="180"/>
      <w:divBdr>
        <w:top w:val="none" w:sz="0" w:space="0" w:color="auto"/>
        <w:left w:val="none" w:sz="0" w:space="0" w:color="auto"/>
        <w:bottom w:val="none" w:sz="0" w:space="0" w:color="auto"/>
        <w:right w:val="none" w:sz="0" w:space="0" w:color="auto"/>
      </w:divBdr>
    </w:div>
    <w:div w:id="885600695">
      <w:marLeft w:val="0"/>
      <w:marRight w:val="0"/>
      <w:marTop w:val="0"/>
      <w:marBottom w:val="0"/>
      <w:divBdr>
        <w:top w:val="none" w:sz="0" w:space="0" w:color="auto"/>
        <w:left w:val="none" w:sz="0" w:space="0" w:color="auto"/>
        <w:bottom w:val="none" w:sz="0" w:space="0" w:color="auto"/>
        <w:right w:val="none" w:sz="0" w:space="0" w:color="auto"/>
      </w:divBdr>
    </w:div>
    <w:div w:id="893850018">
      <w:marLeft w:val="0"/>
      <w:marRight w:val="0"/>
      <w:marTop w:val="0"/>
      <w:marBottom w:val="0"/>
      <w:divBdr>
        <w:top w:val="none" w:sz="0" w:space="0" w:color="auto"/>
        <w:left w:val="none" w:sz="0" w:space="0" w:color="auto"/>
        <w:bottom w:val="none" w:sz="0" w:space="0" w:color="auto"/>
        <w:right w:val="none" w:sz="0" w:space="0" w:color="auto"/>
      </w:divBdr>
      <w:divsChild>
        <w:div w:id="1458254980">
          <w:marLeft w:val="0"/>
          <w:marRight w:val="0"/>
          <w:marTop w:val="0"/>
          <w:marBottom w:val="0"/>
          <w:divBdr>
            <w:top w:val="none" w:sz="0" w:space="0" w:color="auto"/>
            <w:left w:val="none" w:sz="0" w:space="0" w:color="auto"/>
            <w:bottom w:val="none" w:sz="0" w:space="0" w:color="auto"/>
            <w:right w:val="none" w:sz="0" w:space="0" w:color="auto"/>
          </w:divBdr>
        </w:div>
      </w:divsChild>
    </w:div>
    <w:div w:id="894243893">
      <w:marLeft w:val="0"/>
      <w:marRight w:val="0"/>
      <w:marTop w:val="0"/>
      <w:marBottom w:val="180"/>
      <w:divBdr>
        <w:top w:val="none" w:sz="0" w:space="0" w:color="auto"/>
        <w:left w:val="none" w:sz="0" w:space="0" w:color="auto"/>
        <w:bottom w:val="none" w:sz="0" w:space="0" w:color="auto"/>
        <w:right w:val="none" w:sz="0" w:space="0" w:color="auto"/>
      </w:divBdr>
    </w:div>
    <w:div w:id="895624251">
      <w:marLeft w:val="0"/>
      <w:marRight w:val="0"/>
      <w:marTop w:val="0"/>
      <w:marBottom w:val="0"/>
      <w:divBdr>
        <w:top w:val="none" w:sz="0" w:space="0" w:color="auto"/>
        <w:left w:val="none" w:sz="0" w:space="0" w:color="auto"/>
        <w:bottom w:val="none" w:sz="0" w:space="0" w:color="auto"/>
        <w:right w:val="none" w:sz="0" w:space="0" w:color="auto"/>
      </w:divBdr>
    </w:div>
    <w:div w:id="895774824">
      <w:marLeft w:val="0"/>
      <w:marRight w:val="0"/>
      <w:marTop w:val="120"/>
      <w:marBottom w:val="120"/>
      <w:divBdr>
        <w:top w:val="none" w:sz="0" w:space="0" w:color="auto"/>
        <w:left w:val="none" w:sz="0" w:space="0" w:color="auto"/>
        <w:bottom w:val="none" w:sz="0" w:space="0" w:color="auto"/>
        <w:right w:val="none" w:sz="0" w:space="0" w:color="auto"/>
      </w:divBdr>
    </w:div>
    <w:div w:id="897087649">
      <w:marLeft w:val="0"/>
      <w:marRight w:val="0"/>
      <w:marTop w:val="100"/>
      <w:marBottom w:val="100"/>
      <w:divBdr>
        <w:top w:val="none" w:sz="0" w:space="0" w:color="auto"/>
        <w:left w:val="none" w:sz="0" w:space="0" w:color="auto"/>
        <w:bottom w:val="none" w:sz="0" w:space="0" w:color="auto"/>
        <w:right w:val="none" w:sz="0" w:space="0" w:color="auto"/>
      </w:divBdr>
    </w:div>
    <w:div w:id="899368106">
      <w:marLeft w:val="0"/>
      <w:marRight w:val="0"/>
      <w:marTop w:val="0"/>
      <w:marBottom w:val="0"/>
      <w:divBdr>
        <w:top w:val="none" w:sz="0" w:space="0" w:color="auto"/>
        <w:left w:val="none" w:sz="0" w:space="0" w:color="auto"/>
        <w:bottom w:val="none" w:sz="0" w:space="0" w:color="auto"/>
        <w:right w:val="none" w:sz="0" w:space="0" w:color="auto"/>
      </w:divBdr>
    </w:div>
    <w:div w:id="899556524">
      <w:marLeft w:val="0"/>
      <w:marRight w:val="0"/>
      <w:marTop w:val="0"/>
      <w:marBottom w:val="0"/>
      <w:divBdr>
        <w:top w:val="none" w:sz="0" w:space="0" w:color="auto"/>
        <w:left w:val="none" w:sz="0" w:space="0" w:color="auto"/>
        <w:bottom w:val="none" w:sz="0" w:space="0" w:color="auto"/>
        <w:right w:val="none" w:sz="0" w:space="0" w:color="auto"/>
      </w:divBdr>
    </w:div>
    <w:div w:id="900167001">
      <w:marLeft w:val="0"/>
      <w:marRight w:val="0"/>
      <w:marTop w:val="0"/>
      <w:marBottom w:val="0"/>
      <w:divBdr>
        <w:top w:val="none" w:sz="0" w:space="0" w:color="auto"/>
        <w:left w:val="none" w:sz="0" w:space="0" w:color="auto"/>
        <w:bottom w:val="none" w:sz="0" w:space="0" w:color="auto"/>
        <w:right w:val="none" w:sz="0" w:space="0" w:color="auto"/>
      </w:divBdr>
      <w:divsChild>
        <w:div w:id="1320771679">
          <w:marLeft w:val="0"/>
          <w:marRight w:val="0"/>
          <w:marTop w:val="0"/>
          <w:marBottom w:val="0"/>
          <w:divBdr>
            <w:top w:val="none" w:sz="0" w:space="0" w:color="auto"/>
            <w:left w:val="none" w:sz="0" w:space="0" w:color="auto"/>
            <w:bottom w:val="none" w:sz="0" w:space="0" w:color="auto"/>
            <w:right w:val="none" w:sz="0" w:space="0" w:color="auto"/>
          </w:divBdr>
        </w:div>
      </w:divsChild>
    </w:div>
    <w:div w:id="900796767">
      <w:marLeft w:val="0"/>
      <w:marRight w:val="0"/>
      <w:marTop w:val="0"/>
      <w:marBottom w:val="240"/>
      <w:divBdr>
        <w:top w:val="none" w:sz="0" w:space="0" w:color="auto"/>
        <w:left w:val="none" w:sz="0" w:space="0" w:color="auto"/>
        <w:bottom w:val="none" w:sz="0" w:space="0" w:color="auto"/>
        <w:right w:val="none" w:sz="0" w:space="0" w:color="auto"/>
      </w:divBdr>
    </w:div>
    <w:div w:id="900865841">
      <w:marLeft w:val="0"/>
      <w:marRight w:val="0"/>
      <w:marTop w:val="120"/>
      <w:marBottom w:val="180"/>
      <w:divBdr>
        <w:top w:val="none" w:sz="0" w:space="0" w:color="auto"/>
        <w:left w:val="none" w:sz="0" w:space="0" w:color="auto"/>
        <w:bottom w:val="none" w:sz="0" w:space="0" w:color="auto"/>
        <w:right w:val="none" w:sz="0" w:space="0" w:color="auto"/>
      </w:divBdr>
    </w:div>
    <w:div w:id="901326846">
      <w:marLeft w:val="0"/>
      <w:marRight w:val="0"/>
      <w:marTop w:val="0"/>
      <w:marBottom w:val="0"/>
      <w:divBdr>
        <w:top w:val="none" w:sz="0" w:space="0" w:color="auto"/>
        <w:left w:val="none" w:sz="0" w:space="0" w:color="auto"/>
        <w:bottom w:val="none" w:sz="0" w:space="0" w:color="auto"/>
        <w:right w:val="none" w:sz="0" w:space="0" w:color="auto"/>
      </w:divBdr>
      <w:divsChild>
        <w:div w:id="1766612439">
          <w:marLeft w:val="0"/>
          <w:marRight w:val="0"/>
          <w:marTop w:val="0"/>
          <w:marBottom w:val="0"/>
          <w:divBdr>
            <w:top w:val="none" w:sz="0" w:space="0" w:color="auto"/>
            <w:left w:val="none" w:sz="0" w:space="0" w:color="auto"/>
            <w:bottom w:val="none" w:sz="0" w:space="0" w:color="auto"/>
            <w:right w:val="none" w:sz="0" w:space="0" w:color="auto"/>
          </w:divBdr>
        </w:div>
      </w:divsChild>
    </w:div>
    <w:div w:id="901791866">
      <w:marLeft w:val="0"/>
      <w:marRight w:val="0"/>
      <w:marTop w:val="120"/>
      <w:marBottom w:val="120"/>
      <w:divBdr>
        <w:top w:val="none" w:sz="0" w:space="0" w:color="auto"/>
        <w:left w:val="none" w:sz="0" w:space="0" w:color="auto"/>
        <w:bottom w:val="none" w:sz="0" w:space="0" w:color="auto"/>
        <w:right w:val="none" w:sz="0" w:space="0" w:color="auto"/>
      </w:divBdr>
    </w:div>
    <w:div w:id="905142507">
      <w:marLeft w:val="0"/>
      <w:marRight w:val="0"/>
      <w:marTop w:val="120"/>
      <w:marBottom w:val="120"/>
      <w:divBdr>
        <w:top w:val="none" w:sz="0" w:space="0" w:color="auto"/>
        <w:left w:val="none" w:sz="0" w:space="0" w:color="auto"/>
        <w:bottom w:val="none" w:sz="0" w:space="0" w:color="auto"/>
        <w:right w:val="none" w:sz="0" w:space="0" w:color="auto"/>
      </w:divBdr>
    </w:div>
    <w:div w:id="905840539">
      <w:marLeft w:val="0"/>
      <w:marRight w:val="0"/>
      <w:marTop w:val="120"/>
      <w:marBottom w:val="120"/>
      <w:divBdr>
        <w:top w:val="none" w:sz="0" w:space="0" w:color="auto"/>
        <w:left w:val="none" w:sz="0" w:space="0" w:color="auto"/>
        <w:bottom w:val="none" w:sz="0" w:space="0" w:color="auto"/>
        <w:right w:val="none" w:sz="0" w:space="0" w:color="auto"/>
      </w:divBdr>
    </w:div>
    <w:div w:id="910040971">
      <w:marLeft w:val="0"/>
      <w:marRight w:val="0"/>
      <w:marTop w:val="60"/>
      <w:marBottom w:val="120"/>
      <w:divBdr>
        <w:top w:val="none" w:sz="0" w:space="0" w:color="auto"/>
        <w:left w:val="none" w:sz="0" w:space="0" w:color="auto"/>
        <w:bottom w:val="none" w:sz="0" w:space="0" w:color="auto"/>
        <w:right w:val="none" w:sz="0" w:space="0" w:color="auto"/>
      </w:divBdr>
    </w:div>
    <w:div w:id="912590413">
      <w:marLeft w:val="0"/>
      <w:marRight w:val="0"/>
      <w:marTop w:val="0"/>
      <w:marBottom w:val="0"/>
      <w:divBdr>
        <w:top w:val="none" w:sz="0" w:space="0" w:color="auto"/>
        <w:left w:val="none" w:sz="0" w:space="0" w:color="auto"/>
        <w:bottom w:val="none" w:sz="0" w:space="0" w:color="auto"/>
        <w:right w:val="none" w:sz="0" w:space="0" w:color="auto"/>
      </w:divBdr>
    </w:div>
    <w:div w:id="913860858">
      <w:marLeft w:val="0"/>
      <w:marRight w:val="0"/>
      <w:marTop w:val="0"/>
      <w:marBottom w:val="240"/>
      <w:divBdr>
        <w:top w:val="none" w:sz="0" w:space="0" w:color="auto"/>
        <w:left w:val="none" w:sz="0" w:space="0" w:color="auto"/>
        <w:bottom w:val="none" w:sz="0" w:space="0" w:color="auto"/>
        <w:right w:val="none" w:sz="0" w:space="0" w:color="auto"/>
      </w:divBdr>
    </w:div>
    <w:div w:id="917791538">
      <w:marLeft w:val="0"/>
      <w:marRight w:val="0"/>
      <w:marTop w:val="0"/>
      <w:marBottom w:val="0"/>
      <w:divBdr>
        <w:top w:val="none" w:sz="0" w:space="0" w:color="auto"/>
        <w:left w:val="none" w:sz="0" w:space="0" w:color="auto"/>
        <w:bottom w:val="none" w:sz="0" w:space="0" w:color="auto"/>
        <w:right w:val="none" w:sz="0" w:space="0" w:color="auto"/>
      </w:divBdr>
    </w:div>
    <w:div w:id="918448301">
      <w:marLeft w:val="0"/>
      <w:marRight w:val="0"/>
      <w:marTop w:val="0"/>
      <w:marBottom w:val="0"/>
      <w:divBdr>
        <w:top w:val="none" w:sz="0" w:space="0" w:color="auto"/>
        <w:left w:val="none" w:sz="0" w:space="0" w:color="auto"/>
        <w:bottom w:val="none" w:sz="0" w:space="0" w:color="auto"/>
        <w:right w:val="none" w:sz="0" w:space="0" w:color="auto"/>
      </w:divBdr>
      <w:divsChild>
        <w:div w:id="1162164696">
          <w:marLeft w:val="0"/>
          <w:marRight w:val="0"/>
          <w:marTop w:val="0"/>
          <w:marBottom w:val="0"/>
          <w:divBdr>
            <w:top w:val="none" w:sz="0" w:space="0" w:color="auto"/>
            <w:left w:val="none" w:sz="0" w:space="0" w:color="auto"/>
            <w:bottom w:val="none" w:sz="0" w:space="0" w:color="auto"/>
            <w:right w:val="none" w:sz="0" w:space="0" w:color="auto"/>
          </w:divBdr>
        </w:div>
      </w:divsChild>
    </w:div>
    <w:div w:id="918634748">
      <w:marLeft w:val="0"/>
      <w:marRight w:val="0"/>
      <w:marTop w:val="0"/>
      <w:marBottom w:val="180"/>
      <w:divBdr>
        <w:top w:val="none" w:sz="0" w:space="0" w:color="auto"/>
        <w:left w:val="none" w:sz="0" w:space="0" w:color="auto"/>
        <w:bottom w:val="none" w:sz="0" w:space="0" w:color="auto"/>
        <w:right w:val="none" w:sz="0" w:space="0" w:color="auto"/>
      </w:divBdr>
    </w:div>
    <w:div w:id="918907756">
      <w:marLeft w:val="0"/>
      <w:marRight w:val="0"/>
      <w:marTop w:val="180"/>
      <w:marBottom w:val="180"/>
      <w:divBdr>
        <w:top w:val="none" w:sz="0" w:space="0" w:color="auto"/>
        <w:left w:val="none" w:sz="0" w:space="0" w:color="auto"/>
        <w:bottom w:val="none" w:sz="0" w:space="0" w:color="auto"/>
        <w:right w:val="none" w:sz="0" w:space="0" w:color="auto"/>
      </w:divBdr>
    </w:div>
    <w:div w:id="920137693">
      <w:marLeft w:val="0"/>
      <w:marRight w:val="0"/>
      <w:marTop w:val="180"/>
      <w:marBottom w:val="180"/>
      <w:divBdr>
        <w:top w:val="none" w:sz="0" w:space="0" w:color="auto"/>
        <w:left w:val="none" w:sz="0" w:space="0" w:color="auto"/>
        <w:bottom w:val="none" w:sz="0" w:space="0" w:color="auto"/>
        <w:right w:val="none" w:sz="0" w:space="0" w:color="auto"/>
      </w:divBdr>
    </w:div>
    <w:div w:id="921374848">
      <w:marLeft w:val="0"/>
      <w:marRight w:val="0"/>
      <w:marTop w:val="0"/>
      <w:marBottom w:val="0"/>
      <w:divBdr>
        <w:top w:val="none" w:sz="0" w:space="0" w:color="auto"/>
        <w:left w:val="none" w:sz="0" w:space="0" w:color="auto"/>
        <w:bottom w:val="none" w:sz="0" w:space="0" w:color="auto"/>
        <w:right w:val="none" w:sz="0" w:space="0" w:color="auto"/>
      </w:divBdr>
    </w:div>
    <w:div w:id="924072917">
      <w:marLeft w:val="0"/>
      <w:marRight w:val="0"/>
      <w:marTop w:val="0"/>
      <w:marBottom w:val="240"/>
      <w:divBdr>
        <w:top w:val="none" w:sz="0" w:space="0" w:color="auto"/>
        <w:left w:val="none" w:sz="0" w:space="0" w:color="auto"/>
        <w:bottom w:val="none" w:sz="0" w:space="0" w:color="auto"/>
        <w:right w:val="none" w:sz="0" w:space="0" w:color="auto"/>
      </w:divBdr>
    </w:div>
    <w:div w:id="925726193">
      <w:marLeft w:val="0"/>
      <w:marRight w:val="0"/>
      <w:marTop w:val="0"/>
      <w:marBottom w:val="0"/>
      <w:divBdr>
        <w:top w:val="none" w:sz="0" w:space="0" w:color="auto"/>
        <w:left w:val="none" w:sz="0" w:space="0" w:color="auto"/>
        <w:bottom w:val="none" w:sz="0" w:space="0" w:color="auto"/>
        <w:right w:val="none" w:sz="0" w:space="0" w:color="auto"/>
      </w:divBdr>
    </w:div>
    <w:div w:id="927150702">
      <w:marLeft w:val="0"/>
      <w:marRight w:val="0"/>
      <w:marTop w:val="0"/>
      <w:marBottom w:val="240"/>
      <w:divBdr>
        <w:top w:val="none" w:sz="0" w:space="0" w:color="auto"/>
        <w:left w:val="none" w:sz="0" w:space="0" w:color="auto"/>
        <w:bottom w:val="none" w:sz="0" w:space="0" w:color="auto"/>
        <w:right w:val="none" w:sz="0" w:space="0" w:color="auto"/>
      </w:divBdr>
    </w:div>
    <w:div w:id="927420578">
      <w:marLeft w:val="0"/>
      <w:marRight w:val="0"/>
      <w:marTop w:val="0"/>
      <w:marBottom w:val="0"/>
      <w:divBdr>
        <w:top w:val="none" w:sz="0" w:space="0" w:color="auto"/>
        <w:left w:val="none" w:sz="0" w:space="0" w:color="auto"/>
        <w:bottom w:val="none" w:sz="0" w:space="0" w:color="auto"/>
        <w:right w:val="none" w:sz="0" w:space="0" w:color="auto"/>
      </w:divBdr>
    </w:div>
    <w:div w:id="927929089">
      <w:marLeft w:val="0"/>
      <w:marRight w:val="0"/>
      <w:marTop w:val="0"/>
      <w:marBottom w:val="0"/>
      <w:divBdr>
        <w:top w:val="none" w:sz="0" w:space="0" w:color="auto"/>
        <w:left w:val="none" w:sz="0" w:space="0" w:color="auto"/>
        <w:bottom w:val="none" w:sz="0" w:space="0" w:color="auto"/>
        <w:right w:val="none" w:sz="0" w:space="0" w:color="auto"/>
      </w:divBdr>
    </w:div>
    <w:div w:id="929047313">
      <w:marLeft w:val="0"/>
      <w:marRight w:val="0"/>
      <w:marTop w:val="0"/>
      <w:marBottom w:val="180"/>
      <w:divBdr>
        <w:top w:val="none" w:sz="0" w:space="0" w:color="auto"/>
        <w:left w:val="none" w:sz="0" w:space="0" w:color="auto"/>
        <w:bottom w:val="none" w:sz="0" w:space="0" w:color="auto"/>
        <w:right w:val="none" w:sz="0" w:space="0" w:color="auto"/>
      </w:divBdr>
    </w:div>
    <w:div w:id="929050012">
      <w:marLeft w:val="0"/>
      <w:marRight w:val="0"/>
      <w:marTop w:val="0"/>
      <w:marBottom w:val="180"/>
      <w:divBdr>
        <w:top w:val="none" w:sz="0" w:space="0" w:color="auto"/>
        <w:left w:val="none" w:sz="0" w:space="0" w:color="auto"/>
        <w:bottom w:val="none" w:sz="0" w:space="0" w:color="auto"/>
        <w:right w:val="none" w:sz="0" w:space="0" w:color="auto"/>
      </w:divBdr>
    </w:div>
    <w:div w:id="931428067">
      <w:marLeft w:val="0"/>
      <w:marRight w:val="0"/>
      <w:marTop w:val="120"/>
      <w:marBottom w:val="240"/>
      <w:divBdr>
        <w:top w:val="none" w:sz="0" w:space="0" w:color="auto"/>
        <w:left w:val="none" w:sz="0" w:space="0" w:color="auto"/>
        <w:bottom w:val="none" w:sz="0" w:space="0" w:color="auto"/>
        <w:right w:val="none" w:sz="0" w:space="0" w:color="auto"/>
      </w:divBdr>
    </w:div>
    <w:div w:id="937254555">
      <w:marLeft w:val="0"/>
      <w:marRight w:val="0"/>
      <w:marTop w:val="180"/>
      <w:marBottom w:val="180"/>
      <w:divBdr>
        <w:top w:val="none" w:sz="0" w:space="0" w:color="auto"/>
        <w:left w:val="none" w:sz="0" w:space="0" w:color="auto"/>
        <w:bottom w:val="none" w:sz="0" w:space="0" w:color="auto"/>
        <w:right w:val="none" w:sz="0" w:space="0" w:color="auto"/>
      </w:divBdr>
    </w:div>
    <w:div w:id="937562236">
      <w:marLeft w:val="0"/>
      <w:marRight w:val="0"/>
      <w:marTop w:val="0"/>
      <w:marBottom w:val="0"/>
      <w:divBdr>
        <w:top w:val="none" w:sz="0" w:space="0" w:color="auto"/>
        <w:left w:val="none" w:sz="0" w:space="0" w:color="auto"/>
        <w:bottom w:val="none" w:sz="0" w:space="0" w:color="auto"/>
        <w:right w:val="none" w:sz="0" w:space="0" w:color="auto"/>
      </w:divBdr>
      <w:divsChild>
        <w:div w:id="1781217092">
          <w:marLeft w:val="0"/>
          <w:marRight w:val="0"/>
          <w:marTop w:val="0"/>
          <w:marBottom w:val="0"/>
          <w:divBdr>
            <w:top w:val="none" w:sz="0" w:space="0" w:color="auto"/>
            <w:left w:val="none" w:sz="0" w:space="0" w:color="auto"/>
            <w:bottom w:val="none" w:sz="0" w:space="0" w:color="auto"/>
            <w:right w:val="none" w:sz="0" w:space="0" w:color="auto"/>
          </w:divBdr>
        </w:div>
      </w:divsChild>
    </w:div>
    <w:div w:id="937830951">
      <w:marLeft w:val="0"/>
      <w:marRight w:val="0"/>
      <w:marTop w:val="0"/>
      <w:marBottom w:val="240"/>
      <w:divBdr>
        <w:top w:val="none" w:sz="0" w:space="0" w:color="auto"/>
        <w:left w:val="none" w:sz="0" w:space="0" w:color="auto"/>
        <w:bottom w:val="none" w:sz="0" w:space="0" w:color="auto"/>
        <w:right w:val="none" w:sz="0" w:space="0" w:color="auto"/>
      </w:divBdr>
    </w:div>
    <w:div w:id="938218698">
      <w:marLeft w:val="0"/>
      <w:marRight w:val="0"/>
      <w:marTop w:val="120"/>
      <w:marBottom w:val="120"/>
      <w:divBdr>
        <w:top w:val="none" w:sz="0" w:space="0" w:color="auto"/>
        <w:left w:val="none" w:sz="0" w:space="0" w:color="auto"/>
        <w:bottom w:val="none" w:sz="0" w:space="0" w:color="auto"/>
        <w:right w:val="none" w:sz="0" w:space="0" w:color="auto"/>
      </w:divBdr>
    </w:div>
    <w:div w:id="939335246">
      <w:marLeft w:val="0"/>
      <w:marRight w:val="0"/>
      <w:marTop w:val="180"/>
      <w:marBottom w:val="180"/>
      <w:divBdr>
        <w:top w:val="none" w:sz="0" w:space="0" w:color="auto"/>
        <w:left w:val="none" w:sz="0" w:space="0" w:color="auto"/>
        <w:bottom w:val="none" w:sz="0" w:space="0" w:color="auto"/>
        <w:right w:val="none" w:sz="0" w:space="0" w:color="auto"/>
      </w:divBdr>
    </w:div>
    <w:div w:id="939994978">
      <w:marLeft w:val="0"/>
      <w:marRight w:val="0"/>
      <w:marTop w:val="0"/>
      <w:marBottom w:val="0"/>
      <w:divBdr>
        <w:top w:val="none" w:sz="0" w:space="0" w:color="auto"/>
        <w:left w:val="none" w:sz="0" w:space="0" w:color="auto"/>
        <w:bottom w:val="none" w:sz="0" w:space="0" w:color="auto"/>
        <w:right w:val="none" w:sz="0" w:space="0" w:color="auto"/>
      </w:divBdr>
      <w:divsChild>
        <w:div w:id="550504743">
          <w:marLeft w:val="0"/>
          <w:marRight w:val="0"/>
          <w:marTop w:val="0"/>
          <w:marBottom w:val="0"/>
          <w:divBdr>
            <w:top w:val="none" w:sz="0" w:space="0" w:color="auto"/>
            <w:left w:val="none" w:sz="0" w:space="0" w:color="auto"/>
            <w:bottom w:val="none" w:sz="0" w:space="0" w:color="auto"/>
            <w:right w:val="none" w:sz="0" w:space="0" w:color="auto"/>
          </w:divBdr>
        </w:div>
      </w:divsChild>
    </w:div>
    <w:div w:id="940338938">
      <w:marLeft w:val="0"/>
      <w:marRight w:val="0"/>
      <w:marTop w:val="180"/>
      <w:marBottom w:val="180"/>
      <w:divBdr>
        <w:top w:val="none" w:sz="0" w:space="0" w:color="auto"/>
        <w:left w:val="none" w:sz="0" w:space="0" w:color="auto"/>
        <w:bottom w:val="none" w:sz="0" w:space="0" w:color="auto"/>
        <w:right w:val="none" w:sz="0" w:space="0" w:color="auto"/>
      </w:divBdr>
    </w:div>
    <w:div w:id="942303515">
      <w:marLeft w:val="0"/>
      <w:marRight w:val="0"/>
      <w:marTop w:val="100"/>
      <w:marBottom w:val="100"/>
      <w:divBdr>
        <w:top w:val="none" w:sz="0" w:space="0" w:color="auto"/>
        <w:left w:val="none" w:sz="0" w:space="0" w:color="auto"/>
        <w:bottom w:val="none" w:sz="0" w:space="0" w:color="auto"/>
        <w:right w:val="none" w:sz="0" w:space="0" w:color="auto"/>
      </w:divBdr>
      <w:divsChild>
        <w:div w:id="1662344718">
          <w:marLeft w:val="0"/>
          <w:marRight w:val="0"/>
          <w:marTop w:val="0"/>
          <w:marBottom w:val="0"/>
          <w:divBdr>
            <w:top w:val="none" w:sz="0" w:space="0" w:color="auto"/>
            <w:left w:val="none" w:sz="0" w:space="0" w:color="auto"/>
            <w:bottom w:val="none" w:sz="0" w:space="0" w:color="auto"/>
            <w:right w:val="none" w:sz="0" w:space="0" w:color="auto"/>
          </w:divBdr>
        </w:div>
      </w:divsChild>
    </w:div>
    <w:div w:id="943608355">
      <w:marLeft w:val="0"/>
      <w:marRight w:val="0"/>
      <w:marTop w:val="180"/>
      <w:marBottom w:val="180"/>
      <w:divBdr>
        <w:top w:val="none" w:sz="0" w:space="0" w:color="auto"/>
        <w:left w:val="none" w:sz="0" w:space="0" w:color="auto"/>
        <w:bottom w:val="none" w:sz="0" w:space="0" w:color="auto"/>
        <w:right w:val="none" w:sz="0" w:space="0" w:color="auto"/>
      </w:divBdr>
    </w:div>
    <w:div w:id="945192094">
      <w:marLeft w:val="0"/>
      <w:marRight w:val="0"/>
      <w:marTop w:val="0"/>
      <w:marBottom w:val="240"/>
      <w:divBdr>
        <w:top w:val="none" w:sz="0" w:space="0" w:color="auto"/>
        <w:left w:val="none" w:sz="0" w:space="0" w:color="auto"/>
        <w:bottom w:val="none" w:sz="0" w:space="0" w:color="auto"/>
        <w:right w:val="none" w:sz="0" w:space="0" w:color="auto"/>
      </w:divBdr>
    </w:div>
    <w:div w:id="945428725">
      <w:marLeft w:val="0"/>
      <w:marRight w:val="0"/>
      <w:marTop w:val="0"/>
      <w:marBottom w:val="0"/>
      <w:divBdr>
        <w:top w:val="none" w:sz="0" w:space="0" w:color="auto"/>
        <w:left w:val="none" w:sz="0" w:space="0" w:color="auto"/>
        <w:bottom w:val="none" w:sz="0" w:space="0" w:color="auto"/>
        <w:right w:val="none" w:sz="0" w:space="0" w:color="auto"/>
      </w:divBdr>
      <w:divsChild>
        <w:div w:id="193427382">
          <w:marLeft w:val="0"/>
          <w:marRight w:val="0"/>
          <w:marTop w:val="0"/>
          <w:marBottom w:val="0"/>
          <w:divBdr>
            <w:top w:val="none" w:sz="0" w:space="0" w:color="auto"/>
            <w:left w:val="none" w:sz="0" w:space="0" w:color="auto"/>
            <w:bottom w:val="none" w:sz="0" w:space="0" w:color="auto"/>
            <w:right w:val="none" w:sz="0" w:space="0" w:color="auto"/>
          </w:divBdr>
        </w:div>
      </w:divsChild>
    </w:div>
    <w:div w:id="946738652">
      <w:marLeft w:val="0"/>
      <w:marRight w:val="0"/>
      <w:marTop w:val="0"/>
      <w:marBottom w:val="180"/>
      <w:divBdr>
        <w:top w:val="none" w:sz="0" w:space="0" w:color="auto"/>
        <w:left w:val="none" w:sz="0" w:space="0" w:color="auto"/>
        <w:bottom w:val="none" w:sz="0" w:space="0" w:color="auto"/>
        <w:right w:val="none" w:sz="0" w:space="0" w:color="auto"/>
      </w:divBdr>
    </w:div>
    <w:div w:id="947658683">
      <w:marLeft w:val="0"/>
      <w:marRight w:val="0"/>
      <w:marTop w:val="180"/>
      <w:marBottom w:val="180"/>
      <w:divBdr>
        <w:top w:val="none" w:sz="0" w:space="0" w:color="auto"/>
        <w:left w:val="none" w:sz="0" w:space="0" w:color="auto"/>
        <w:bottom w:val="none" w:sz="0" w:space="0" w:color="auto"/>
        <w:right w:val="none" w:sz="0" w:space="0" w:color="auto"/>
      </w:divBdr>
    </w:div>
    <w:div w:id="948588202">
      <w:marLeft w:val="0"/>
      <w:marRight w:val="0"/>
      <w:marTop w:val="0"/>
      <w:marBottom w:val="240"/>
      <w:divBdr>
        <w:top w:val="none" w:sz="0" w:space="0" w:color="auto"/>
        <w:left w:val="none" w:sz="0" w:space="0" w:color="auto"/>
        <w:bottom w:val="none" w:sz="0" w:space="0" w:color="auto"/>
        <w:right w:val="none" w:sz="0" w:space="0" w:color="auto"/>
      </w:divBdr>
    </w:div>
    <w:div w:id="949118966">
      <w:marLeft w:val="0"/>
      <w:marRight w:val="0"/>
      <w:marTop w:val="120"/>
      <w:marBottom w:val="120"/>
      <w:divBdr>
        <w:top w:val="none" w:sz="0" w:space="0" w:color="auto"/>
        <w:left w:val="none" w:sz="0" w:space="0" w:color="auto"/>
        <w:bottom w:val="none" w:sz="0" w:space="0" w:color="auto"/>
        <w:right w:val="none" w:sz="0" w:space="0" w:color="auto"/>
      </w:divBdr>
    </w:div>
    <w:div w:id="953442219">
      <w:marLeft w:val="0"/>
      <w:marRight w:val="0"/>
      <w:marTop w:val="0"/>
      <w:marBottom w:val="240"/>
      <w:divBdr>
        <w:top w:val="none" w:sz="0" w:space="0" w:color="auto"/>
        <w:left w:val="none" w:sz="0" w:space="0" w:color="auto"/>
        <w:bottom w:val="none" w:sz="0" w:space="0" w:color="auto"/>
        <w:right w:val="none" w:sz="0" w:space="0" w:color="auto"/>
      </w:divBdr>
    </w:div>
    <w:div w:id="953636587">
      <w:marLeft w:val="0"/>
      <w:marRight w:val="0"/>
      <w:marTop w:val="0"/>
      <w:marBottom w:val="0"/>
      <w:divBdr>
        <w:top w:val="none" w:sz="0" w:space="0" w:color="auto"/>
        <w:left w:val="none" w:sz="0" w:space="0" w:color="auto"/>
        <w:bottom w:val="none" w:sz="0" w:space="0" w:color="auto"/>
        <w:right w:val="none" w:sz="0" w:space="0" w:color="auto"/>
      </w:divBdr>
    </w:div>
    <w:div w:id="953824878">
      <w:marLeft w:val="0"/>
      <w:marRight w:val="0"/>
      <w:marTop w:val="0"/>
      <w:marBottom w:val="180"/>
      <w:divBdr>
        <w:top w:val="none" w:sz="0" w:space="0" w:color="auto"/>
        <w:left w:val="none" w:sz="0" w:space="0" w:color="auto"/>
        <w:bottom w:val="none" w:sz="0" w:space="0" w:color="auto"/>
        <w:right w:val="none" w:sz="0" w:space="0" w:color="auto"/>
      </w:divBdr>
    </w:div>
    <w:div w:id="954945859">
      <w:marLeft w:val="0"/>
      <w:marRight w:val="0"/>
      <w:marTop w:val="0"/>
      <w:marBottom w:val="60"/>
      <w:divBdr>
        <w:top w:val="none" w:sz="0" w:space="0" w:color="auto"/>
        <w:left w:val="none" w:sz="0" w:space="0" w:color="auto"/>
        <w:bottom w:val="none" w:sz="0" w:space="0" w:color="auto"/>
        <w:right w:val="none" w:sz="0" w:space="0" w:color="auto"/>
      </w:divBdr>
    </w:div>
    <w:div w:id="955137250">
      <w:marLeft w:val="0"/>
      <w:marRight w:val="0"/>
      <w:marTop w:val="0"/>
      <w:marBottom w:val="0"/>
      <w:divBdr>
        <w:top w:val="none" w:sz="0" w:space="0" w:color="auto"/>
        <w:left w:val="none" w:sz="0" w:space="0" w:color="auto"/>
        <w:bottom w:val="none" w:sz="0" w:space="0" w:color="auto"/>
        <w:right w:val="none" w:sz="0" w:space="0" w:color="auto"/>
      </w:divBdr>
      <w:divsChild>
        <w:div w:id="1109010600">
          <w:marLeft w:val="0"/>
          <w:marRight w:val="0"/>
          <w:marTop w:val="0"/>
          <w:marBottom w:val="0"/>
          <w:divBdr>
            <w:top w:val="none" w:sz="0" w:space="0" w:color="auto"/>
            <w:left w:val="none" w:sz="0" w:space="0" w:color="auto"/>
            <w:bottom w:val="none" w:sz="0" w:space="0" w:color="auto"/>
            <w:right w:val="none" w:sz="0" w:space="0" w:color="auto"/>
          </w:divBdr>
        </w:div>
      </w:divsChild>
    </w:div>
    <w:div w:id="955915147">
      <w:marLeft w:val="0"/>
      <w:marRight w:val="0"/>
      <w:marTop w:val="0"/>
      <w:marBottom w:val="180"/>
      <w:divBdr>
        <w:top w:val="none" w:sz="0" w:space="0" w:color="auto"/>
        <w:left w:val="none" w:sz="0" w:space="0" w:color="auto"/>
        <w:bottom w:val="none" w:sz="0" w:space="0" w:color="auto"/>
        <w:right w:val="none" w:sz="0" w:space="0" w:color="auto"/>
      </w:divBdr>
    </w:div>
    <w:div w:id="956915678">
      <w:marLeft w:val="0"/>
      <w:marRight w:val="0"/>
      <w:marTop w:val="0"/>
      <w:marBottom w:val="240"/>
      <w:divBdr>
        <w:top w:val="none" w:sz="0" w:space="0" w:color="auto"/>
        <w:left w:val="none" w:sz="0" w:space="0" w:color="auto"/>
        <w:bottom w:val="none" w:sz="0" w:space="0" w:color="auto"/>
        <w:right w:val="none" w:sz="0" w:space="0" w:color="auto"/>
      </w:divBdr>
    </w:div>
    <w:div w:id="960108134">
      <w:marLeft w:val="0"/>
      <w:marRight w:val="0"/>
      <w:marTop w:val="0"/>
      <w:marBottom w:val="0"/>
      <w:divBdr>
        <w:top w:val="none" w:sz="0" w:space="0" w:color="auto"/>
        <w:left w:val="none" w:sz="0" w:space="0" w:color="auto"/>
        <w:bottom w:val="none" w:sz="0" w:space="0" w:color="auto"/>
        <w:right w:val="none" w:sz="0" w:space="0" w:color="auto"/>
      </w:divBdr>
      <w:divsChild>
        <w:div w:id="2038001877">
          <w:marLeft w:val="0"/>
          <w:marRight w:val="0"/>
          <w:marTop w:val="0"/>
          <w:marBottom w:val="0"/>
          <w:divBdr>
            <w:top w:val="none" w:sz="0" w:space="0" w:color="auto"/>
            <w:left w:val="none" w:sz="0" w:space="0" w:color="auto"/>
            <w:bottom w:val="none" w:sz="0" w:space="0" w:color="auto"/>
            <w:right w:val="none" w:sz="0" w:space="0" w:color="auto"/>
          </w:divBdr>
        </w:div>
      </w:divsChild>
    </w:div>
    <w:div w:id="961880572">
      <w:marLeft w:val="0"/>
      <w:marRight w:val="0"/>
      <w:marTop w:val="0"/>
      <w:marBottom w:val="0"/>
      <w:divBdr>
        <w:top w:val="none" w:sz="0" w:space="0" w:color="auto"/>
        <w:left w:val="none" w:sz="0" w:space="0" w:color="auto"/>
        <w:bottom w:val="none" w:sz="0" w:space="0" w:color="auto"/>
        <w:right w:val="none" w:sz="0" w:space="0" w:color="auto"/>
      </w:divBdr>
      <w:divsChild>
        <w:div w:id="2131438570">
          <w:marLeft w:val="0"/>
          <w:marRight w:val="0"/>
          <w:marTop w:val="0"/>
          <w:marBottom w:val="0"/>
          <w:divBdr>
            <w:top w:val="none" w:sz="0" w:space="0" w:color="auto"/>
            <w:left w:val="none" w:sz="0" w:space="0" w:color="auto"/>
            <w:bottom w:val="none" w:sz="0" w:space="0" w:color="auto"/>
            <w:right w:val="none" w:sz="0" w:space="0" w:color="auto"/>
          </w:divBdr>
        </w:div>
      </w:divsChild>
    </w:div>
    <w:div w:id="963462320">
      <w:marLeft w:val="0"/>
      <w:marRight w:val="0"/>
      <w:marTop w:val="0"/>
      <w:marBottom w:val="180"/>
      <w:divBdr>
        <w:top w:val="none" w:sz="0" w:space="0" w:color="auto"/>
        <w:left w:val="none" w:sz="0" w:space="0" w:color="auto"/>
        <w:bottom w:val="none" w:sz="0" w:space="0" w:color="auto"/>
        <w:right w:val="none" w:sz="0" w:space="0" w:color="auto"/>
      </w:divBdr>
    </w:div>
    <w:div w:id="964040773">
      <w:marLeft w:val="0"/>
      <w:marRight w:val="0"/>
      <w:marTop w:val="120"/>
      <w:marBottom w:val="180"/>
      <w:divBdr>
        <w:top w:val="none" w:sz="0" w:space="0" w:color="auto"/>
        <w:left w:val="none" w:sz="0" w:space="0" w:color="auto"/>
        <w:bottom w:val="none" w:sz="0" w:space="0" w:color="auto"/>
        <w:right w:val="none" w:sz="0" w:space="0" w:color="auto"/>
      </w:divBdr>
    </w:div>
    <w:div w:id="966278529">
      <w:marLeft w:val="0"/>
      <w:marRight w:val="0"/>
      <w:marTop w:val="0"/>
      <w:marBottom w:val="120"/>
      <w:divBdr>
        <w:top w:val="none" w:sz="0" w:space="0" w:color="auto"/>
        <w:left w:val="none" w:sz="0" w:space="0" w:color="auto"/>
        <w:bottom w:val="none" w:sz="0" w:space="0" w:color="auto"/>
        <w:right w:val="none" w:sz="0" w:space="0" w:color="auto"/>
      </w:divBdr>
    </w:div>
    <w:div w:id="967591840">
      <w:marLeft w:val="0"/>
      <w:marRight w:val="0"/>
      <w:marTop w:val="120"/>
      <w:marBottom w:val="120"/>
      <w:divBdr>
        <w:top w:val="none" w:sz="0" w:space="0" w:color="auto"/>
        <w:left w:val="none" w:sz="0" w:space="0" w:color="auto"/>
        <w:bottom w:val="none" w:sz="0" w:space="0" w:color="auto"/>
        <w:right w:val="none" w:sz="0" w:space="0" w:color="auto"/>
      </w:divBdr>
    </w:div>
    <w:div w:id="969020302">
      <w:marLeft w:val="0"/>
      <w:marRight w:val="0"/>
      <w:marTop w:val="100"/>
      <w:marBottom w:val="100"/>
      <w:divBdr>
        <w:top w:val="none" w:sz="0" w:space="0" w:color="auto"/>
        <w:left w:val="none" w:sz="0" w:space="0" w:color="auto"/>
        <w:bottom w:val="none" w:sz="0" w:space="0" w:color="auto"/>
        <w:right w:val="none" w:sz="0" w:space="0" w:color="auto"/>
      </w:divBdr>
    </w:div>
    <w:div w:id="969629323">
      <w:marLeft w:val="0"/>
      <w:marRight w:val="0"/>
      <w:marTop w:val="120"/>
      <w:marBottom w:val="120"/>
      <w:divBdr>
        <w:top w:val="none" w:sz="0" w:space="0" w:color="auto"/>
        <w:left w:val="none" w:sz="0" w:space="0" w:color="auto"/>
        <w:bottom w:val="none" w:sz="0" w:space="0" w:color="auto"/>
        <w:right w:val="none" w:sz="0" w:space="0" w:color="auto"/>
      </w:divBdr>
    </w:div>
    <w:div w:id="969633892">
      <w:marLeft w:val="0"/>
      <w:marRight w:val="0"/>
      <w:marTop w:val="0"/>
      <w:marBottom w:val="0"/>
      <w:divBdr>
        <w:top w:val="none" w:sz="0" w:space="0" w:color="auto"/>
        <w:left w:val="none" w:sz="0" w:space="0" w:color="auto"/>
        <w:bottom w:val="none" w:sz="0" w:space="0" w:color="auto"/>
        <w:right w:val="none" w:sz="0" w:space="0" w:color="auto"/>
      </w:divBdr>
      <w:divsChild>
        <w:div w:id="1634167070">
          <w:marLeft w:val="0"/>
          <w:marRight w:val="0"/>
          <w:marTop w:val="0"/>
          <w:marBottom w:val="0"/>
          <w:divBdr>
            <w:top w:val="none" w:sz="0" w:space="0" w:color="auto"/>
            <w:left w:val="none" w:sz="0" w:space="0" w:color="auto"/>
            <w:bottom w:val="none" w:sz="0" w:space="0" w:color="auto"/>
            <w:right w:val="none" w:sz="0" w:space="0" w:color="auto"/>
          </w:divBdr>
        </w:div>
      </w:divsChild>
    </w:div>
    <w:div w:id="970594825">
      <w:marLeft w:val="0"/>
      <w:marRight w:val="0"/>
      <w:marTop w:val="0"/>
      <w:marBottom w:val="0"/>
      <w:divBdr>
        <w:top w:val="none" w:sz="0" w:space="0" w:color="auto"/>
        <w:left w:val="none" w:sz="0" w:space="0" w:color="auto"/>
        <w:bottom w:val="none" w:sz="0" w:space="0" w:color="auto"/>
        <w:right w:val="none" w:sz="0" w:space="0" w:color="auto"/>
      </w:divBdr>
    </w:div>
    <w:div w:id="972712176">
      <w:marLeft w:val="0"/>
      <w:marRight w:val="0"/>
      <w:marTop w:val="0"/>
      <w:marBottom w:val="0"/>
      <w:divBdr>
        <w:top w:val="none" w:sz="0" w:space="0" w:color="auto"/>
        <w:left w:val="none" w:sz="0" w:space="0" w:color="auto"/>
        <w:bottom w:val="none" w:sz="0" w:space="0" w:color="auto"/>
        <w:right w:val="none" w:sz="0" w:space="0" w:color="auto"/>
      </w:divBdr>
    </w:div>
    <w:div w:id="972949142">
      <w:marLeft w:val="0"/>
      <w:marRight w:val="0"/>
      <w:marTop w:val="100"/>
      <w:marBottom w:val="100"/>
      <w:divBdr>
        <w:top w:val="none" w:sz="0" w:space="0" w:color="auto"/>
        <w:left w:val="none" w:sz="0" w:space="0" w:color="auto"/>
        <w:bottom w:val="none" w:sz="0" w:space="0" w:color="auto"/>
        <w:right w:val="none" w:sz="0" w:space="0" w:color="auto"/>
      </w:divBdr>
    </w:div>
    <w:div w:id="973217120">
      <w:marLeft w:val="0"/>
      <w:marRight w:val="0"/>
      <w:marTop w:val="180"/>
      <w:marBottom w:val="180"/>
      <w:divBdr>
        <w:top w:val="none" w:sz="0" w:space="0" w:color="auto"/>
        <w:left w:val="none" w:sz="0" w:space="0" w:color="auto"/>
        <w:bottom w:val="none" w:sz="0" w:space="0" w:color="auto"/>
        <w:right w:val="none" w:sz="0" w:space="0" w:color="auto"/>
      </w:divBdr>
    </w:div>
    <w:div w:id="974414177">
      <w:marLeft w:val="0"/>
      <w:marRight w:val="0"/>
      <w:marTop w:val="0"/>
      <w:marBottom w:val="0"/>
      <w:divBdr>
        <w:top w:val="none" w:sz="0" w:space="0" w:color="auto"/>
        <w:left w:val="none" w:sz="0" w:space="0" w:color="auto"/>
        <w:bottom w:val="none" w:sz="0" w:space="0" w:color="auto"/>
        <w:right w:val="none" w:sz="0" w:space="0" w:color="auto"/>
      </w:divBdr>
    </w:div>
    <w:div w:id="975183941">
      <w:marLeft w:val="0"/>
      <w:marRight w:val="0"/>
      <w:marTop w:val="0"/>
      <w:marBottom w:val="0"/>
      <w:divBdr>
        <w:top w:val="none" w:sz="0" w:space="0" w:color="auto"/>
        <w:left w:val="none" w:sz="0" w:space="0" w:color="auto"/>
        <w:bottom w:val="none" w:sz="0" w:space="0" w:color="auto"/>
        <w:right w:val="none" w:sz="0" w:space="0" w:color="auto"/>
      </w:divBdr>
    </w:div>
    <w:div w:id="977028161">
      <w:marLeft w:val="0"/>
      <w:marRight w:val="0"/>
      <w:marTop w:val="0"/>
      <w:marBottom w:val="180"/>
      <w:divBdr>
        <w:top w:val="none" w:sz="0" w:space="0" w:color="auto"/>
        <w:left w:val="none" w:sz="0" w:space="0" w:color="auto"/>
        <w:bottom w:val="none" w:sz="0" w:space="0" w:color="auto"/>
        <w:right w:val="none" w:sz="0" w:space="0" w:color="auto"/>
      </w:divBdr>
    </w:div>
    <w:div w:id="977222848">
      <w:marLeft w:val="0"/>
      <w:marRight w:val="0"/>
      <w:marTop w:val="0"/>
      <w:marBottom w:val="240"/>
      <w:divBdr>
        <w:top w:val="none" w:sz="0" w:space="0" w:color="auto"/>
        <w:left w:val="none" w:sz="0" w:space="0" w:color="auto"/>
        <w:bottom w:val="none" w:sz="0" w:space="0" w:color="auto"/>
        <w:right w:val="none" w:sz="0" w:space="0" w:color="auto"/>
      </w:divBdr>
    </w:div>
    <w:div w:id="979308940">
      <w:marLeft w:val="0"/>
      <w:marRight w:val="0"/>
      <w:marTop w:val="100"/>
      <w:marBottom w:val="100"/>
      <w:divBdr>
        <w:top w:val="none" w:sz="0" w:space="0" w:color="auto"/>
        <w:left w:val="none" w:sz="0" w:space="0" w:color="auto"/>
        <w:bottom w:val="none" w:sz="0" w:space="0" w:color="auto"/>
        <w:right w:val="none" w:sz="0" w:space="0" w:color="auto"/>
      </w:divBdr>
    </w:div>
    <w:div w:id="979844029">
      <w:marLeft w:val="0"/>
      <w:marRight w:val="0"/>
      <w:marTop w:val="0"/>
      <w:marBottom w:val="0"/>
      <w:divBdr>
        <w:top w:val="none" w:sz="0" w:space="0" w:color="auto"/>
        <w:left w:val="none" w:sz="0" w:space="0" w:color="auto"/>
        <w:bottom w:val="none" w:sz="0" w:space="0" w:color="auto"/>
        <w:right w:val="none" w:sz="0" w:space="0" w:color="auto"/>
      </w:divBdr>
    </w:div>
    <w:div w:id="980573470">
      <w:marLeft w:val="0"/>
      <w:marRight w:val="0"/>
      <w:marTop w:val="0"/>
      <w:marBottom w:val="180"/>
      <w:divBdr>
        <w:top w:val="none" w:sz="0" w:space="0" w:color="auto"/>
        <w:left w:val="none" w:sz="0" w:space="0" w:color="auto"/>
        <w:bottom w:val="none" w:sz="0" w:space="0" w:color="auto"/>
        <w:right w:val="none" w:sz="0" w:space="0" w:color="auto"/>
      </w:divBdr>
    </w:div>
    <w:div w:id="983387838">
      <w:marLeft w:val="0"/>
      <w:marRight w:val="0"/>
      <w:marTop w:val="240"/>
      <w:marBottom w:val="240"/>
      <w:divBdr>
        <w:top w:val="none" w:sz="0" w:space="0" w:color="auto"/>
        <w:left w:val="none" w:sz="0" w:space="0" w:color="auto"/>
        <w:bottom w:val="none" w:sz="0" w:space="0" w:color="auto"/>
        <w:right w:val="none" w:sz="0" w:space="0" w:color="auto"/>
      </w:divBdr>
    </w:div>
    <w:div w:id="984623181">
      <w:marLeft w:val="0"/>
      <w:marRight w:val="0"/>
      <w:marTop w:val="0"/>
      <w:marBottom w:val="240"/>
      <w:divBdr>
        <w:top w:val="none" w:sz="0" w:space="0" w:color="auto"/>
        <w:left w:val="none" w:sz="0" w:space="0" w:color="auto"/>
        <w:bottom w:val="none" w:sz="0" w:space="0" w:color="auto"/>
        <w:right w:val="none" w:sz="0" w:space="0" w:color="auto"/>
      </w:divBdr>
    </w:div>
    <w:div w:id="985744377">
      <w:marLeft w:val="0"/>
      <w:marRight w:val="0"/>
      <w:marTop w:val="0"/>
      <w:marBottom w:val="180"/>
      <w:divBdr>
        <w:top w:val="none" w:sz="0" w:space="0" w:color="auto"/>
        <w:left w:val="none" w:sz="0" w:space="0" w:color="auto"/>
        <w:bottom w:val="none" w:sz="0" w:space="0" w:color="auto"/>
        <w:right w:val="none" w:sz="0" w:space="0" w:color="auto"/>
      </w:divBdr>
    </w:div>
    <w:div w:id="986008343">
      <w:marLeft w:val="0"/>
      <w:marRight w:val="0"/>
      <w:marTop w:val="0"/>
      <w:marBottom w:val="240"/>
      <w:divBdr>
        <w:top w:val="none" w:sz="0" w:space="0" w:color="auto"/>
        <w:left w:val="none" w:sz="0" w:space="0" w:color="auto"/>
        <w:bottom w:val="none" w:sz="0" w:space="0" w:color="auto"/>
        <w:right w:val="none" w:sz="0" w:space="0" w:color="auto"/>
      </w:divBdr>
    </w:div>
    <w:div w:id="986086286">
      <w:marLeft w:val="0"/>
      <w:marRight w:val="0"/>
      <w:marTop w:val="0"/>
      <w:marBottom w:val="0"/>
      <w:divBdr>
        <w:top w:val="none" w:sz="0" w:space="0" w:color="auto"/>
        <w:left w:val="none" w:sz="0" w:space="0" w:color="auto"/>
        <w:bottom w:val="none" w:sz="0" w:space="0" w:color="auto"/>
        <w:right w:val="none" w:sz="0" w:space="0" w:color="auto"/>
      </w:divBdr>
      <w:divsChild>
        <w:div w:id="2042440178">
          <w:marLeft w:val="0"/>
          <w:marRight w:val="0"/>
          <w:marTop w:val="0"/>
          <w:marBottom w:val="0"/>
          <w:divBdr>
            <w:top w:val="none" w:sz="0" w:space="0" w:color="auto"/>
            <w:left w:val="none" w:sz="0" w:space="0" w:color="auto"/>
            <w:bottom w:val="none" w:sz="0" w:space="0" w:color="auto"/>
            <w:right w:val="none" w:sz="0" w:space="0" w:color="auto"/>
          </w:divBdr>
        </w:div>
      </w:divsChild>
    </w:div>
    <w:div w:id="986514899">
      <w:marLeft w:val="0"/>
      <w:marRight w:val="0"/>
      <w:marTop w:val="0"/>
      <w:marBottom w:val="0"/>
      <w:divBdr>
        <w:top w:val="none" w:sz="0" w:space="0" w:color="auto"/>
        <w:left w:val="none" w:sz="0" w:space="0" w:color="auto"/>
        <w:bottom w:val="none" w:sz="0" w:space="0" w:color="auto"/>
        <w:right w:val="none" w:sz="0" w:space="0" w:color="auto"/>
      </w:divBdr>
    </w:div>
    <w:div w:id="987781215">
      <w:marLeft w:val="0"/>
      <w:marRight w:val="0"/>
      <w:marTop w:val="180"/>
      <w:marBottom w:val="180"/>
      <w:divBdr>
        <w:top w:val="none" w:sz="0" w:space="0" w:color="auto"/>
        <w:left w:val="none" w:sz="0" w:space="0" w:color="auto"/>
        <w:bottom w:val="none" w:sz="0" w:space="0" w:color="auto"/>
        <w:right w:val="none" w:sz="0" w:space="0" w:color="auto"/>
      </w:divBdr>
    </w:div>
    <w:div w:id="988169166">
      <w:marLeft w:val="0"/>
      <w:marRight w:val="0"/>
      <w:marTop w:val="0"/>
      <w:marBottom w:val="240"/>
      <w:divBdr>
        <w:top w:val="none" w:sz="0" w:space="0" w:color="auto"/>
        <w:left w:val="none" w:sz="0" w:space="0" w:color="auto"/>
        <w:bottom w:val="none" w:sz="0" w:space="0" w:color="auto"/>
        <w:right w:val="none" w:sz="0" w:space="0" w:color="auto"/>
      </w:divBdr>
    </w:div>
    <w:div w:id="988290239">
      <w:marLeft w:val="0"/>
      <w:marRight w:val="0"/>
      <w:marTop w:val="120"/>
      <w:marBottom w:val="120"/>
      <w:divBdr>
        <w:top w:val="none" w:sz="0" w:space="0" w:color="auto"/>
        <w:left w:val="none" w:sz="0" w:space="0" w:color="auto"/>
        <w:bottom w:val="none" w:sz="0" w:space="0" w:color="auto"/>
        <w:right w:val="none" w:sz="0" w:space="0" w:color="auto"/>
      </w:divBdr>
    </w:div>
    <w:div w:id="988633080">
      <w:marLeft w:val="0"/>
      <w:marRight w:val="0"/>
      <w:marTop w:val="0"/>
      <w:marBottom w:val="0"/>
      <w:divBdr>
        <w:top w:val="none" w:sz="0" w:space="0" w:color="auto"/>
        <w:left w:val="none" w:sz="0" w:space="0" w:color="auto"/>
        <w:bottom w:val="none" w:sz="0" w:space="0" w:color="auto"/>
        <w:right w:val="none" w:sz="0" w:space="0" w:color="auto"/>
      </w:divBdr>
    </w:div>
    <w:div w:id="990057419">
      <w:marLeft w:val="0"/>
      <w:marRight w:val="0"/>
      <w:marTop w:val="0"/>
      <w:marBottom w:val="180"/>
      <w:divBdr>
        <w:top w:val="none" w:sz="0" w:space="0" w:color="auto"/>
        <w:left w:val="none" w:sz="0" w:space="0" w:color="auto"/>
        <w:bottom w:val="none" w:sz="0" w:space="0" w:color="auto"/>
        <w:right w:val="none" w:sz="0" w:space="0" w:color="auto"/>
      </w:divBdr>
    </w:div>
    <w:div w:id="990132680">
      <w:marLeft w:val="0"/>
      <w:marRight w:val="0"/>
      <w:marTop w:val="180"/>
      <w:marBottom w:val="180"/>
      <w:divBdr>
        <w:top w:val="none" w:sz="0" w:space="0" w:color="auto"/>
        <w:left w:val="none" w:sz="0" w:space="0" w:color="auto"/>
        <w:bottom w:val="none" w:sz="0" w:space="0" w:color="auto"/>
        <w:right w:val="none" w:sz="0" w:space="0" w:color="auto"/>
      </w:divBdr>
    </w:div>
    <w:div w:id="990527634">
      <w:marLeft w:val="0"/>
      <w:marRight w:val="0"/>
      <w:marTop w:val="180"/>
      <w:marBottom w:val="180"/>
      <w:divBdr>
        <w:top w:val="none" w:sz="0" w:space="0" w:color="auto"/>
        <w:left w:val="none" w:sz="0" w:space="0" w:color="auto"/>
        <w:bottom w:val="none" w:sz="0" w:space="0" w:color="auto"/>
        <w:right w:val="none" w:sz="0" w:space="0" w:color="auto"/>
      </w:divBdr>
    </w:div>
    <w:div w:id="993144275">
      <w:marLeft w:val="0"/>
      <w:marRight w:val="0"/>
      <w:marTop w:val="0"/>
      <w:marBottom w:val="180"/>
      <w:divBdr>
        <w:top w:val="none" w:sz="0" w:space="0" w:color="auto"/>
        <w:left w:val="none" w:sz="0" w:space="0" w:color="auto"/>
        <w:bottom w:val="none" w:sz="0" w:space="0" w:color="auto"/>
        <w:right w:val="none" w:sz="0" w:space="0" w:color="auto"/>
      </w:divBdr>
    </w:div>
    <w:div w:id="993216855">
      <w:marLeft w:val="0"/>
      <w:marRight w:val="0"/>
      <w:marTop w:val="0"/>
      <w:marBottom w:val="0"/>
      <w:divBdr>
        <w:top w:val="none" w:sz="0" w:space="0" w:color="auto"/>
        <w:left w:val="none" w:sz="0" w:space="0" w:color="auto"/>
        <w:bottom w:val="none" w:sz="0" w:space="0" w:color="auto"/>
        <w:right w:val="none" w:sz="0" w:space="0" w:color="auto"/>
      </w:divBdr>
    </w:div>
    <w:div w:id="994723883">
      <w:marLeft w:val="0"/>
      <w:marRight w:val="0"/>
      <w:marTop w:val="0"/>
      <w:marBottom w:val="240"/>
      <w:divBdr>
        <w:top w:val="none" w:sz="0" w:space="0" w:color="auto"/>
        <w:left w:val="none" w:sz="0" w:space="0" w:color="auto"/>
        <w:bottom w:val="none" w:sz="0" w:space="0" w:color="auto"/>
        <w:right w:val="none" w:sz="0" w:space="0" w:color="auto"/>
      </w:divBdr>
    </w:div>
    <w:div w:id="995456770">
      <w:marLeft w:val="0"/>
      <w:marRight w:val="0"/>
      <w:marTop w:val="100"/>
      <w:marBottom w:val="100"/>
      <w:divBdr>
        <w:top w:val="none" w:sz="0" w:space="0" w:color="auto"/>
        <w:left w:val="none" w:sz="0" w:space="0" w:color="auto"/>
        <w:bottom w:val="none" w:sz="0" w:space="0" w:color="auto"/>
        <w:right w:val="none" w:sz="0" w:space="0" w:color="auto"/>
      </w:divBdr>
      <w:divsChild>
        <w:div w:id="1706951590">
          <w:marLeft w:val="0"/>
          <w:marRight w:val="0"/>
          <w:marTop w:val="0"/>
          <w:marBottom w:val="0"/>
          <w:divBdr>
            <w:top w:val="none" w:sz="0" w:space="0" w:color="auto"/>
            <w:left w:val="none" w:sz="0" w:space="0" w:color="auto"/>
            <w:bottom w:val="none" w:sz="0" w:space="0" w:color="auto"/>
            <w:right w:val="none" w:sz="0" w:space="0" w:color="auto"/>
          </w:divBdr>
        </w:div>
      </w:divsChild>
    </w:div>
    <w:div w:id="997265303">
      <w:marLeft w:val="0"/>
      <w:marRight w:val="0"/>
      <w:marTop w:val="0"/>
      <w:marBottom w:val="0"/>
      <w:divBdr>
        <w:top w:val="none" w:sz="0" w:space="0" w:color="auto"/>
        <w:left w:val="none" w:sz="0" w:space="0" w:color="auto"/>
        <w:bottom w:val="none" w:sz="0" w:space="0" w:color="auto"/>
        <w:right w:val="none" w:sz="0" w:space="0" w:color="auto"/>
      </w:divBdr>
    </w:div>
    <w:div w:id="997878984">
      <w:marLeft w:val="0"/>
      <w:marRight w:val="0"/>
      <w:marTop w:val="180"/>
      <w:marBottom w:val="180"/>
      <w:divBdr>
        <w:top w:val="none" w:sz="0" w:space="0" w:color="auto"/>
        <w:left w:val="none" w:sz="0" w:space="0" w:color="auto"/>
        <w:bottom w:val="none" w:sz="0" w:space="0" w:color="auto"/>
        <w:right w:val="none" w:sz="0" w:space="0" w:color="auto"/>
      </w:divBdr>
    </w:div>
    <w:div w:id="998193230">
      <w:marLeft w:val="0"/>
      <w:marRight w:val="0"/>
      <w:marTop w:val="0"/>
      <w:marBottom w:val="180"/>
      <w:divBdr>
        <w:top w:val="none" w:sz="0" w:space="0" w:color="auto"/>
        <w:left w:val="none" w:sz="0" w:space="0" w:color="auto"/>
        <w:bottom w:val="none" w:sz="0" w:space="0" w:color="auto"/>
        <w:right w:val="none" w:sz="0" w:space="0" w:color="auto"/>
      </w:divBdr>
    </w:div>
    <w:div w:id="999432107">
      <w:marLeft w:val="0"/>
      <w:marRight w:val="0"/>
      <w:marTop w:val="0"/>
      <w:marBottom w:val="180"/>
      <w:divBdr>
        <w:top w:val="none" w:sz="0" w:space="0" w:color="auto"/>
        <w:left w:val="none" w:sz="0" w:space="0" w:color="auto"/>
        <w:bottom w:val="none" w:sz="0" w:space="0" w:color="auto"/>
        <w:right w:val="none" w:sz="0" w:space="0" w:color="auto"/>
      </w:divBdr>
    </w:div>
    <w:div w:id="1000741859">
      <w:marLeft w:val="0"/>
      <w:marRight w:val="0"/>
      <w:marTop w:val="0"/>
      <w:marBottom w:val="180"/>
      <w:divBdr>
        <w:top w:val="none" w:sz="0" w:space="0" w:color="auto"/>
        <w:left w:val="none" w:sz="0" w:space="0" w:color="auto"/>
        <w:bottom w:val="none" w:sz="0" w:space="0" w:color="auto"/>
        <w:right w:val="none" w:sz="0" w:space="0" w:color="auto"/>
      </w:divBdr>
    </w:div>
    <w:div w:id="1001160669">
      <w:marLeft w:val="0"/>
      <w:marRight w:val="0"/>
      <w:marTop w:val="0"/>
      <w:marBottom w:val="0"/>
      <w:divBdr>
        <w:top w:val="none" w:sz="0" w:space="0" w:color="auto"/>
        <w:left w:val="none" w:sz="0" w:space="0" w:color="auto"/>
        <w:bottom w:val="none" w:sz="0" w:space="0" w:color="auto"/>
        <w:right w:val="none" w:sz="0" w:space="0" w:color="auto"/>
      </w:divBdr>
    </w:div>
    <w:div w:id="1001856969">
      <w:marLeft w:val="0"/>
      <w:marRight w:val="0"/>
      <w:marTop w:val="0"/>
      <w:marBottom w:val="180"/>
      <w:divBdr>
        <w:top w:val="none" w:sz="0" w:space="0" w:color="auto"/>
        <w:left w:val="none" w:sz="0" w:space="0" w:color="auto"/>
        <w:bottom w:val="none" w:sz="0" w:space="0" w:color="auto"/>
        <w:right w:val="none" w:sz="0" w:space="0" w:color="auto"/>
      </w:divBdr>
    </w:div>
    <w:div w:id="1003162413">
      <w:marLeft w:val="0"/>
      <w:marRight w:val="0"/>
      <w:marTop w:val="180"/>
      <w:marBottom w:val="180"/>
      <w:divBdr>
        <w:top w:val="none" w:sz="0" w:space="0" w:color="auto"/>
        <w:left w:val="none" w:sz="0" w:space="0" w:color="auto"/>
        <w:bottom w:val="none" w:sz="0" w:space="0" w:color="auto"/>
        <w:right w:val="none" w:sz="0" w:space="0" w:color="auto"/>
      </w:divBdr>
    </w:div>
    <w:div w:id="1003433373">
      <w:marLeft w:val="0"/>
      <w:marRight w:val="0"/>
      <w:marTop w:val="0"/>
      <w:marBottom w:val="180"/>
      <w:divBdr>
        <w:top w:val="none" w:sz="0" w:space="0" w:color="auto"/>
        <w:left w:val="none" w:sz="0" w:space="0" w:color="auto"/>
        <w:bottom w:val="none" w:sz="0" w:space="0" w:color="auto"/>
        <w:right w:val="none" w:sz="0" w:space="0" w:color="auto"/>
      </w:divBdr>
    </w:div>
    <w:div w:id="1005091939">
      <w:marLeft w:val="0"/>
      <w:marRight w:val="0"/>
      <w:marTop w:val="120"/>
      <w:marBottom w:val="180"/>
      <w:divBdr>
        <w:top w:val="none" w:sz="0" w:space="0" w:color="auto"/>
        <w:left w:val="none" w:sz="0" w:space="0" w:color="auto"/>
        <w:bottom w:val="none" w:sz="0" w:space="0" w:color="auto"/>
        <w:right w:val="none" w:sz="0" w:space="0" w:color="auto"/>
      </w:divBdr>
    </w:div>
    <w:div w:id="1006976518">
      <w:marLeft w:val="0"/>
      <w:marRight w:val="0"/>
      <w:marTop w:val="0"/>
      <w:marBottom w:val="240"/>
      <w:divBdr>
        <w:top w:val="none" w:sz="0" w:space="0" w:color="auto"/>
        <w:left w:val="none" w:sz="0" w:space="0" w:color="auto"/>
        <w:bottom w:val="none" w:sz="0" w:space="0" w:color="auto"/>
        <w:right w:val="none" w:sz="0" w:space="0" w:color="auto"/>
      </w:divBdr>
    </w:div>
    <w:div w:id="1007640123">
      <w:marLeft w:val="0"/>
      <w:marRight w:val="0"/>
      <w:marTop w:val="100"/>
      <w:marBottom w:val="100"/>
      <w:divBdr>
        <w:top w:val="none" w:sz="0" w:space="0" w:color="auto"/>
        <w:left w:val="none" w:sz="0" w:space="0" w:color="auto"/>
        <w:bottom w:val="none" w:sz="0" w:space="0" w:color="auto"/>
        <w:right w:val="none" w:sz="0" w:space="0" w:color="auto"/>
      </w:divBdr>
    </w:div>
    <w:div w:id="1008019854">
      <w:marLeft w:val="0"/>
      <w:marRight w:val="0"/>
      <w:marTop w:val="0"/>
      <w:marBottom w:val="0"/>
      <w:divBdr>
        <w:top w:val="none" w:sz="0" w:space="0" w:color="auto"/>
        <w:left w:val="none" w:sz="0" w:space="0" w:color="auto"/>
        <w:bottom w:val="none" w:sz="0" w:space="0" w:color="auto"/>
        <w:right w:val="none" w:sz="0" w:space="0" w:color="auto"/>
      </w:divBdr>
    </w:div>
    <w:div w:id="1008093260">
      <w:marLeft w:val="0"/>
      <w:marRight w:val="0"/>
      <w:marTop w:val="0"/>
      <w:marBottom w:val="180"/>
      <w:divBdr>
        <w:top w:val="none" w:sz="0" w:space="0" w:color="auto"/>
        <w:left w:val="none" w:sz="0" w:space="0" w:color="auto"/>
        <w:bottom w:val="none" w:sz="0" w:space="0" w:color="auto"/>
        <w:right w:val="none" w:sz="0" w:space="0" w:color="auto"/>
      </w:divBdr>
    </w:div>
    <w:div w:id="1008948017">
      <w:marLeft w:val="0"/>
      <w:marRight w:val="0"/>
      <w:marTop w:val="120"/>
      <w:marBottom w:val="120"/>
      <w:divBdr>
        <w:top w:val="none" w:sz="0" w:space="0" w:color="auto"/>
        <w:left w:val="none" w:sz="0" w:space="0" w:color="auto"/>
        <w:bottom w:val="none" w:sz="0" w:space="0" w:color="auto"/>
        <w:right w:val="none" w:sz="0" w:space="0" w:color="auto"/>
      </w:divBdr>
    </w:div>
    <w:div w:id="1013148329">
      <w:marLeft w:val="0"/>
      <w:marRight w:val="0"/>
      <w:marTop w:val="120"/>
      <w:marBottom w:val="120"/>
      <w:divBdr>
        <w:top w:val="none" w:sz="0" w:space="0" w:color="auto"/>
        <w:left w:val="none" w:sz="0" w:space="0" w:color="auto"/>
        <w:bottom w:val="none" w:sz="0" w:space="0" w:color="auto"/>
        <w:right w:val="none" w:sz="0" w:space="0" w:color="auto"/>
      </w:divBdr>
    </w:div>
    <w:div w:id="1013187157">
      <w:marLeft w:val="0"/>
      <w:marRight w:val="0"/>
      <w:marTop w:val="180"/>
      <w:marBottom w:val="180"/>
      <w:divBdr>
        <w:top w:val="none" w:sz="0" w:space="0" w:color="auto"/>
        <w:left w:val="none" w:sz="0" w:space="0" w:color="auto"/>
        <w:bottom w:val="none" w:sz="0" w:space="0" w:color="auto"/>
        <w:right w:val="none" w:sz="0" w:space="0" w:color="auto"/>
      </w:divBdr>
    </w:div>
    <w:div w:id="1015957188">
      <w:marLeft w:val="0"/>
      <w:marRight w:val="0"/>
      <w:marTop w:val="100"/>
      <w:marBottom w:val="100"/>
      <w:divBdr>
        <w:top w:val="none" w:sz="0" w:space="0" w:color="auto"/>
        <w:left w:val="none" w:sz="0" w:space="0" w:color="auto"/>
        <w:bottom w:val="none" w:sz="0" w:space="0" w:color="auto"/>
        <w:right w:val="none" w:sz="0" w:space="0" w:color="auto"/>
      </w:divBdr>
    </w:div>
    <w:div w:id="1017270596">
      <w:marLeft w:val="0"/>
      <w:marRight w:val="0"/>
      <w:marTop w:val="0"/>
      <w:marBottom w:val="0"/>
      <w:divBdr>
        <w:top w:val="none" w:sz="0" w:space="0" w:color="auto"/>
        <w:left w:val="none" w:sz="0" w:space="0" w:color="auto"/>
        <w:bottom w:val="none" w:sz="0" w:space="0" w:color="auto"/>
        <w:right w:val="none" w:sz="0" w:space="0" w:color="auto"/>
      </w:divBdr>
    </w:div>
    <w:div w:id="1019352829">
      <w:marLeft w:val="0"/>
      <w:marRight w:val="0"/>
      <w:marTop w:val="0"/>
      <w:marBottom w:val="180"/>
      <w:divBdr>
        <w:top w:val="none" w:sz="0" w:space="0" w:color="auto"/>
        <w:left w:val="none" w:sz="0" w:space="0" w:color="auto"/>
        <w:bottom w:val="none" w:sz="0" w:space="0" w:color="auto"/>
        <w:right w:val="none" w:sz="0" w:space="0" w:color="auto"/>
      </w:divBdr>
    </w:div>
    <w:div w:id="1022436836">
      <w:marLeft w:val="0"/>
      <w:marRight w:val="0"/>
      <w:marTop w:val="0"/>
      <w:marBottom w:val="180"/>
      <w:divBdr>
        <w:top w:val="none" w:sz="0" w:space="0" w:color="auto"/>
        <w:left w:val="none" w:sz="0" w:space="0" w:color="auto"/>
        <w:bottom w:val="none" w:sz="0" w:space="0" w:color="auto"/>
        <w:right w:val="none" w:sz="0" w:space="0" w:color="auto"/>
      </w:divBdr>
    </w:div>
    <w:div w:id="1031495193">
      <w:marLeft w:val="0"/>
      <w:marRight w:val="0"/>
      <w:marTop w:val="180"/>
      <w:marBottom w:val="180"/>
      <w:divBdr>
        <w:top w:val="none" w:sz="0" w:space="0" w:color="auto"/>
        <w:left w:val="none" w:sz="0" w:space="0" w:color="auto"/>
        <w:bottom w:val="none" w:sz="0" w:space="0" w:color="auto"/>
        <w:right w:val="none" w:sz="0" w:space="0" w:color="auto"/>
      </w:divBdr>
    </w:div>
    <w:div w:id="1032536354">
      <w:marLeft w:val="0"/>
      <w:marRight w:val="0"/>
      <w:marTop w:val="180"/>
      <w:marBottom w:val="180"/>
      <w:divBdr>
        <w:top w:val="none" w:sz="0" w:space="0" w:color="auto"/>
        <w:left w:val="none" w:sz="0" w:space="0" w:color="auto"/>
        <w:bottom w:val="none" w:sz="0" w:space="0" w:color="auto"/>
        <w:right w:val="none" w:sz="0" w:space="0" w:color="auto"/>
      </w:divBdr>
    </w:div>
    <w:div w:id="1035039644">
      <w:marLeft w:val="0"/>
      <w:marRight w:val="0"/>
      <w:marTop w:val="0"/>
      <w:marBottom w:val="0"/>
      <w:divBdr>
        <w:top w:val="none" w:sz="0" w:space="0" w:color="auto"/>
        <w:left w:val="none" w:sz="0" w:space="0" w:color="auto"/>
        <w:bottom w:val="none" w:sz="0" w:space="0" w:color="auto"/>
        <w:right w:val="none" w:sz="0" w:space="0" w:color="auto"/>
      </w:divBdr>
      <w:divsChild>
        <w:div w:id="381179208">
          <w:marLeft w:val="0"/>
          <w:marRight w:val="0"/>
          <w:marTop w:val="0"/>
          <w:marBottom w:val="0"/>
          <w:divBdr>
            <w:top w:val="none" w:sz="0" w:space="0" w:color="auto"/>
            <w:left w:val="none" w:sz="0" w:space="0" w:color="auto"/>
            <w:bottom w:val="none" w:sz="0" w:space="0" w:color="auto"/>
            <w:right w:val="none" w:sz="0" w:space="0" w:color="auto"/>
          </w:divBdr>
        </w:div>
      </w:divsChild>
    </w:div>
    <w:div w:id="1037002116">
      <w:marLeft w:val="0"/>
      <w:marRight w:val="0"/>
      <w:marTop w:val="0"/>
      <w:marBottom w:val="0"/>
      <w:divBdr>
        <w:top w:val="none" w:sz="0" w:space="0" w:color="auto"/>
        <w:left w:val="none" w:sz="0" w:space="0" w:color="auto"/>
        <w:bottom w:val="none" w:sz="0" w:space="0" w:color="auto"/>
        <w:right w:val="none" w:sz="0" w:space="0" w:color="auto"/>
      </w:divBdr>
    </w:div>
    <w:div w:id="1037586154">
      <w:marLeft w:val="0"/>
      <w:marRight w:val="0"/>
      <w:marTop w:val="0"/>
      <w:marBottom w:val="240"/>
      <w:divBdr>
        <w:top w:val="none" w:sz="0" w:space="0" w:color="auto"/>
        <w:left w:val="none" w:sz="0" w:space="0" w:color="auto"/>
        <w:bottom w:val="none" w:sz="0" w:space="0" w:color="auto"/>
        <w:right w:val="none" w:sz="0" w:space="0" w:color="auto"/>
      </w:divBdr>
    </w:div>
    <w:div w:id="1038891835">
      <w:marLeft w:val="0"/>
      <w:marRight w:val="0"/>
      <w:marTop w:val="120"/>
      <w:marBottom w:val="120"/>
      <w:divBdr>
        <w:top w:val="none" w:sz="0" w:space="0" w:color="auto"/>
        <w:left w:val="none" w:sz="0" w:space="0" w:color="auto"/>
        <w:bottom w:val="none" w:sz="0" w:space="0" w:color="auto"/>
        <w:right w:val="none" w:sz="0" w:space="0" w:color="auto"/>
      </w:divBdr>
    </w:div>
    <w:div w:id="1040593846">
      <w:marLeft w:val="0"/>
      <w:marRight w:val="0"/>
      <w:marTop w:val="120"/>
      <w:marBottom w:val="120"/>
      <w:divBdr>
        <w:top w:val="none" w:sz="0" w:space="0" w:color="auto"/>
        <w:left w:val="none" w:sz="0" w:space="0" w:color="auto"/>
        <w:bottom w:val="none" w:sz="0" w:space="0" w:color="auto"/>
        <w:right w:val="none" w:sz="0" w:space="0" w:color="auto"/>
      </w:divBdr>
    </w:div>
    <w:div w:id="1043284862">
      <w:marLeft w:val="0"/>
      <w:marRight w:val="0"/>
      <w:marTop w:val="0"/>
      <w:marBottom w:val="240"/>
      <w:divBdr>
        <w:top w:val="none" w:sz="0" w:space="0" w:color="auto"/>
        <w:left w:val="none" w:sz="0" w:space="0" w:color="auto"/>
        <w:bottom w:val="none" w:sz="0" w:space="0" w:color="auto"/>
        <w:right w:val="none" w:sz="0" w:space="0" w:color="auto"/>
      </w:divBdr>
    </w:div>
    <w:div w:id="1045568433">
      <w:marLeft w:val="0"/>
      <w:marRight w:val="0"/>
      <w:marTop w:val="0"/>
      <w:marBottom w:val="180"/>
      <w:divBdr>
        <w:top w:val="none" w:sz="0" w:space="0" w:color="auto"/>
        <w:left w:val="none" w:sz="0" w:space="0" w:color="auto"/>
        <w:bottom w:val="none" w:sz="0" w:space="0" w:color="auto"/>
        <w:right w:val="none" w:sz="0" w:space="0" w:color="auto"/>
      </w:divBdr>
    </w:div>
    <w:div w:id="1047222767">
      <w:marLeft w:val="0"/>
      <w:marRight w:val="0"/>
      <w:marTop w:val="0"/>
      <w:marBottom w:val="0"/>
      <w:divBdr>
        <w:top w:val="none" w:sz="0" w:space="0" w:color="auto"/>
        <w:left w:val="none" w:sz="0" w:space="0" w:color="auto"/>
        <w:bottom w:val="none" w:sz="0" w:space="0" w:color="auto"/>
        <w:right w:val="none" w:sz="0" w:space="0" w:color="auto"/>
      </w:divBdr>
    </w:div>
    <w:div w:id="1051227598">
      <w:marLeft w:val="0"/>
      <w:marRight w:val="0"/>
      <w:marTop w:val="0"/>
      <w:marBottom w:val="0"/>
      <w:divBdr>
        <w:top w:val="none" w:sz="0" w:space="0" w:color="auto"/>
        <w:left w:val="none" w:sz="0" w:space="0" w:color="auto"/>
        <w:bottom w:val="none" w:sz="0" w:space="0" w:color="auto"/>
        <w:right w:val="none" w:sz="0" w:space="0" w:color="auto"/>
      </w:divBdr>
    </w:div>
    <w:div w:id="1051853553">
      <w:marLeft w:val="0"/>
      <w:marRight w:val="0"/>
      <w:marTop w:val="0"/>
      <w:marBottom w:val="240"/>
      <w:divBdr>
        <w:top w:val="none" w:sz="0" w:space="0" w:color="auto"/>
        <w:left w:val="none" w:sz="0" w:space="0" w:color="auto"/>
        <w:bottom w:val="none" w:sz="0" w:space="0" w:color="auto"/>
        <w:right w:val="none" w:sz="0" w:space="0" w:color="auto"/>
      </w:divBdr>
    </w:div>
    <w:div w:id="1052391432">
      <w:marLeft w:val="0"/>
      <w:marRight w:val="0"/>
      <w:marTop w:val="100"/>
      <w:marBottom w:val="100"/>
      <w:divBdr>
        <w:top w:val="none" w:sz="0" w:space="0" w:color="auto"/>
        <w:left w:val="none" w:sz="0" w:space="0" w:color="auto"/>
        <w:bottom w:val="none" w:sz="0" w:space="0" w:color="auto"/>
        <w:right w:val="none" w:sz="0" w:space="0" w:color="auto"/>
      </w:divBdr>
    </w:div>
    <w:div w:id="1052658933">
      <w:marLeft w:val="0"/>
      <w:marRight w:val="0"/>
      <w:marTop w:val="0"/>
      <w:marBottom w:val="180"/>
      <w:divBdr>
        <w:top w:val="none" w:sz="0" w:space="0" w:color="auto"/>
        <w:left w:val="none" w:sz="0" w:space="0" w:color="auto"/>
        <w:bottom w:val="none" w:sz="0" w:space="0" w:color="auto"/>
        <w:right w:val="none" w:sz="0" w:space="0" w:color="auto"/>
      </w:divBdr>
    </w:div>
    <w:div w:id="1053195016">
      <w:marLeft w:val="0"/>
      <w:marRight w:val="0"/>
      <w:marTop w:val="0"/>
      <w:marBottom w:val="180"/>
      <w:divBdr>
        <w:top w:val="none" w:sz="0" w:space="0" w:color="auto"/>
        <w:left w:val="none" w:sz="0" w:space="0" w:color="auto"/>
        <w:bottom w:val="none" w:sz="0" w:space="0" w:color="auto"/>
        <w:right w:val="none" w:sz="0" w:space="0" w:color="auto"/>
      </w:divBdr>
    </w:div>
    <w:div w:id="1053653063">
      <w:marLeft w:val="0"/>
      <w:marRight w:val="0"/>
      <w:marTop w:val="120"/>
      <w:marBottom w:val="120"/>
      <w:divBdr>
        <w:top w:val="none" w:sz="0" w:space="0" w:color="auto"/>
        <w:left w:val="none" w:sz="0" w:space="0" w:color="auto"/>
        <w:bottom w:val="none" w:sz="0" w:space="0" w:color="auto"/>
        <w:right w:val="none" w:sz="0" w:space="0" w:color="auto"/>
      </w:divBdr>
    </w:div>
    <w:div w:id="1054505843">
      <w:marLeft w:val="0"/>
      <w:marRight w:val="0"/>
      <w:marTop w:val="0"/>
      <w:marBottom w:val="240"/>
      <w:divBdr>
        <w:top w:val="none" w:sz="0" w:space="0" w:color="auto"/>
        <w:left w:val="none" w:sz="0" w:space="0" w:color="auto"/>
        <w:bottom w:val="none" w:sz="0" w:space="0" w:color="auto"/>
        <w:right w:val="none" w:sz="0" w:space="0" w:color="auto"/>
      </w:divBdr>
    </w:div>
    <w:div w:id="1055154441">
      <w:marLeft w:val="0"/>
      <w:marRight w:val="0"/>
      <w:marTop w:val="180"/>
      <w:marBottom w:val="180"/>
      <w:divBdr>
        <w:top w:val="none" w:sz="0" w:space="0" w:color="auto"/>
        <w:left w:val="none" w:sz="0" w:space="0" w:color="auto"/>
        <w:bottom w:val="none" w:sz="0" w:space="0" w:color="auto"/>
        <w:right w:val="none" w:sz="0" w:space="0" w:color="auto"/>
      </w:divBdr>
    </w:div>
    <w:div w:id="1056709766">
      <w:marLeft w:val="0"/>
      <w:marRight w:val="0"/>
      <w:marTop w:val="0"/>
      <w:marBottom w:val="0"/>
      <w:divBdr>
        <w:top w:val="none" w:sz="0" w:space="0" w:color="auto"/>
        <w:left w:val="none" w:sz="0" w:space="0" w:color="auto"/>
        <w:bottom w:val="none" w:sz="0" w:space="0" w:color="auto"/>
        <w:right w:val="none" w:sz="0" w:space="0" w:color="auto"/>
      </w:divBdr>
    </w:div>
    <w:div w:id="1057318003">
      <w:marLeft w:val="0"/>
      <w:marRight w:val="0"/>
      <w:marTop w:val="0"/>
      <w:marBottom w:val="240"/>
      <w:divBdr>
        <w:top w:val="none" w:sz="0" w:space="0" w:color="auto"/>
        <w:left w:val="none" w:sz="0" w:space="0" w:color="auto"/>
        <w:bottom w:val="none" w:sz="0" w:space="0" w:color="auto"/>
        <w:right w:val="none" w:sz="0" w:space="0" w:color="auto"/>
      </w:divBdr>
    </w:div>
    <w:div w:id="1058699713">
      <w:marLeft w:val="0"/>
      <w:marRight w:val="0"/>
      <w:marTop w:val="0"/>
      <w:marBottom w:val="0"/>
      <w:divBdr>
        <w:top w:val="none" w:sz="0" w:space="0" w:color="auto"/>
        <w:left w:val="none" w:sz="0" w:space="0" w:color="auto"/>
        <w:bottom w:val="none" w:sz="0" w:space="0" w:color="auto"/>
        <w:right w:val="none" w:sz="0" w:space="0" w:color="auto"/>
      </w:divBdr>
      <w:divsChild>
        <w:div w:id="1546916783">
          <w:marLeft w:val="0"/>
          <w:marRight w:val="0"/>
          <w:marTop w:val="0"/>
          <w:marBottom w:val="0"/>
          <w:divBdr>
            <w:top w:val="none" w:sz="0" w:space="0" w:color="auto"/>
            <w:left w:val="none" w:sz="0" w:space="0" w:color="auto"/>
            <w:bottom w:val="none" w:sz="0" w:space="0" w:color="auto"/>
            <w:right w:val="none" w:sz="0" w:space="0" w:color="auto"/>
          </w:divBdr>
        </w:div>
      </w:divsChild>
    </w:div>
    <w:div w:id="1058818678">
      <w:marLeft w:val="0"/>
      <w:marRight w:val="0"/>
      <w:marTop w:val="0"/>
      <w:marBottom w:val="180"/>
      <w:divBdr>
        <w:top w:val="none" w:sz="0" w:space="0" w:color="auto"/>
        <w:left w:val="none" w:sz="0" w:space="0" w:color="auto"/>
        <w:bottom w:val="none" w:sz="0" w:space="0" w:color="auto"/>
        <w:right w:val="none" w:sz="0" w:space="0" w:color="auto"/>
      </w:divBdr>
    </w:div>
    <w:div w:id="1059590898">
      <w:marLeft w:val="0"/>
      <w:marRight w:val="0"/>
      <w:marTop w:val="180"/>
      <w:marBottom w:val="180"/>
      <w:divBdr>
        <w:top w:val="none" w:sz="0" w:space="0" w:color="auto"/>
        <w:left w:val="none" w:sz="0" w:space="0" w:color="auto"/>
        <w:bottom w:val="none" w:sz="0" w:space="0" w:color="auto"/>
        <w:right w:val="none" w:sz="0" w:space="0" w:color="auto"/>
      </w:divBdr>
    </w:div>
    <w:div w:id="1059594340">
      <w:marLeft w:val="0"/>
      <w:marRight w:val="0"/>
      <w:marTop w:val="0"/>
      <w:marBottom w:val="0"/>
      <w:divBdr>
        <w:top w:val="none" w:sz="0" w:space="0" w:color="auto"/>
        <w:left w:val="none" w:sz="0" w:space="0" w:color="auto"/>
        <w:bottom w:val="none" w:sz="0" w:space="0" w:color="auto"/>
        <w:right w:val="none" w:sz="0" w:space="0" w:color="auto"/>
      </w:divBdr>
    </w:div>
    <w:div w:id="1062560007">
      <w:marLeft w:val="0"/>
      <w:marRight w:val="0"/>
      <w:marTop w:val="0"/>
      <w:marBottom w:val="240"/>
      <w:divBdr>
        <w:top w:val="none" w:sz="0" w:space="0" w:color="auto"/>
        <w:left w:val="none" w:sz="0" w:space="0" w:color="auto"/>
        <w:bottom w:val="none" w:sz="0" w:space="0" w:color="auto"/>
        <w:right w:val="none" w:sz="0" w:space="0" w:color="auto"/>
      </w:divBdr>
    </w:div>
    <w:div w:id="1062605689">
      <w:marLeft w:val="0"/>
      <w:marRight w:val="0"/>
      <w:marTop w:val="0"/>
      <w:marBottom w:val="180"/>
      <w:divBdr>
        <w:top w:val="none" w:sz="0" w:space="0" w:color="auto"/>
        <w:left w:val="none" w:sz="0" w:space="0" w:color="auto"/>
        <w:bottom w:val="none" w:sz="0" w:space="0" w:color="auto"/>
        <w:right w:val="none" w:sz="0" w:space="0" w:color="auto"/>
      </w:divBdr>
    </w:div>
    <w:div w:id="1063020796">
      <w:marLeft w:val="0"/>
      <w:marRight w:val="0"/>
      <w:marTop w:val="0"/>
      <w:marBottom w:val="240"/>
      <w:divBdr>
        <w:top w:val="none" w:sz="0" w:space="0" w:color="auto"/>
        <w:left w:val="none" w:sz="0" w:space="0" w:color="auto"/>
        <w:bottom w:val="none" w:sz="0" w:space="0" w:color="auto"/>
        <w:right w:val="none" w:sz="0" w:space="0" w:color="auto"/>
      </w:divBdr>
    </w:div>
    <w:div w:id="1064066146">
      <w:marLeft w:val="0"/>
      <w:marRight w:val="0"/>
      <w:marTop w:val="0"/>
      <w:marBottom w:val="0"/>
      <w:divBdr>
        <w:top w:val="none" w:sz="0" w:space="0" w:color="auto"/>
        <w:left w:val="none" w:sz="0" w:space="0" w:color="auto"/>
        <w:bottom w:val="none" w:sz="0" w:space="0" w:color="auto"/>
        <w:right w:val="none" w:sz="0" w:space="0" w:color="auto"/>
      </w:divBdr>
    </w:div>
    <w:div w:id="1064183839">
      <w:marLeft w:val="0"/>
      <w:marRight w:val="0"/>
      <w:marTop w:val="0"/>
      <w:marBottom w:val="180"/>
      <w:divBdr>
        <w:top w:val="none" w:sz="0" w:space="0" w:color="auto"/>
        <w:left w:val="none" w:sz="0" w:space="0" w:color="auto"/>
        <w:bottom w:val="none" w:sz="0" w:space="0" w:color="auto"/>
        <w:right w:val="none" w:sz="0" w:space="0" w:color="auto"/>
      </w:divBdr>
    </w:div>
    <w:div w:id="1064915867">
      <w:marLeft w:val="0"/>
      <w:marRight w:val="0"/>
      <w:marTop w:val="180"/>
      <w:marBottom w:val="180"/>
      <w:divBdr>
        <w:top w:val="none" w:sz="0" w:space="0" w:color="auto"/>
        <w:left w:val="none" w:sz="0" w:space="0" w:color="auto"/>
        <w:bottom w:val="none" w:sz="0" w:space="0" w:color="auto"/>
        <w:right w:val="none" w:sz="0" w:space="0" w:color="auto"/>
      </w:divBdr>
    </w:div>
    <w:div w:id="1065567497">
      <w:marLeft w:val="0"/>
      <w:marRight w:val="0"/>
      <w:marTop w:val="0"/>
      <w:marBottom w:val="0"/>
      <w:divBdr>
        <w:top w:val="none" w:sz="0" w:space="0" w:color="auto"/>
        <w:left w:val="none" w:sz="0" w:space="0" w:color="auto"/>
        <w:bottom w:val="none" w:sz="0" w:space="0" w:color="auto"/>
        <w:right w:val="none" w:sz="0" w:space="0" w:color="auto"/>
      </w:divBdr>
    </w:div>
    <w:div w:id="1066030566">
      <w:marLeft w:val="0"/>
      <w:marRight w:val="0"/>
      <w:marTop w:val="0"/>
      <w:marBottom w:val="0"/>
      <w:divBdr>
        <w:top w:val="none" w:sz="0" w:space="0" w:color="auto"/>
        <w:left w:val="none" w:sz="0" w:space="0" w:color="auto"/>
        <w:bottom w:val="none" w:sz="0" w:space="0" w:color="auto"/>
        <w:right w:val="none" w:sz="0" w:space="0" w:color="auto"/>
      </w:divBdr>
    </w:div>
    <w:div w:id="1068455262">
      <w:marLeft w:val="0"/>
      <w:marRight w:val="0"/>
      <w:marTop w:val="0"/>
      <w:marBottom w:val="240"/>
      <w:divBdr>
        <w:top w:val="none" w:sz="0" w:space="0" w:color="auto"/>
        <w:left w:val="none" w:sz="0" w:space="0" w:color="auto"/>
        <w:bottom w:val="none" w:sz="0" w:space="0" w:color="auto"/>
        <w:right w:val="none" w:sz="0" w:space="0" w:color="auto"/>
      </w:divBdr>
    </w:div>
    <w:div w:id="1070229862">
      <w:marLeft w:val="0"/>
      <w:marRight w:val="0"/>
      <w:marTop w:val="0"/>
      <w:marBottom w:val="240"/>
      <w:divBdr>
        <w:top w:val="none" w:sz="0" w:space="0" w:color="auto"/>
        <w:left w:val="none" w:sz="0" w:space="0" w:color="auto"/>
        <w:bottom w:val="none" w:sz="0" w:space="0" w:color="auto"/>
        <w:right w:val="none" w:sz="0" w:space="0" w:color="auto"/>
      </w:divBdr>
    </w:div>
    <w:div w:id="1071007523">
      <w:marLeft w:val="0"/>
      <w:marRight w:val="0"/>
      <w:marTop w:val="0"/>
      <w:marBottom w:val="240"/>
      <w:divBdr>
        <w:top w:val="none" w:sz="0" w:space="0" w:color="auto"/>
        <w:left w:val="none" w:sz="0" w:space="0" w:color="auto"/>
        <w:bottom w:val="none" w:sz="0" w:space="0" w:color="auto"/>
        <w:right w:val="none" w:sz="0" w:space="0" w:color="auto"/>
      </w:divBdr>
    </w:div>
    <w:div w:id="1074207478">
      <w:marLeft w:val="0"/>
      <w:marRight w:val="0"/>
      <w:marTop w:val="180"/>
      <w:marBottom w:val="180"/>
      <w:divBdr>
        <w:top w:val="none" w:sz="0" w:space="0" w:color="auto"/>
        <w:left w:val="none" w:sz="0" w:space="0" w:color="auto"/>
        <w:bottom w:val="none" w:sz="0" w:space="0" w:color="auto"/>
        <w:right w:val="none" w:sz="0" w:space="0" w:color="auto"/>
      </w:divBdr>
    </w:div>
    <w:div w:id="1074544858">
      <w:marLeft w:val="0"/>
      <w:marRight w:val="0"/>
      <w:marTop w:val="0"/>
      <w:marBottom w:val="0"/>
      <w:divBdr>
        <w:top w:val="none" w:sz="0" w:space="0" w:color="auto"/>
        <w:left w:val="none" w:sz="0" w:space="0" w:color="auto"/>
        <w:bottom w:val="none" w:sz="0" w:space="0" w:color="auto"/>
        <w:right w:val="none" w:sz="0" w:space="0" w:color="auto"/>
      </w:divBdr>
      <w:divsChild>
        <w:div w:id="352659400">
          <w:marLeft w:val="0"/>
          <w:marRight w:val="0"/>
          <w:marTop w:val="0"/>
          <w:marBottom w:val="0"/>
          <w:divBdr>
            <w:top w:val="none" w:sz="0" w:space="0" w:color="auto"/>
            <w:left w:val="none" w:sz="0" w:space="0" w:color="auto"/>
            <w:bottom w:val="none" w:sz="0" w:space="0" w:color="auto"/>
            <w:right w:val="none" w:sz="0" w:space="0" w:color="auto"/>
          </w:divBdr>
        </w:div>
      </w:divsChild>
    </w:div>
    <w:div w:id="1076587559">
      <w:marLeft w:val="0"/>
      <w:marRight w:val="0"/>
      <w:marTop w:val="180"/>
      <w:marBottom w:val="180"/>
      <w:divBdr>
        <w:top w:val="none" w:sz="0" w:space="0" w:color="auto"/>
        <w:left w:val="none" w:sz="0" w:space="0" w:color="auto"/>
        <w:bottom w:val="none" w:sz="0" w:space="0" w:color="auto"/>
        <w:right w:val="none" w:sz="0" w:space="0" w:color="auto"/>
      </w:divBdr>
    </w:div>
    <w:div w:id="1077282808">
      <w:marLeft w:val="0"/>
      <w:marRight w:val="0"/>
      <w:marTop w:val="100"/>
      <w:marBottom w:val="100"/>
      <w:divBdr>
        <w:top w:val="none" w:sz="0" w:space="0" w:color="auto"/>
        <w:left w:val="none" w:sz="0" w:space="0" w:color="auto"/>
        <w:bottom w:val="none" w:sz="0" w:space="0" w:color="auto"/>
        <w:right w:val="none" w:sz="0" w:space="0" w:color="auto"/>
      </w:divBdr>
    </w:div>
    <w:div w:id="1078945215">
      <w:marLeft w:val="0"/>
      <w:marRight w:val="0"/>
      <w:marTop w:val="0"/>
      <w:marBottom w:val="180"/>
      <w:divBdr>
        <w:top w:val="none" w:sz="0" w:space="0" w:color="auto"/>
        <w:left w:val="none" w:sz="0" w:space="0" w:color="auto"/>
        <w:bottom w:val="none" w:sz="0" w:space="0" w:color="auto"/>
        <w:right w:val="none" w:sz="0" w:space="0" w:color="auto"/>
      </w:divBdr>
    </w:div>
    <w:div w:id="1079793710">
      <w:marLeft w:val="0"/>
      <w:marRight w:val="0"/>
      <w:marTop w:val="100"/>
      <w:marBottom w:val="100"/>
      <w:divBdr>
        <w:top w:val="none" w:sz="0" w:space="0" w:color="auto"/>
        <w:left w:val="none" w:sz="0" w:space="0" w:color="auto"/>
        <w:bottom w:val="none" w:sz="0" w:space="0" w:color="auto"/>
        <w:right w:val="none" w:sz="0" w:space="0" w:color="auto"/>
      </w:divBdr>
      <w:divsChild>
        <w:div w:id="65301671">
          <w:marLeft w:val="0"/>
          <w:marRight w:val="0"/>
          <w:marTop w:val="0"/>
          <w:marBottom w:val="0"/>
          <w:divBdr>
            <w:top w:val="none" w:sz="0" w:space="0" w:color="auto"/>
            <w:left w:val="none" w:sz="0" w:space="0" w:color="auto"/>
            <w:bottom w:val="none" w:sz="0" w:space="0" w:color="auto"/>
            <w:right w:val="none" w:sz="0" w:space="0" w:color="auto"/>
          </w:divBdr>
        </w:div>
        <w:div w:id="1654487153">
          <w:marLeft w:val="0"/>
          <w:marRight w:val="0"/>
          <w:marTop w:val="0"/>
          <w:marBottom w:val="0"/>
          <w:divBdr>
            <w:top w:val="none" w:sz="0" w:space="0" w:color="auto"/>
            <w:left w:val="none" w:sz="0" w:space="0" w:color="auto"/>
            <w:bottom w:val="none" w:sz="0" w:space="0" w:color="auto"/>
            <w:right w:val="none" w:sz="0" w:space="0" w:color="auto"/>
          </w:divBdr>
        </w:div>
      </w:divsChild>
    </w:div>
    <w:div w:id="1081298477">
      <w:marLeft w:val="0"/>
      <w:marRight w:val="0"/>
      <w:marTop w:val="0"/>
      <w:marBottom w:val="0"/>
      <w:divBdr>
        <w:top w:val="none" w:sz="0" w:space="0" w:color="auto"/>
        <w:left w:val="none" w:sz="0" w:space="0" w:color="auto"/>
        <w:bottom w:val="none" w:sz="0" w:space="0" w:color="auto"/>
        <w:right w:val="none" w:sz="0" w:space="0" w:color="auto"/>
      </w:divBdr>
      <w:divsChild>
        <w:div w:id="956988600">
          <w:marLeft w:val="0"/>
          <w:marRight w:val="0"/>
          <w:marTop w:val="0"/>
          <w:marBottom w:val="0"/>
          <w:divBdr>
            <w:top w:val="none" w:sz="0" w:space="0" w:color="auto"/>
            <w:left w:val="none" w:sz="0" w:space="0" w:color="auto"/>
            <w:bottom w:val="none" w:sz="0" w:space="0" w:color="auto"/>
            <w:right w:val="none" w:sz="0" w:space="0" w:color="auto"/>
          </w:divBdr>
        </w:div>
      </w:divsChild>
    </w:div>
    <w:div w:id="1081485739">
      <w:marLeft w:val="0"/>
      <w:marRight w:val="0"/>
      <w:marTop w:val="0"/>
      <w:marBottom w:val="180"/>
      <w:divBdr>
        <w:top w:val="none" w:sz="0" w:space="0" w:color="auto"/>
        <w:left w:val="none" w:sz="0" w:space="0" w:color="auto"/>
        <w:bottom w:val="none" w:sz="0" w:space="0" w:color="auto"/>
        <w:right w:val="none" w:sz="0" w:space="0" w:color="auto"/>
      </w:divBdr>
    </w:div>
    <w:div w:id="1082872861">
      <w:marLeft w:val="0"/>
      <w:marRight w:val="0"/>
      <w:marTop w:val="0"/>
      <w:marBottom w:val="0"/>
      <w:divBdr>
        <w:top w:val="none" w:sz="0" w:space="0" w:color="auto"/>
        <w:left w:val="none" w:sz="0" w:space="0" w:color="auto"/>
        <w:bottom w:val="none" w:sz="0" w:space="0" w:color="auto"/>
        <w:right w:val="none" w:sz="0" w:space="0" w:color="auto"/>
      </w:divBdr>
    </w:div>
    <w:div w:id="1086655748">
      <w:marLeft w:val="0"/>
      <w:marRight w:val="0"/>
      <w:marTop w:val="0"/>
      <w:marBottom w:val="0"/>
      <w:divBdr>
        <w:top w:val="none" w:sz="0" w:space="0" w:color="auto"/>
        <w:left w:val="none" w:sz="0" w:space="0" w:color="auto"/>
        <w:bottom w:val="none" w:sz="0" w:space="0" w:color="auto"/>
        <w:right w:val="none" w:sz="0" w:space="0" w:color="auto"/>
      </w:divBdr>
      <w:divsChild>
        <w:div w:id="1792439312">
          <w:marLeft w:val="0"/>
          <w:marRight w:val="0"/>
          <w:marTop w:val="0"/>
          <w:marBottom w:val="0"/>
          <w:divBdr>
            <w:top w:val="none" w:sz="0" w:space="0" w:color="auto"/>
            <w:left w:val="none" w:sz="0" w:space="0" w:color="auto"/>
            <w:bottom w:val="none" w:sz="0" w:space="0" w:color="auto"/>
            <w:right w:val="none" w:sz="0" w:space="0" w:color="auto"/>
          </w:divBdr>
        </w:div>
      </w:divsChild>
    </w:div>
    <w:div w:id="1090586452">
      <w:marLeft w:val="0"/>
      <w:marRight w:val="0"/>
      <w:marTop w:val="0"/>
      <w:marBottom w:val="0"/>
      <w:divBdr>
        <w:top w:val="none" w:sz="0" w:space="0" w:color="auto"/>
        <w:left w:val="none" w:sz="0" w:space="0" w:color="auto"/>
        <w:bottom w:val="none" w:sz="0" w:space="0" w:color="auto"/>
        <w:right w:val="none" w:sz="0" w:space="0" w:color="auto"/>
      </w:divBdr>
    </w:div>
    <w:div w:id="1091896858">
      <w:marLeft w:val="0"/>
      <w:marRight w:val="0"/>
      <w:marTop w:val="0"/>
      <w:marBottom w:val="0"/>
      <w:divBdr>
        <w:top w:val="none" w:sz="0" w:space="0" w:color="auto"/>
        <w:left w:val="none" w:sz="0" w:space="0" w:color="auto"/>
        <w:bottom w:val="none" w:sz="0" w:space="0" w:color="auto"/>
        <w:right w:val="none" w:sz="0" w:space="0" w:color="auto"/>
      </w:divBdr>
      <w:divsChild>
        <w:div w:id="66727677">
          <w:marLeft w:val="0"/>
          <w:marRight w:val="0"/>
          <w:marTop w:val="0"/>
          <w:marBottom w:val="0"/>
          <w:divBdr>
            <w:top w:val="none" w:sz="0" w:space="0" w:color="auto"/>
            <w:left w:val="none" w:sz="0" w:space="0" w:color="auto"/>
            <w:bottom w:val="none" w:sz="0" w:space="0" w:color="auto"/>
            <w:right w:val="none" w:sz="0" w:space="0" w:color="auto"/>
          </w:divBdr>
        </w:div>
      </w:divsChild>
    </w:div>
    <w:div w:id="1092891152">
      <w:marLeft w:val="0"/>
      <w:marRight w:val="0"/>
      <w:marTop w:val="100"/>
      <w:marBottom w:val="100"/>
      <w:divBdr>
        <w:top w:val="none" w:sz="0" w:space="0" w:color="auto"/>
        <w:left w:val="none" w:sz="0" w:space="0" w:color="auto"/>
        <w:bottom w:val="none" w:sz="0" w:space="0" w:color="auto"/>
        <w:right w:val="none" w:sz="0" w:space="0" w:color="auto"/>
      </w:divBdr>
    </w:div>
    <w:div w:id="1096288143">
      <w:marLeft w:val="0"/>
      <w:marRight w:val="0"/>
      <w:marTop w:val="0"/>
      <w:marBottom w:val="0"/>
      <w:divBdr>
        <w:top w:val="none" w:sz="0" w:space="0" w:color="auto"/>
        <w:left w:val="none" w:sz="0" w:space="0" w:color="auto"/>
        <w:bottom w:val="none" w:sz="0" w:space="0" w:color="auto"/>
        <w:right w:val="none" w:sz="0" w:space="0" w:color="auto"/>
      </w:divBdr>
    </w:div>
    <w:div w:id="1096488064">
      <w:marLeft w:val="0"/>
      <w:marRight w:val="0"/>
      <w:marTop w:val="0"/>
      <w:marBottom w:val="0"/>
      <w:divBdr>
        <w:top w:val="none" w:sz="0" w:space="0" w:color="auto"/>
        <w:left w:val="none" w:sz="0" w:space="0" w:color="auto"/>
        <w:bottom w:val="none" w:sz="0" w:space="0" w:color="auto"/>
        <w:right w:val="none" w:sz="0" w:space="0" w:color="auto"/>
      </w:divBdr>
    </w:div>
    <w:div w:id="1097360492">
      <w:marLeft w:val="0"/>
      <w:marRight w:val="0"/>
      <w:marTop w:val="0"/>
      <w:marBottom w:val="0"/>
      <w:divBdr>
        <w:top w:val="none" w:sz="0" w:space="0" w:color="auto"/>
        <w:left w:val="none" w:sz="0" w:space="0" w:color="auto"/>
        <w:bottom w:val="none" w:sz="0" w:space="0" w:color="auto"/>
        <w:right w:val="none" w:sz="0" w:space="0" w:color="auto"/>
      </w:divBdr>
    </w:div>
    <w:div w:id="1099331006">
      <w:marLeft w:val="0"/>
      <w:marRight w:val="0"/>
      <w:marTop w:val="180"/>
      <w:marBottom w:val="180"/>
      <w:divBdr>
        <w:top w:val="none" w:sz="0" w:space="0" w:color="auto"/>
        <w:left w:val="none" w:sz="0" w:space="0" w:color="auto"/>
        <w:bottom w:val="none" w:sz="0" w:space="0" w:color="auto"/>
        <w:right w:val="none" w:sz="0" w:space="0" w:color="auto"/>
      </w:divBdr>
    </w:div>
    <w:div w:id="1099718900">
      <w:marLeft w:val="0"/>
      <w:marRight w:val="0"/>
      <w:marTop w:val="180"/>
      <w:marBottom w:val="180"/>
      <w:divBdr>
        <w:top w:val="none" w:sz="0" w:space="0" w:color="auto"/>
        <w:left w:val="none" w:sz="0" w:space="0" w:color="auto"/>
        <w:bottom w:val="none" w:sz="0" w:space="0" w:color="auto"/>
        <w:right w:val="none" w:sz="0" w:space="0" w:color="auto"/>
      </w:divBdr>
    </w:div>
    <w:div w:id="1100560752">
      <w:marLeft w:val="0"/>
      <w:marRight w:val="0"/>
      <w:marTop w:val="0"/>
      <w:marBottom w:val="180"/>
      <w:divBdr>
        <w:top w:val="none" w:sz="0" w:space="0" w:color="auto"/>
        <w:left w:val="none" w:sz="0" w:space="0" w:color="auto"/>
        <w:bottom w:val="none" w:sz="0" w:space="0" w:color="auto"/>
        <w:right w:val="none" w:sz="0" w:space="0" w:color="auto"/>
      </w:divBdr>
    </w:div>
    <w:div w:id="1100642484">
      <w:marLeft w:val="0"/>
      <w:marRight w:val="0"/>
      <w:marTop w:val="0"/>
      <w:marBottom w:val="180"/>
      <w:divBdr>
        <w:top w:val="none" w:sz="0" w:space="0" w:color="auto"/>
        <w:left w:val="none" w:sz="0" w:space="0" w:color="auto"/>
        <w:bottom w:val="none" w:sz="0" w:space="0" w:color="auto"/>
        <w:right w:val="none" w:sz="0" w:space="0" w:color="auto"/>
      </w:divBdr>
    </w:div>
    <w:div w:id="1100755652">
      <w:marLeft w:val="0"/>
      <w:marRight w:val="0"/>
      <w:marTop w:val="0"/>
      <w:marBottom w:val="0"/>
      <w:divBdr>
        <w:top w:val="none" w:sz="0" w:space="0" w:color="auto"/>
        <w:left w:val="none" w:sz="0" w:space="0" w:color="auto"/>
        <w:bottom w:val="none" w:sz="0" w:space="0" w:color="auto"/>
        <w:right w:val="none" w:sz="0" w:space="0" w:color="auto"/>
      </w:divBdr>
      <w:divsChild>
        <w:div w:id="144862844">
          <w:marLeft w:val="0"/>
          <w:marRight w:val="0"/>
          <w:marTop w:val="0"/>
          <w:marBottom w:val="0"/>
          <w:divBdr>
            <w:top w:val="none" w:sz="0" w:space="0" w:color="auto"/>
            <w:left w:val="none" w:sz="0" w:space="0" w:color="auto"/>
            <w:bottom w:val="none" w:sz="0" w:space="0" w:color="auto"/>
            <w:right w:val="none" w:sz="0" w:space="0" w:color="auto"/>
          </w:divBdr>
        </w:div>
      </w:divsChild>
    </w:div>
    <w:div w:id="1104495631">
      <w:marLeft w:val="0"/>
      <w:marRight w:val="0"/>
      <w:marTop w:val="0"/>
      <w:marBottom w:val="240"/>
      <w:divBdr>
        <w:top w:val="none" w:sz="0" w:space="0" w:color="auto"/>
        <w:left w:val="none" w:sz="0" w:space="0" w:color="auto"/>
        <w:bottom w:val="none" w:sz="0" w:space="0" w:color="auto"/>
        <w:right w:val="none" w:sz="0" w:space="0" w:color="auto"/>
      </w:divBdr>
    </w:div>
    <w:div w:id="1104812795">
      <w:marLeft w:val="0"/>
      <w:marRight w:val="0"/>
      <w:marTop w:val="0"/>
      <w:marBottom w:val="0"/>
      <w:divBdr>
        <w:top w:val="none" w:sz="0" w:space="0" w:color="auto"/>
        <w:left w:val="none" w:sz="0" w:space="0" w:color="auto"/>
        <w:bottom w:val="none" w:sz="0" w:space="0" w:color="auto"/>
        <w:right w:val="none" w:sz="0" w:space="0" w:color="auto"/>
      </w:divBdr>
      <w:divsChild>
        <w:div w:id="2038852354">
          <w:marLeft w:val="0"/>
          <w:marRight w:val="0"/>
          <w:marTop w:val="0"/>
          <w:marBottom w:val="0"/>
          <w:divBdr>
            <w:top w:val="none" w:sz="0" w:space="0" w:color="auto"/>
            <w:left w:val="none" w:sz="0" w:space="0" w:color="auto"/>
            <w:bottom w:val="none" w:sz="0" w:space="0" w:color="auto"/>
            <w:right w:val="none" w:sz="0" w:space="0" w:color="auto"/>
          </w:divBdr>
        </w:div>
      </w:divsChild>
    </w:div>
    <w:div w:id="1108309335">
      <w:marLeft w:val="0"/>
      <w:marRight w:val="0"/>
      <w:marTop w:val="0"/>
      <w:marBottom w:val="180"/>
      <w:divBdr>
        <w:top w:val="none" w:sz="0" w:space="0" w:color="auto"/>
        <w:left w:val="none" w:sz="0" w:space="0" w:color="auto"/>
        <w:bottom w:val="none" w:sz="0" w:space="0" w:color="auto"/>
        <w:right w:val="none" w:sz="0" w:space="0" w:color="auto"/>
      </w:divBdr>
    </w:div>
    <w:div w:id="1109660223">
      <w:marLeft w:val="0"/>
      <w:marRight w:val="0"/>
      <w:marTop w:val="120"/>
      <w:marBottom w:val="180"/>
      <w:divBdr>
        <w:top w:val="none" w:sz="0" w:space="0" w:color="auto"/>
        <w:left w:val="none" w:sz="0" w:space="0" w:color="auto"/>
        <w:bottom w:val="none" w:sz="0" w:space="0" w:color="auto"/>
        <w:right w:val="none" w:sz="0" w:space="0" w:color="auto"/>
      </w:divBdr>
    </w:div>
    <w:div w:id="1111320428">
      <w:marLeft w:val="0"/>
      <w:marRight w:val="0"/>
      <w:marTop w:val="0"/>
      <w:marBottom w:val="0"/>
      <w:divBdr>
        <w:top w:val="none" w:sz="0" w:space="0" w:color="auto"/>
        <w:left w:val="none" w:sz="0" w:space="0" w:color="auto"/>
        <w:bottom w:val="none" w:sz="0" w:space="0" w:color="auto"/>
        <w:right w:val="none" w:sz="0" w:space="0" w:color="auto"/>
      </w:divBdr>
    </w:div>
    <w:div w:id="1112355765">
      <w:marLeft w:val="0"/>
      <w:marRight w:val="0"/>
      <w:marTop w:val="0"/>
      <w:marBottom w:val="180"/>
      <w:divBdr>
        <w:top w:val="none" w:sz="0" w:space="0" w:color="auto"/>
        <w:left w:val="none" w:sz="0" w:space="0" w:color="auto"/>
        <w:bottom w:val="none" w:sz="0" w:space="0" w:color="auto"/>
        <w:right w:val="none" w:sz="0" w:space="0" w:color="auto"/>
      </w:divBdr>
    </w:div>
    <w:div w:id="1113943059">
      <w:marLeft w:val="0"/>
      <w:marRight w:val="0"/>
      <w:marTop w:val="180"/>
      <w:marBottom w:val="180"/>
      <w:divBdr>
        <w:top w:val="none" w:sz="0" w:space="0" w:color="auto"/>
        <w:left w:val="none" w:sz="0" w:space="0" w:color="auto"/>
        <w:bottom w:val="none" w:sz="0" w:space="0" w:color="auto"/>
        <w:right w:val="none" w:sz="0" w:space="0" w:color="auto"/>
      </w:divBdr>
    </w:div>
    <w:div w:id="1120104020">
      <w:marLeft w:val="0"/>
      <w:marRight w:val="0"/>
      <w:marTop w:val="0"/>
      <w:marBottom w:val="0"/>
      <w:divBdr>
        <w:top w:val="none" w:sz="0" w:space="0" w:color="auto"/>
        <w:left w:val="none" w:sz="0" w:space="0" w:color="auto"/>
        <w:bottom w:val="none" w:sz="0" w:space="0" w:color="auto"/>
        <w:right w:val="none" w:sz="0" w:space="0" w:color="auto"/>
      </w:divBdr>
    </w:div>
    <w:div w:id="1123497898">
      <w:marLeft w:val="0"/>
      <w:marRight w:val="0"/>
      <w:marTop w:val="0"/>
      <w:marBottom w:val="0"/>
      <w:divBdr>
        <w:top w:val="none" w:sz="0" w:space="0" w:color="auto"/>
        <w:left w:val="none" w:sz="0" w:space="0" w:color="auto"/>
        <w:bottom w:val="none" w:sz="0" w:space="0" w:color="auto"/>
        <w:right w:val="none" w:sz="0" w:space="0" w:color="auto"/>
      </w:divBdr>
      <w:divsChild>
        <w:div w:id="859314259">
          <w:marLeft w:val="0"/>
          <w:marRight w:val="0"/>
          <w:marTop w:val="0"/>
          <w:marBottom w:val="0"/>
          <w:divBdr>
            <w:top w:val="none" w:sz="0" w:space="0" w:color="auto"/>
            <w:left w:val="none" w:sz="0" w:space="0" w:color="auto"/>
            <w:bottom w:val="none" w:sz="0" w:space="0" w:color="auto"/>
            <w:right w:val="none" w:sz="0" w:space="0" w:color="auto"/>
          </w:divBdr>
        </w:div>
      </w:divsChild>
    </w:div>
    <w:div w:id="1123575915">
      <w:marLeft w:val="0"/>
      <w:marRight w:val="0"/>
      <w:marTop w:val="0"/>
      <w:marBottom w:val="60"/>
      <w:divBdr>
        <w:top w:val="none" w:sz="0" w:space="0" w:color="auto"/>
        <w:left w:val="none" w:sz="0" w:space="0" w:color="auto"/>
        <w:bottom w:val="none" w:sz="0" w:space="0" w:color="auto"/>
        <w:right w:val="none" w:sz="0" w:space="0" w:color="auto"/>
      </w:divBdr>
    </w:div>
    <w:div w:id="1127359354">
      <w:marLeft w:val="0"/>
      <w:marRight w:val="0"/>
      <w:marTop w:val="0"/>
      <w:marBottom w:val="180"/>
      <w:divBdr>
        <w:top w:val="none" w:sz="0" w:space="0" w:color="auto"/>
        <w:left w:val="none" w:sz="0" w:space="0" w:color="auto"/>
        <w:bottom w:val="none" w:sz="0" w:space="0" w:color="auto"/>
        <w:right w:val="none" w:sz="0" w:space="0" w:color="auto"/>
      </w:divBdr>
    </w:div>
    <w:div w:id="1127505389">
      <w:marLeft w:val="0"/>
      <w:marRight w:val="0"/>
      <w:marTop w:val="0"/>
      <w:marBottom w:val="240"/>
      <w:divBdr>
        <w:top w:val="none" w:sz="0" w:space="0" w:color="auto"/>
        <w:left w:val="none" w:sz="0" w:space="0" w:color="auto"/>
        <w:bottom w:val="none" w:sz="0" w:space="0" w:color="auto"/>
        <w:right w:val="none" w:sz="0" w:space="0" w:color="auto"/>
      </w:divBdr>
    </w:div>
    <w:div w:id="1127815565">
      <w:marLeft w:val="0"/>
      <w:marRight w:val="0"/>
      <w:marTop w:val="100"/>
      <w:marBottom w:val="100"/>
      <w:divBdr>
        <w:top w:val="none" w:sz="0" w:space="0" w:color="auto"/>
        <w:left w:val="none" w:sz="0" w:space="0" w:color="auto"/>
        <w:bottom w:val="none" w:sz="0" w:space="0" w:color="auto"/>
        <w:right w:val="none" w:sz="0" w:space="0" w:color="auto"/>
      </w:divBdr>
    </w:div>
    <w:div w:id="1129781094">
      <w:marLeft w:val="0"/>
      <w:marRight w:val="0"/>
      <w:marTop w:val="0"/>
      <w:marBottom w:val="0"/>
      <w:divBdr>
        <w:top w:val="none" w:sz="0" w:space="0" w:color="auto"/>
        <w:left w:val="none" w:sz="0" w:space="0" w:color="auto"/>
        <w:bottom w:val="none" w:sz="0" w:space="0" w:color="auto"/>
        <w:right w:val="none" w:sz="0" w:space="0" w:color="auto"/>
      </w:divBdr>
    </w:div>
    <w:div w:id="1129973300">
      <w:marLeft w:val="0"/>
      <w:marRight w:val="0"/>
      <w:marTop w:val="180"/>
      <w:marBottom w:val="180"/>
      <w:divBdr>
        <w:top w:val="none" w:sz="0" w:space="0" w:color="auto"/>
        <w:left w:val="none" w:sz="0" w:space="0" w:color="auto"/>
        <w:bottom w:val="none" w:sz="0" w:space="0" w:color="auto"/>
        <w:right w:val="none" w:sz="0" w:space="0" w:color="auto"/>
      </w:divBdr>
    </w:div>
    <w:div w:id="1130633227">
      <w:marLeft w:val="0"/>
      <w:marRight w:val="0"/>
      <w:marTop w:val="0"/>
      <w:marBottom w:val="180"/>
      <w:divBdr>
        <w:top w:val="none" w:sz="0" w:space="0" w:color="auto"/>
        <w:left w:val="none" w:sz="0" w:space="0" w:color="auto"/>
        <w:bottom w:val="none" w:sz="0" w:space="0" w:color="auto"/>
        <w:right w:val="none" w:sz="0" w:space="0" w:color="auto"/>
      </w:divBdr>
    </w:div>
    <w:div w:id="1131245567">
      <w:marLeft w:val="0"/>
      <w:marRight w:val="0"/>
      <w:marTop w:val="0"/>
      <w:marBottom w:val="240"/>
      <w:divBdr>
        <w:top w:val="none" w:sz="0" w:space="0" w:color="auto"/>
        <w:left w:val="none" w:sz="0" w:space="0" w:color="auto"/>
        <w:bottom w:val="none" w:sz="0" w:space="0" w:color="auto"/>
        <w:right w:val="none" w:sz="0" w:space="0" w:color="auto"/>
      </w:divBdr>
    </w:div>
    <w:div w:id="1131552922">
      <w:marLeft w:val="0"/>
      <w:marRight w:val="0"/>
      <w:marTop w:val="0"/>
      <w:marBottom w:val="0"/>
      <w:divBdr>
        <w:top w:val="none" w:sz="0" w:space="0" w:color="auto"/>
        <w:left w:val="none" w:sz="0" w:space="0" w:color="auto"/>
        <w:bottom w:val="none" w:sz="0" w:space="0" w:color="auto"/>
        <w:right w:val="none" w:sz="0" w:space="0" w:color="auto"/>
      </w:divBdr>
      <w:divsChild>
        <w:div w:id="196630169">
          <w:marLeft w:val="0"/>
          <w:marRight w:val="0"/>
          <w:marTop w:val="0"/>
          <w:marBottom w:val="0"/>
          <w:divBdr>
            <w:top w:val="none" w:sz="0" w:space="0" w:color="auto"/>
            <w:left w:val="none" w:sz="0" w:space="0" w:color="auto"/>
            <w:bottom w:val="none" w:sz="0" w:space="0" w:color="auto"/>
            <w:right w:val="none" w:sz="0" w:space="0" w:color="auto"/>
          </w:divBdr>
        </w:div>
      </w:divsChild>
    </w:div>
    <w:div w:id="1132013949">
      <w:marLeft w:val="0"/>
      <w:marRight w:val="0"/>
      <w:marTop w:val="120"/>
      <w:marBottom w:val="120"/>
      <w:divBdr>
        <w:top w:val="none" w:sz="0" w:space="0" w:color="auto"/>
        <w:left w:val="none" w:sz="0" w:space="0" w:color="auto"/>
        <w:bottom w:val="none" w:sz="0" w:space="0" w:color="auto"/>
        <w:right w:val="none" w:sz="0" w:space="0" w:color="auto"/>
      </w:divBdr>
    </w:div>
    <w:div w:id="1134837775">
      <w:marLeft w:val="0"/>
      <w:marRight w:val="0"/>
      <w:marTop w:val="0"/>
      <w:marBottom w:val="240"/>
      <w:divBdr>
        <w:top w:val="none" w:sz="0" w:space="0" w:color="auto"/>
        <w:left w:val="none" w:sz="0" w:space="0" w:color="auto"/>
        <w:bottom w:val="none" w:sz="0" w:space="0" w:color="auto"/>
        <w:right w:val="none" w:sz="0" w:space="0" w:color="auto"/>
      </w:divBdr>
    </w:div>
    <w:div w:id="1135946866">
      <w:marLeft w:val="0"/>
      <w:marRight w:val="0"/>
      <w:marTop w:val="0"/>
      <w:marBottom w:val="0"/>
      <w:divBdr>
        <w:top w:val="none" w:sz="0" w:space="0" w:color="auto"/>
        <w:left w:val="none" w:sz="0" w:space="0" w:color="auto"/>
        <w:bottom w:val="none" w:sz="0" w:space="0" w:color="auto"/>
        <w:right w:val="none" w:sz="0" w:space="0" w:color="auto"/>
      </w:divBdr>
    </w:div>
    <w:div w:id="1139567928">
      <w:marLeft w:val="0"/>
      <w:marRight w:val="0"/>
      <w:marTop w:val="0"/>
      <w:marBottom w:val="180"/>
      <w:divBdr>
        <w:top w:val="none" w:sz="0" w:space="0" w:color="auto"/>
        <w:left w:val="none" w:sz="0" w:space="0" w:color="auto"/>
        <w:bottom w:val="none" w:sz="0" w:space="0" w:color="auto"/>
        <w:right w:val="none" w:sz="0" w:space="0" w:color="auto"/>
      </w:divBdr>
    </w:div>
    <w:div w:id="1142387304">
      <w:marLeft w:val="0"/>
      <w:marRight w:val="0"/>
      <w:marTop w:val="0"/>
      <w:marBottom w:val="180"/>
      <w:divBdr>
        <w:top w:val="none" w:sz="0" w:space="0" w:color="auto"/>
        <w:left w:val="none" w:sz="0" w:space="0" w:color="auto"/>
        <w:bottom w:val="none" w:sz="0" w:space="0" w:color="auto"/>
        <w:right w:val="none" w:sz="0" w:space="0" w:color="auto"/>
      </w:divBdr>
    </w:div>
    <w:div w:id="1143426386">
      <w:marLeft w:val="0"/>
      <w:marRight w:val="0"/>
      <w:marTop w:val="100"/>
      <w:marBottom w:val="100"/>
      <w:divBdr>
        <w:top w:val="none" w:sz="0" w:space="0" w:color="auto"/>
        <w:left w:val="none" w:sz="0" w:space="0" w:color="auto"/>
        <w:bottom w:val="none" w:sz="0" w:space="0" w:color="auto"/>
        <w:right w:val="none" w:sz="0" w:space="0" w:color="auto"/>
      </w:divBdr>
    </w:div>
    <w:div w:id="1144809966">
      <w:marLeft w:val="0"/>
      <w:marRight w:val="0"/>
      <w:marTop w:val="0"/>
      <w:marBottom w:val="0"/>
      <w:divBdr>
        <w:top w:val="none" w:sz="0" w:space="0" w:color="auto"/>
        <w:left w:val="none" w:sz="0" w:space="0" w:color="auto"/>
        <w:bottom w:val="none" w:sz="0" w:space="0" w:color="auto"/>
        <w:right w:val="none" w:sz="0" w:space="0" w:color="auto"/>
      </w:divBdr>
      <w:divsChild>
        <w:div w:id="1333293429">
          <w:marLeft w:val="0"/>
          <w:marRight w:val="0"/>
          <w:marTop w:val="0"/>
          <w:marBottom w:val="0"/>
          <w:divBdr>
            <w:top w:val="none" w:sz="0" w:space="0" w:color="auto"/>
            <w:left w:val="none" w:sz="0" w:space="0" w:color="auto"/>
            <w:bottom w:val="none" w:sz="0" w:space="0" w:color="auto"/>
            <w:right w:val="none" w:sz="0" w:space="0" w:color="auto"/>
          </w:divBdr>
        </w:div>
      </w:divsChild>
    </w:div>
    <w:div w:id="1145511063">
      <w:marLeft w:val="0"/>
      <w:marRight w:val="0"/>
      <w:marTop w:val="180"/>
      <w:marBottom w:val="180"/>
      <w:divBdr>
        <w:top w:val="none" w:sz="0" w:space="0" w:color="auto"/>
        <w:left w:val="none" w:sz="0" w:space="0" w:color="auto"/>
        <w:bottom w:val="none" w:sz="0" w:space="0" w:color="auto"/>
        <w:right w:val="none" w:sz="0" w:space="0" w:color="auto"/>
      </w:divBdr>
    </w:div>
    <w:div w:id="1146321373">
      <w:marLeft w:val="0"/>
      <w:marRight w:val="0"/>
      <w:marTop w:val="0"/>
      <w:marBottom w:val="0"/>
      <w:divBdr>
        <w:top w:val="none" w:sz="0" w:space="0" w:color="auto"/>
        <w:left w:val="none" w:sz="0" w:space="0" w:color="auto"/>
        <w:bottom w:val="none" w:sz="0" w:space="0" w:color="auto"/>
        <w:right w:val="none" w:sz="0" w:space="0" w:color="auto"/>
      </w:divBdr>
    </w:div>
    <w:div w:id="1146776467">
      <w:marLeft w:val="0"/>
      <w:marRight w:val="0"/>
      <w:marTop w:val="0"/>
      <w:marBottom w:val="180"/>
      <w:divBdr>
        <w:top w:val="none" w:sz="0" w:space="0" w:color="auto"/>
        <w:left w:val="none" w:sz="0" w:space="0" w:color="auto"/>
        <w:bottom w:val="none" w:sz="0" w:space="0" w:color="auto"/>
        <w:right w:val="none" w:sz="0" w:space="0" w:color="auto"/>
      </w:divBdr>
    </w:div>
    <w:div w:id="1152452523">
      <w:marLeft w:val="0"/>
      <w:marRight w:val="0"/>
      <w:marTop w:val="180"/>
      <w:marBottom w:val="180"/>
      <w:divBdr>
        <w:top w:val="none" w:sz="0" w:space="0" w:color="auto"/>
        <w:left w:val="none" w:sz="0" w:space="0" w:color="auto"/>
        <w:bottom w:val="none" w:sz="0" w:space="0" w:color="auto"/>
        <w:right w:val="none" w:sz="0" w:space="0" w:color="auto"/>
      </w:divBdr>
    </w:div>
    <w:div w:id="1152483174">
      <w:marLeft w:val="0"/>
      <w:marRight w:val="0"/>
      <w:marTop w:val="0"/>
      <w:marBottom w:val="240"/>
      <w:divBdr>
        <w:top w:val="none" w:sz="0" w:space="0" w:color="auto"/>
        <w:left w:val="none" w:sz="0" w:space="0" w:color="auto"/>
        <w:bottom w:val="none" w:sz="0" w:space="0" w:color="auto"/>
        <w:right w:val="none" w:sz="0" w:space="0" w:color="auto"/>
      </w:divBdr>
    </w:div>
    <w:div w:id="1152604718">
      <w:marLeft w:val="0"/>
      <w:marRight w:val="0"/>
      <w:marTop w:val="0"/>
      <w:marBottom w:val="0"/>
      <w:divBdr>
        <w:top w:val="none" w:sz="0" w:space="0" w:color="auto"/>
        <w:left w:val="none" w:sz="0" w:space="0" w:color="auto"/>
        <w:bottom w:val="none" w:sz="0" w:space="0" w:color="auto"/>
        <w:right w:val="none" w:sz="0" w:space="0" w:color="auto"/>
      </w:divBdr>
      <w:divsChild>
        <w:div w:id="1331517044">
          <w:marLeft w:val="0"/>
          <w:marRight w:val="0"/>
          <w:marTop w:val="0"/>
          <w:marBottom w:val="0"/>
          <w:divBdr>
            <w:top w:val="none" w:sz="0" w:space="0" w:color="auto"/>
            <w:left w:val="none" w:sz="0" w:space="0" w:color="auto"/>
            <w:bottom w:val="none" w:sz="0" w:space="0" w:color="auto"/>
            <w:right w:val="none" w:sz="0" w:space="0" w:color="auto"/>
          </w:divBdr>
        </w:div>
      </w:divsChild>
    </w:div>
    <w:div w:id="1154101466">
      <w:marLeft w:val="0"/>
      <w:marRight w:val="0"/>
      <w:marTop w:val="0"/>
      <w:marBottom w:val="240"/>
      <w:divBdr>
        <w:top w:val="none" w:sz="0" w:space="0" w:color="auto"/>
        <w:left w:val="none" w:sz="0" w:space="0" w:color="auto"/>
        <w:bottom w:val="none" w:sz="0" w:space="0" w:color="auto"/>
        <w:right w:val="none" w:sz="0" w:space="0" w:color="auto"/>
      </w:divBdr>
    </w:div>
    <w:div w:id="1155224392">
      <w:marLeft w:val="0"/>
      <w:marRight w:val="0"/>
      <w:marTop w:val="0"/>
      <w:marBottom w:val="240"/>
      <w:divBdr>
        <w:top w:val="none" w:sz="0" w:space="0" w:color="auto"/>
        <w:left w:val="none" w:sz="0" w:space="0" w:color="auto"/>
        <w:bottom w:val="none" w:sz="0" w:space="0" w:color="auto"/>
        <w:right w:val="none" w:sz="0" w:space="0" w:color="auto"/>
      </w:divBdr>
    </w:div>
    <w:div w:id="1156989208">
      <w:marLeft w:val="0"/>
      <w:marRight w:val="0"/>
      <w:marTop w:val="0"/>
      <w:marBottom w:val="240"/>
      <w:divBdr>
        <w:top w:val="none" w:sz="0" w:space="0" w:color="auto"/>
        <w:left w:val="none" w:sz="0" w:space="0" w:color="auto"/>
        <w:bottom w:val="none" w:sz="0" w:space="0" w:color="auto"/>
        <w:right w:val="none" w:sz="0" w:space="0" w:color="auto"/>
      </w:divBdr>
    </w:div>
    <w:div w:id="1159539243">
      <w:marLeft w:val="0"/>
      <w:marRight w:val="0"/>
      <w:marTop w:val="0"/>
      <w:marBottom w:val="240"/>
      <w:divBdr>
        <w:top w:val="none" w:sz="0" w:space="0" w:color="auto"/>
        <w:left w:val="none" w:sz="0" w:space="0" w:color="auto"/>
        <w:bottom w:val="none" w:sz="0" w:space="0" w:color="auto"/>
        <w:right w:val="none" w:sz="0" w:space="0" w:color="auto"/>
      </w:divBdr>
    </w:div>
    <w:div w:id="1159544663">
      <w:marLeft w:val="0"/>
      <w:marRight w:val="0"/>
      <w:marTop w:val="0"/>
      <w:marBottom w:val="0"/>
      <w:divBdr>
        <w:top w:val="none" w:sz="0" w:space="0" w:color="auto"/>
        <w:left w:val="none" w:sz="0" w:space="0" w:color="auto"/>
        <w:bottom w:val="none" w:sz="0" w:space="0" w:color="auto"/>
        <w:right w:val="none" w:sz="0" w:space="0" w:color="auto"/>
      </w:divBdr>
    </w:div>
    <w:div w:id="1162115885">
      <w:marLeft w:val="0"/>
      <w:marRight w:val="0"/>
      <w:marTop w:val="100"/>
      <w:marBottom w:val="220"/>
      <w:divBdr>
        <w:top w:val="none" w:sz="0" w:space="0" w:color="auto"/>
        <w:left w:val="none" w:sz="0" w:space="0" w:color="auto"/>
        <w:bottom w:val="none" w:sz="0" w:space="0" w:color="auto"/>
        <w:right w:val="none" w:sz="0" w:space="0" w:color="auto"/>
      </w:divBdr>
    </w:div>
    <w:div w:id="1163006490">
      <w:marLeft w:val="0"/>
      <w:marRight w:val="0"/>
      <w:marTop w:val="0"/>
      <w:marBottom w:val="0"/>
      <w:divBdr>
        <w:top w:val="none" w:sz="0" w:space="0" w:color="auto"/>
        <w:left w:val="none" w:sz="0" w:space="0" w:color="auto"/>
        <w:bottom w:val="none" w:sz="0" w:space="0" w:color="auto"/>
        <w:right w:val="none" w:sz="0" w:space="0" w:color="auto"/>
      </w:divBdr>
    </w:div>
    <w:div w:id="1165897952">
      <w:marLeft w:val="0"/>
      <w:marRight w:val="0"/>
      <w:marTop w:val="0"/>
      <w:marBottom w:val="0"/>
      <w:divBdr>
        <w:top w:val="none" w:sz="0" w:space="0" w:color="auto"/>
        <w:left w:val="none" w:sz="0" w:space="0" w:color="auto"/>
        <w:bottom w:val="none" w:sz="0" w:space="0" w:color="auto"/>
        <w:right w:val="none" w:sz="0" w:space="0" w:color="auto"/>
      </w:divBdr>
    </w:div>
    <w:div w:id="1168138316">
      <w:marLeft w:val="0"/>
      <w:marRight w:val="0"/>
      <w:marTop w:val="0"/>
      <w:marBottom w:val="0"/>
      <w:divBdr>
        <w:top w:val="none" w:sz="0" w:space="0" w:color="auto"/>
        <w:left w:val="none" w:sz="0" w:space="0" w:color="auto"/>
        <w:bottom w:val="none" w:sz="0" w:space="0" w:color="auto"/>
        <w:right w:val="none" w:sz="0" w:space="0" w:color="auto"/>
      </w:divBdr>
    </w:div>
    <w:div w:id="1169710049">
      <w:marLeft w:val="0"/>
      <w:marRight w:val="0"/>
      <w:marTop w:val="0"/>
      <w:marBottom w:val="0"/>
      <w:divBdr>
        <w:top w:val="none" w:sz="0" w:space="0" w:color="auto"/>
        <w:left w:val="none" w:sz="0" w:space="0" w:color="auto"/>
        <w:bottom w:val="none" w:sz="0" w:space="0" w:color="auto"/>
        <w:right w:val="none" w:sz="0" w:space="0" w:color="auto"/>
      </w:divBdr>
      <w:divsChild>
        <w:div w:id="871111984">
          <w:marLeft w:val="0"/>
          <w:marRight w:val="0"/>
          <w:marTop w:val="0"/>
          <w:marBottom w:val="0"/>
          <w:divBdr>
            <w:top w:val="none" w:sz="0" w:space="0" w:color="auto"/>
            <w:left w:val="none" w:sz="0" w:space="0" w:color="auto"/>
            <w:bottom w:val="none" w:sz="0" w:space="0" w:color="auto"/>
            <w:right w:val="none" w:sz="0" w:space="0" w:color="auto"/>
          </w:divBdr>
        </w:div>
      </w:divsChild>
    </w:div>
    <w:div w:id="1170095189">
      <w:marLeft w:val="0"/>
      <w:marRight w:val="0"/>
      <w:marTop w:val="120"/>
      <w:marBottom w:val="120"/>
      <w:divBdr>
        <w:top w:val="none" w:sz="0" w:space="0" w:color="auto"/>
        <w:left w:val="none" w:sz="0" w:space="0" w:color="auto"/>
        <w:bottom w:val="none" w:sz="0" w:space="0" w:color="auto"/>
        <w:right w:val="none" w:sz="0" w:space="0" w:color="auto"/>
      </w:divBdr>
    </w:div>
    <w:div w:id="1170368459">
      <w:marLeft w:val="0"/>
      <w:marRight w:val="0"/>
      <w:marTop w:val="240"/>
      <w:marBottom w:val="240"/>
      <w:divBdr>
        <w:top w:val="none" w:sz="0" w:space="0" w:color="auto"/>
        <w:left w:val="none" w:sz="0" w:space="0" w:color="auto"/>
        <w:bottom w:val="none" w:sz="0" w:space="0" w:color="auto"/>
        <w:right w:val="none" w:sz="0" w:space="0" w:color="auto"/>
      </w:divBdr>
    </w:div>
    <w:div w:id="1173374193">
      <w:marLeft w:val="0"/>
      <w:marRight w:val="0"/>
      <w:marTop w:val="0"/>
      <w:marBottom w:val="0"/>
      <w:divBdr>
        <w:top w:val="none" w:sz="0" w:space="0" w:color="auto"/>
        <w:left w:val="none" w:sz="0" w:space="0" w:color="auto"/>
        <w:bottom w:val="none" w:sz="0" w:space="0" w:color="auto"/>
        <w:right w:val="none" w:sz="0" w:space="0" w:color="auto"/>
      </w:divBdr>
      <w:divsChild>
        <w:div w:id="1393311904">
          <w:marLeft w:val="0"/>
          <w:marRight w:val="0"/>
          <w:marTop w:val="0"/>
          <w:marBottom w:val="0"/>
          <w:divBdr>
            <w:top w:val="none" w:sz="0" w:space="0" w:color="auto"/>
            <w:left w:val="none" w:sz="0" w:space="0" w:color="auto"/>
            <w:bottom w:val="none" w:sz="0" w:space="0" w:color="auto"/>
            <w:right w:val="none" w:sz="0" w:space="0" w:color="auto"/>
          </w:divBdr>
        </w:div>
      </w:divsChild>
    </w:div>
    <w:div w:id="1174493748">
      <w:marLeft w:val="0"/>
      <w:marRight w:val="0"/>
      <w:marTop w:val="0"/>
      <w:marBottom w:val="180"/>
      <w:divBdr>
        <w:top w:val="none" w:sz="0" w:space="0" w:color="auto"/>
        <w:left w:val="none" w:sz="0" w:space="0" w:color="auto"/>
        <w:bottom w:val="none" w:sz="0" w:space="0" w:color="auto"/>
        <w:right w:val="none" w:sz="0" w:space="0" w:color="auto"/>
      </w:divBdr>
    </w:div>
    <w:div w:id="1175805325">
      <w:marLeft w:val="0"/>
      <w:marRight w:val="0"/>
      <w:marTop w:val="180"/>
      <w:marBottom w:val="180"/>
      <w:divBdr>
        <w:top w:val="none" w:sz="0" w:space="0" w:color="auto"/>
        <w:left w:val="none" w:sz="0" w:space="0" w:color="auto"/>
        <w:bottom w:val="none" w:sz="0" w:space="0" w:color="auto"/>
        <w:right w:val="none" w:sz="0" w:space="0" w:color="auto"/>
      </w:divBdr>
    </w:div>
    <w:div w:id="1177118637">
      <w:marLeft w:val="0"/>
      <w:marRight w:val="0"/>
      <w:marTop w:val="0"/>
      <w:marBottom w:val="240"/>
      <w:divBdr>
        <w:top w:val="none" w:sz="0" w:space="0" w:color="auto"/>
        <w:left w:val="none" w:sz="0" w:space="0" w:color="auto"/>
        <w:bottom w:val="none" w:sz="0" w:space="0" w:color="auto"/>
        <w:right w:val="none" w:sz="0" w:space="0" w:color="auto"/>
      </w:divBdr>
    </w:div>
    <w:div w:id="1177698098">
      <w:marLeft w:val="0"/>
      <w:marRight w:val="0"/>
      <w:marTop w:val="120"/>
      <w:marBottom w:val="60"/>
      <w:divBdr>
        <w:top w:val="none" w:sz="0" w:space="0" w:color="auto"/>
        <w:left w:val="none" w:sz="0" w:space="0" w:color="auto"/>
        <w:bottom w:val="none" w:sz="0" w:space="0" w:color="auto"/>
        <w:right w:val="none" w:sz="0" w:space="0" w:color="auto"/>
      </w:divBdr>
    </w:div>
    <w:div w:id="1179730684">
      <w:marLeft w:val="0"/>
      <w:marRight w:val="0"/>
      <w:marTop w:val="120"/>
      <w:marBottom w:val="120"/>
      <w:divBdr>
        <w:top w:val="none" w:sz="0" w:space="0" w:color="auto"/>
        <w:left w:val="none" w:sz="0" w:space="0" w:color="auto"/>
        <w:bottom w:val="none" w:sz="0" w:space="0" w:color="auto"/>
        <w:right w:val="none" w:sz="0" w:space="0" w:color="auto"/>
      </w:divBdr>
    </w:div>
    <w:div w:id="1181242863">
      <w:marLeft w:val="0"/>
      <w:marRight w:val="0"/>
      <w:marTop w:val="0"/>
      <w:marBottom w:val="240"/>
      <w:divBdr>
        <w:top w:val="none" w:sz="0" w:space="0" w:color="auto"/>
        <w:left w:val="none" w:sz="0" w:space="0" w:color="auto"/>
        <w:bottom w:val="none" w:sz="0" w:space="0" w:color="auto"/>
        <w:right w:val="none" w:sz="0" w:space="0" w:color="auto"/>
      </w:divBdr>
    </w:div>
    <w:div w:id="1183015829">
      <w:marLeft w:val="0"/>
      <w:marRight w:val="0"/>
      <w:marTop w:val="0"/>
      <w:marBottom w:val="0"/>
      <w:divBdr>
        <w:top w:val="none" w:sz="0" w:space="0" w:color="auto"/>
        <w:left w:val="none" w:sz="0" w:space="0" w:color="auto"/>
        <w:bottom w:val="none" w:sz="0" w:space="0" w:color="auto"/>
        <w:right w:val="none" w:sz="0" w:space="0" w:color="auto"/>
      </w:divBdr>
      <w:divsChild>
        <w:div w:id="1735351257">
          <w:marLeft w:val="0"/>
          <w:marRight w:val="0"/>
          <w:marTop w:val="0"/>
          <w:marBottom w:val="0"/>
          <w:divBdr>
            <w:top w:val="none" w:sz="0" w:space="0" w:color="auto"/>
            <w:left w:val="none" w:sz="0" w:space="0" w:color="auto"/>
            <w:bottom w:val="none" w:sz="0" w:space="0" w:color="auto"/>
            <w:right w:val="none" w:sz="0" w:space="0" w:color="auto"/>
          </w:divBdr>
        </w:div>
      </w:divsChild>
    </w:div>
    <w:div w:id="1183670151">
      <w:marLeft w:val="0"/>
      <w:marRight w:val="0"/>
      <w:marTop w:val="180"/>
      <w:marBottom w:val="180"/>
      <w:divBdr>
        <w:top w:val="none" w:sz="0" w:space="0" w:color="auto"/>
        <w:left w:val="none" w:sz="0" w:space="0" w:color="auto"/>
        <w:bottom w:val="none" w:sz="0" w:space="0" w:color="auto"/>
        <w:right w:val="none" w:sz="0" w:space="0" w:color="auto"/>
      </w:divBdr>
    </w:div>
    <w:div w:id="1184437809">
      <w:marLeft w:val="0"/>
      <w:marRight w:val="0"/>
      <w:marTop w:val="0"/>
      <w:marBottom w:val="240"/>
      <w:divBdr>
        <w:top w:val="none" w:sz="0" w:space="0" w:color="auto"/>
        <w:left w:val="none" w:sz="0" w:space="0" w:color="auto"/>
        <w:bottom w:val="none" w:sz="0" w:space="0" w:color="auto"/>
        <w:right w:val="none" w:sz="0" w:space="0" w:color="auto"/>
      </w:divBdr>
    </w:div>
    <w:div w:id="1185830779">
      <w:marLeft w:val="0"/>
      <w:marRight w:val="0"/>
      <w:marTop w:val="0"/>
      <w:marBottom w:val="180"/>
      <w:divBdr>
        <w:top w:val="none" w:sz="0" w:space="0" w:color="auto"/>
        <w:left w:val="none" w:sz="0" w:space="0" w:color="auto"/>
        <w:bottom w:val="none" w:sz="0" w:space="0" w:color="auto"/>
        <w:right w:val="none" w:sz="0" w:space="0" w:color="auto"/>
      </w:divBdr>
    </w:div>
    <w:div w:id="1187713165">
      <w:marLeft w:val="0"/>
      <w:marRight w:val="0"/>
      <w:marTop w:val="0"/>
      <w:marBottom w:val="0"/>
      <w:divBdr>
        <w:top w:val="none" w:sz="0" w:space="0" w:color="auto"/>
        <w:left w:val="none" w:sz="0" w:space="0" w:color="auto"/>
        <w:bottom w:val="none" w:sz="0" w:space="0" w:color="auto"/>
        <w:right w:val="none" w:sz="0" w:space="0" w:color="auto"/>
      </w:divBdr>
      <w:divsChild>
        <w:div w:id="345206263">
          <w:marLeft w:val="0"/>
          <w:marRight w:val="0"/>
          <w:marTop w:val="0"/>
          <w:marBottom w:val="0"/>
          <w:divBdr>
            <w:top w:val="none" w:sz="0" w:space="0" w:color="auto"/>
            <w:left w:val="none" w:sz="0" w:space="0" w:color="auto"/>
            <w:bottom w:val="none" w:sz="0" w:space="0" w:color="auto"/>
            <w:right w:val="none" w:sz="0" w:space="0" w:color="auto"/>
          </w:divBdr>
        </w:div>
      </w:divsChild>
    </w:div>
    <w:div w:id="1188102531">
      <w:marLeft w:val="0"/>
      <w:marRight w:val="0"/>
      <w:marTop w:val="120"/>
      <w:marBottom w:val="180"/>
      <w:divBdr>
        <w:top w:val="none" w:sz="0" w:space="0" w:color="auto"/>
        <w:left w:val="none" w:sz="0" w:space="0" w:color="auto"/>
        <w:bottom w:val="none" w:sz="0" w:space="0" w:color="auto"/>
        <w:right w:val="none" w:sz="0" w:space="0" w:color="auto"/>
      </w:divBdr>
    </w:div>
    <w:div w:id="1191454330">
      <w:marLeft w:val="0"/>
      <w:marRight w:val="0"/>
      <w:marTop w:val="0"/>
      <w:marBottom w:val="0"/>
      <w:divBdr>
        <w:top w:val="none" w:sz="0" w:space="0" w:color="auto"/>
        <w:left w:val="none" w:sz="0" w:space="0" w:color="auto"/>
        <w:bottom w:val="none" w:sz="0" w:space="0" w:color="auto"/>
        <w:right w:val="none" w:sz="0" w:space="0" w:color="auto"/>
      </w:divBdr>
    </w:div>
    <w:div w:id="1191838232">
      <w:marLeft w:val="0"/>
      <w:marRight w:val="0"/>
      <w:marTop w:val="180"/>
      <w:marBottom w:val="180"/>
      <w:divBdr>
        <w:top w:val="none" w:sz="0" w:space="0" w:color="auto"/>
        <w:left w:val="none" w:sz="0" w:space="0" w:color="auto"/>
        <w:bottom w:val="none" w:sz="0" w:space="0" w:color="auto"/>
        <w:right w:val="none" w:sz="0" w:space="0" w:color="auto"/>
      </w:divBdr>
    </w:div>
    <w:div w:id="1191991546">
      <w:marLeft w:val="0"/>
      <w:marRight w:val="0"/>
      <w:marTop w:val="0"/>
      <w:marBottom w:val="180"/>
      <w:divBdr>
        <w:top w:val="none" w:sz="0" w:space="0" w:color="auto"/>
        <w:left w:val="none" w:sz="0" w:space="0" w:color="auto"/>
        <w:bottom w:val="none" w:sz="0" w:space="0" w:color="auto"/>
        <w:right w:val="none" w:sz="0" w:space="0" w:color="auto"/>
      </w:divBdr>
    </w:div>
    <w:div w:id="1192765266">
      <w:marLeft w:val="0"/>
      <w:marRight w:val="0"/>
      <w:marTop w:val="0"/>
      <w:marBottom w:val="0"/>
      <w:divBdr>
        <w:top w:val="none" w:sz="0" w:space="0" w:color="auto"/>
        <w:left w:val="none" w:sz="0" w:space="0" w:color="auto"/>
        <w:bottom w:val="none" w:sz="0" w:space="0" w:color="auto"/>
        <w:right w:val="none" w:sz="0" w:space="0" w:color="auto"/>
      </w:divBdr>
    </w:div>
    <w:div w:id="1192844320">
      <w:marLeft w:val="0"/>
      <w:marRight w:val="0"/>
      <w:marTop w:val="180"/>
      <w:marBottom w:val="180"/>
      <w:divBdr>
        <w:top w:val="none" w:sz="0" w:space="0" w:color="auto"/>
        <w:left w:val="none" w:sz="0" w:space="0" w:color="auto"/>
        <w:bottom w:val="none" w:sz="0" w:space="0" w:color="auto"/>
        <w:right w:val="none" w:sz="0" w:space="0" w:color="auto"/>
      </w:divBdr>
    </w:div>
    <w:div w:id="1193542091">
      <w:marLeft w:val="0"/>
      <w:marRight w:val="0"/>
      <w:marTop w:val="180"/>
      <w:marBottom w:val="180"/>
      <w:divBdr>
        <w:top w:val="none" w:sz="0" w:space="0" w:color="auto"/>
        <w:left w:val="none" w:sz="0" w:space="0" w:color="auto"/>
        <w:bottom w:val="none" w:sz="0" w:space="0" w:color="auto"/>
        <w:right w:val="none" w:sz="0" w:space="0" w:color="auto"/>
      </w:divBdr>
    </w:div>
    <w:div w:id="1194609282">
      <w:marLeft w:val="0"/>
      <w:marRight w:val="0"/>
      <w:marTop w:val="0"/>
      <w:marBottom w:val="240"/>
      <w:divBdr>
        <w:top w:val="none" w:sz="0" w:space="0" w:color="auto"/>
        <w:left w:val="none" w:sz="0" w:space="0" w:color="auto"/>
        <w:bottom w:val="none" w:sz="0" w:space="0" w:color="auto"/>
        <w:right w:val="none" w:sz="0" w:space="0" w:color="auto"/>
      </w:divBdr>
    </w:div>
    <w:div w:id="1195264121">
      <w:marLeft w:val="0"/>
      <w:marRight w:val="0"/>
      <w:marTop w:val="0"/>
      <w:marBottom w:val="0"/>
      <w:divBdr>
        <w:top w:val="none" w:sz="0" w:space="0" w:color="auto"/>
        <w:left w:val="none" w:sz="0" w:space="0" w:color="auto"/>
        <w:bottom w:val="none" w:sz="0" w:space="0" w:color="auto"/>
        <w:right w:val="none" w:sz="0" w:space="0" w:color="auto"/>
      </w:divBdr>
      <w:divsChild>
        <w:div w:id="1705785273">
          <w:marLeft w:val="0"/>
          <w:marRight w:val="0"/>
          <w:marTop w:val="0"/>
          <w:marBottom w:val="0"/>
          <w:divBdr>
            <w:top w:val="none" w:sz="0" w:space="0" w:color="auto"/>
            <w:left w:val="none" w:sz="0" w:space="0" w:color="auto"/>
            <w:bottom w:val="none" w:sz="0" w:space="0" w:color="auto"/>
            <w:right w:val="none" w:sz="0" w:space="0" w:color="auto"/>
          </w:divBdr>
        </w:div>
      </w:divsChild>
    </w:div>
    <w:div w:id="1195658374">
      <w:marLeft w:val="0"/>
      <w:marRight w:val="0"/>
      <w:marTop w:val="120"/>
      <w:marBottom w:val="12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196575953">
      <w:marLeft w:val="0"/>
      <w:marRight w:val="0"/>
      <w:marTop w:val="0"/>
      <w:marBottom w:val="0"/>
      <w:divBdr>
        <w:top w:val="none" w:sz="0" w:space="0" w:color="auto"/>
        <w:left w:val="none" w:sz="0" w:space="0" w:color="auto"/>
        <w:bottom w:val="none" w:sz="0" w:space="0" w:color="auto"/>
        <w:right w:val="none" w:sz="0" w:space="0" w:color="auto"/>
      </w:divBdr>
      <w:divsChild>
        <w:div w:id="1456866723">
          <w:marLeft w:val="0"/>
          <w:marRight w:val="0"/>
          <w:marTop w:val="0"/>
          <w:marBottom w:val="0"/>
          <w:divBdr>
            <w:top w:val="none" w:sz="0" w:space="0" w:color="auto"/>
            <w:left w:val="none" w:sz="0" w:space="0" w:color="auto"/>
            <w:bottom w:val="none" w:sz="0" w:space="0" w:color="auto"/>
            <w:right w:val="none" w:sz="0" w:space="0" w:color="auto"/>
          </w:divBdr>
        </w:div>
      </w:divsChild>
    </w:div>
    <w:div w:id="1196773750">
      <w:marLeft w:val="0"/>
      <w:marRight w:val="0"/>
      <w:marTop w:val="0"/>
      <w:marBottom w:val="240"/>
      <w:divBdr>
        <w:top w:val="none" w:sz="0" w:space="0" w:color="auto"/>
        <w:left w:val="none" w:sz="0" w:space="0" w:color="auto"/>
        <w:bottom w:val="none" w:sz="0" w:space="0" w:color="auto"/>
        <w:right w:val="none" w:sz="0" w:space="0" w:color="auto"/>
      </w:divBdr>
    </w:div>
    <w:div w:id="1197426298">
      <w:marLeft w:val="0"/>
      <w:marRight w:val="0"/>
      <w:marTop w:val="0"/>
      <w:marBottom w:val="240"/>
      <w:divBdr>
        <w:top w:val="none" w:sz="0" w:space="0" w:color="auto"/>
        <w:left w:val="none" w:sz="0" w:space="0" w:color="auto"/>
        <w:bottom w:val="none" w:sz="0" w:space="0" w:color="auto"/>
        <w:right w:val="none" w:sz="0" w:space="0" w:color="auto"/>
      </w:divBdr>
    </w:div>
    <w:div w:id="1197547487">
      <w:marLeft w:val="0"/>
      <w:marRight w:val="0"/>
      <w:marTop w:val="0"/>
      <w:marBottom w:val="240"/>
      <w:divBdr>
        <w:top w:val="none" w:sz="0" w:space="0" w:color="auto"/>
        <w:left w:val="none" w:sz="0" w:space="0" w:color="auto"/>
        <w:bottom w:val="none" w:sz="0" w:space="0" w:color="auto"/>
        <w:right w:val="none" w:sz="0" w:space="0" w:color="auto"/>
      </w:divBdr>
    </w:div>
    <w:div w:id="1198154751">
      <w:marLeft w:val="0"/>
      <w:marRight w:val="0"/>
      <w:marTop w:val="0"/>
      <w:marBottom w:val="180"/>
      <w:divBdr>
        <w:top w:val="none" w:sz="0" w:space="0" w:color="auto"/>
        <w:left w:val="none" w:sz="0" w:space="0" w:color="auto"/>
        <w:bottom w:val="none" w:sz="0" w:space="0" w:color="auto"/>
        <w:right w:val="none" w:sz="0" w:space="0" w:color="auto"/>
      </w:divBdr>
    </w:div>
    <w:div w:id="1198854334">
      <w:marLeft w:val="0"/>
      <w:marRight w:val="0"/>
      <w:marTop w:val="0"/>
      <w:marBottom w:val="0"/>
      <w:divBdr>
        <w:top w:val="none" w:sz="0" w:space="0" w:color="auto"/>
        <w:left w:val="none" w:sz="0" w:space="0" w:color="auto"/>
        <w:bottom w:val="none" w:sz="0" w:space="0" w:color="auto"/>
        <w:right w:val="none" w:sz="0" w:space="0" w:color="auto"/>
      </w:divBdr>
    </w:div>
    <w:div w:id="1200624019">
      <w:marLeft w:val="0"/>
      <w:marRight w:val="0"/>
      <w:marTop w:val="100"/>
      <w:marBottom w:val="100"/>
      <w:divBdr>
        <w:top w:val="none" w:sz="0" w:space="0" w:color="auto"/>
        <w:left w:val="none" w:sz="0" w:space="0" w:color="auto"/>
        <w:bottom w:val="none" w:sz="0" w:space="0" w:color="auto"/>
        <w:right w:val="none" w:sz="0" w:space="0" w:color="auto"/>
      </w:divBdr>
    </w:div>
    <w:div w:id="1201437637">
      <w:marLeft w:val="0"/>
      <w:marRight w:val="0"/>
      <w:marTop w:val="180"/>
      <w:marBottom w:val="180"/>
      <w:divBdr>
        <w:top w:val="none" w:sz="0" w:space="0" w:color="auto"/>
        <w:left w:val="none" w:sz="0" w:space="0" w:color="auto"/>
        <w:bottom w:val="none" w:sz="0" w:space="0" w:color="auto"/>
        <w:right w:val="none" w:sz="0" w:space="0" w:color="auto"/>
      </w:divBdr>
    </w:div>
    <w:div w:id="1202792070">
      <w:marLeft w:val="0"/>
      <w:marRight w:val="0"/>
      <w:marTop w:val="0"/>
      <w:marBottom w:val="180"/>
      <w:divBdr>
        <w:top w:val="none" w:sz="0" w:space="0" w:color="auto"/>
        <w:left w:val="none" w:sz="0" w:space="0" w:color="auto"/>
        <w:bottom w:val="none" w:sz="0" w:space="0" w:color="auto"/>
        <w:right w:val="none" w:sz="0" w:space="0" w:color="auto"/>
      </w:divBdr>
    </w:div>
    <w:div w:id="1205020094">
      <w:marLeft w:val="0"/>
      <w:marRight w:val="0"/>
      <w:marTop w:val="100"/>
      <w:marBottom w:val="100"/>
      <w:divBdr>
        <w:top w:val="none" w:sz="0" w:space="0" w:color="auto"/>
        <w:left w:val="none" w:sz="0" w:space="0" w:color="auto"/>
        <w:bottom w:val="none" w:sz="0" w:space="0" w:color="auto"/>
        <w:right w:val="none" w:sz="0" w:space="0" w:color="auto"/>
      </w:divBdr>
    </w:div>
    <w:div w:id="1208181357">
      <w:marLeft w:val="0"/>
      <w:marRight w:val="0"/>
      <w:marTop w:val="0"/>
      <w:marBottom w:val="240"/>
      <w:divBdr>
        <w:top w:val="none" w:sz="0" w:space="0" w:color="auto"/>
        <w:left w:val="none" w:sz="0" w:space="0" w:color="auto"/>
        <w:bottom w:val="none" w:sz="0" w:space="0" w:color="auto"/>
        <w:right w:val="none" w:sz="0" w:space="0" w:color="auto"/>
      </w:divBdr>
    </w:div>
    <w:div w:id="1208447883">
      <w:marLeft w:val="0"/>
      <w:marRight w:val="0"/>
      <w:marTop w:val="0"/>
      <w:marBottom w:val="0"/>
      <w:divBdr>
        <w:top w:val="none" w:sz="0" w:space="0" w:color="auto"/>
        <w:left w:val="none" w:sz="0" w:space="0" w:color="auto"/>
        <w:bottom w:val="none" w:sz="0" w:space="0" w:color="auto"/>
        <w:right w:val="none" w:sz="0" w:space="0" w:color="auto"/>
      </w:divBdr>
      <w:divsChild>
        <w:div w:id="471948703">
          <w:marLeft w:val="0"/>
          <w:marRight w:val="0"/>
          <w:marTop w:val="0"/>
          <w:marBottom w:val="0"/>
          <w:divBdr>
            <w:top w:val="none" w:sz="0" w:space="0" w:color="auto"/>
            <w:left w:val="none" w:sz="0" w:space="0" w:color="auto"/>
            <w:bottom w:val="none" w:sz="0" w:space="0" w:color="auto"/>
            <w:right w:val="none" w:sz="0" w:space="0" w:color="auto"/>
          </w:divBdr>
        </w:div>
      </w:divsChild>
    </w:div>
    <w:div w:id="1209344288">
      <w:marLeft w:val="0"/>
      <w:marRight w:val="0"/>
      <w:marTop w:val="0"/>
      <w:marBottom w:val="240"/>
      <w:divBdr>
        <w:top w:val="none" w:sz="0" w:space="0" w:color="auto"/>
        <w:left w:val="none" w:sz="0" w:space="0" w:color="auto"/>
        <w:bottom w:val="none" w:sz="0" w:space="0" w:color="auto"/>
        <w:right w:val="none" w:sz="0" w:space="0" w:color="auto"/>
      </w:divBdr>
    </w:div>
    <w:div w:id="1212812579">
      <w:marLeft w:val="0"/>
      <w:marRight w:val="0"/>
      <w:marTop w:val="0"/>
      <w:marBottom w:val="240"/>
      <w:divBdr>
        <w:top w:val="none" w:sz="0" w:space="0" w:color="auto"/>
        <w:left w:val="none" w:sz="0" w:space="0" w:color="auto"/>
        <w:bottom w:val="none" w:sz="0" w:space="0" w:color="auto"/>
        <w:right w:val="none" w:sz="0" w:space="0" w:color="auto"/>
      </w:divBdr>
    </w:div>
    <w:div w:id="1214462823">
      <w:marLeft w:val="0"/>
      <w:marRight w:val="0"/>
      <w:marTop w:val="180"/>
      <w:marBottom w:val="180"/>
      <w:divBdr>
        <w:top w:val="none" w:sz="0" w:space="0" w:color="auto"/>
        <w:left w:val="none" w:sz="0" w:space="0" w:color="auto"/>
        <w:bottom w:val="none" w:sz="0" w:space="0" w:color="auto"/>
        <w:right w:val="none" w:sz="0" w:space="0" w:color="auto"/>
      </w:divBdr>
    </w:div>
    <w:div w:id="1215776626">
      <w:marLeft w:val="0"/>
      <w:marRight w:val="0"/>
      <w:marTop w:val="0"/>
      <w:marBottom w:val="180"/>
      <w:divBdr>
        <w:top w:val="none" w:sz="0" w:space="0" w:color="auto"/>
        <w:left w:val="none" w:sz="0" w:space="0" w:color="auto"/>
        <w:bottom w:val="none" w:sz="0" w:space="0" w:color="auto"/>
        <w:right w:val="none" w:sz="0" w:space="0" w:color="auto"/>
      </w:divBdr>
    </w:div>
    <w:div w:id="1217814448">
      <w:marLeft w:val="0"/>
      <w:marRight w:val="0"/>
      <w:marTop w:val="180"/>
      <w:marBottom w:val="180"/>
      <w:divBdr>
        <w:top w:val="none" w:sz="0" w:space="0" w:color="auto"/>
        <w:left w:val="none" w:sz="0" w:space="0" w:color="auto"/>
        <w:bottom w:val="none" w:sz="0" w:space="0" w:color="auto"/>
        <w:right w:val="none" w:sz="0" w:space="0" w:color="auto"/>
      </w:divBdr>
    </w:div>
    <w:div w:id="1220477813">
      <w:marLeft w:val="0"/>
      <w:marRight w:val="0"/>
      <w:marTop w:val="100"/>
      <w:marBottom w:val="100"/>
      <w:divBdr>
        <w:top w:val="none" w:sz="0" w:space="0" w:color="auto"/>
        <w:left w:val="none" w:sz="0" w:space="0" w:color="auto"/>
        <w:bottom w:val="none" w:sz="0" w:space="0" w:color="auto"/>
        <w:right w:val="none" w:sz="0" w:space="0" w:color="auto"/>
      </w:divBdr>
    </w:div>
    <w:div w:id="1222910048">
      <w:marLeft w:val="0"/>
      <w:marRight w:val="0"/>
      <w:marTop w:val="0"/>
      <w:marBottom w:val="240"/>
      <w:divBdr>
        <w:top w:val="none" w:sz="0" w:space="0" w:color="auto"/>
        <w:left w:val="none" w:sz="0" w:space="0" w:color="auto"/>
        <w:bottom w:val="none" w:sz="0" w:space="0" w:color="auto"/>
        <w:right w:val="none" w:sz="0" w:space="0" w:color="auto"/>
      </w:divBdr>
    </w:div>
    <w:div w:id="1226990194">
      <w:marLeft w:val="0"/>
      <w:marRight w:val="0"/>
      <w:marTop w:val="0"/>
      <w:marBottom w:val="0"/>
      <w:divBdr>
        <w:top w:val="none" w:sz="0" w:space="0" w:color="auto"/>
        <w:left w:val="none" w:sz="0" w:space="0" w:color="auto"/>
        <w:bottom w:val="none" w:sz="0" w:space="0" w:color="auto"/>
        <w:right w:val="none" w:sz="0" w:space="0" w:color="auto"/>
      </w:divBdr>
      <w:divsChild>
        <w:div w:id="1024283829">
          <w:marLeft w:val="0"/>
          <w:marRight w:val="0"/>
          <w:marTop w:val="0"/>
          <w:marBottom w:val="0"/>
          <w:divBdr>
            <w:top w:val="none" w:sz="0" w:space="0" w:color="auto"/>
            <w:left w:val="none" w:sz="0" w:space="0" w:color="auto"/>
            <w:bottom w:val="none" w:sz="0" w:space="0" w:color="auto"/>
            <w:right w:val="none" w:sz="0" w:space="0" w:color="auto"/>
          </w:divBdr>
        </w:div>
      </w:divsChild>
    </w:div>
    <w:div w:id="1228226714">
      <w:marLeft w:val="0"/>
      <w:marRight w:val="0"/>
      <w:marTop w:val="0"/>
      <w:marBottom w:val="180"/>
      <w:divBdr>
        <w:top w:val="none" w:sz="0" w:space="0" w:color="auto"/>
        <w:left w:val="none" w:sz="0" w:space="0" w:color="auto"/>
        <w:bottom w:val="none" w:sz="0" w:space="0" w:color="auto"/>
        <w:right w:val="none" w:sz="0" w:space="0" w:color="auto"/>
      </w:divBdr>
    </w:div>
    <w:div w:id="1231111878">
      <w:marLeft w:val="0"/>
      <w:marRight w:val="0"/>
      <w:marTop w:val="0"/>
      <w:marBottom w:val="240"/>
      <w:divBdr>
        <w:top w:val="none" w:sz="0" w:space="0" w:color="auto"/>
        <w:left w:val="none" w:sz="0" w:space="0" w:color="auto"/>
        <w:bottom w:val="none" w:sz="0" w:space="0" w:color="auto"/>
        <w:right w:val="none" w:sz="0" w:space="0" w:color="auto"/>
      </w:divBdr>
    </w:div>
    <w:div w:id="1231115911">
      <w:marLeft w:val="0"/>
      <w:marRight w:val="0"/>
      <w:marTop w:val="120"/>
      <w:marBottom w:val="120"/>
      <w:divBdr>
        <w:top w:val="none" w:sz="0" w:space="0" w:color="auto"/>
        <w:left w:val="none" w:sz="0" w:space="0" w:color="auto"/>
        <w:bottom w:val="none" w:sz="0" w:space="0" w:color="auto"/>
        <w:right w:val="none" w:sz="0" w:space="0" w:color="auto"/>
      </w:divBdr>
    </w:div>
    <w:div w:id="1231622350">
      <w:marLeft w:val="0"/>
      <w:marRight w:val="0"/>
      <w:marTop w:val="0"/>
      <w:marBottom w:val="0"/>
      <w:divBdr>
        <w:top w:val="none" w:sz="0" w:space="0" w:color="auto"/>
        <w:left w:val="none" w:sz="0" w:space="0" w:color="auto"/>
        <w:bottom w:val="none" w:sz="0" w:space="0" w:color="auto"/>
        <w:right w:val="none" w:sz="0" w:space="0" w:color="auto"/>
      </w:divBdr>
      <w:divsChild>
        <w:div w:id="1873567062">
          <w:marLeft w:val="0"/>
          <w:marRight w:val="0"/>
          <w:marTop w:val="0"/>
          <w:marBottom w:val="0"/>
          <w:divBdr>
            <w:top w:val="none" w:sz="0" w:space="0" w:color="auto"/>
            <w:left w:val="none" w:sz="0" w:space="0" w:color="auto"/>
            <w:bottom w:val="none" w:sz="0" w:space="0" w:color="auto"/>
            <w:right w:val="none" w:sz="0" w:space="0" w:color="auto"/>
          </w:divBdr>
        </w:div>
      </w:divsChild>
    </w:div>
    <w:div w:id="1232618233">
      <w:marLeft w:val="0"/>
      <w:marRight w:val="0"/>
      <w:marTop w:val="120"/>
      <w:marBottom w:val="120"/>
      <w:divBdr>
        <w:top w:val="none" w:sz="0" w:space="0" w:color="auto"/>
        <w:left w:val="none" w:sz="0" w:space="0" w:color="auto"/>
        <w:bottom w:val="none" w:sz="0" w:space="0" w:color="auto"/>
        <w:right w:val="none" w:sz="0" w:space="0" w:color="auto"/>
      </w:divBdr>
    </w:div>
    <w:div w:id="1232735882">
      <w:marLeft w:val="0"/>
      <w:marRight w:val="0"/>
      <w:marTop w:val="0"/>
      <w:marBottom w:val="180"/>
      <w:divBdr>
        <w:top w:val="none" w:sz="0" w:space="0" w:color="auto"/>
        <w:left w:val="none" w:sz="0" w:space="0" w:color="auto"/>
        <w:bottom w:val="none" w:sz="0" w:space="0" w:color="auto"/>
        <w:right w:val="none" w:sz="0" w:space="0" w:color="auto"/>
      </w:divBdr>
    </w:div>
    <w:div w:id="1233151992">
      <w:marLeft w:val="0"/>
      <w:marRight w:val="0"/>
      <w:marTop w:val="0"/>
      <w:marBottom w:val="240"/>
      <w:divBdr>
        <w:top w:val="none" w:sz="0" w:space="0" w:color="auto"/>
        <w:left w:val="none" w:sz="0" w:space="0" w:color="auto"/>
        <w:bottom w:val="none" w:sz="0" w:space="0" w:color="auto"/>
        <w:right w:val="none" w:sz="0" w:space="0" w:color="auto"/>
      </w:divBdr>
    </w:div>
    <w:div w:id="1234465276">
      <w:marLeft w:val="0"/>
      <w:marRight w:val="0"/>
      <w:marTop w:val="0"/>
      <w:marBottom w:val="0"/>
      <w:divBdr>
        <w:top w:val="none" w:sz="0" w:space="0" w:color="auto"/>
        <w:left w:val="none" w:sz="0" w:space="0" w:color="auto"/>
        <w:bottom w:val="none" w:sz="0" w:space="0" w:color="auto"/>
        <w:right w:val="none" w:sz="0" w:space="0" w:color="auto"/>
      </w:divBdr>
    </w:div>
    <w:div w:id="1234657693">
      <w:marLeft w:val="0"/>
      <w:marRight w:val="0"/>
      <w:marTop w:val="0"/>
      <w:marBottom w:val="240"/>
      <w:divBdr>
        <w:top w:val="none" w:sz="0" w:space="0" w:color="auto"/>
        <w:left w:val="none" w:sz="0" w:space="0" w:color="auto"/>
        <w:bottom w:val="none" w:sz="0" w:space="0" w:color="auto"/>
        <w:right w:val="none" w:sz="0" w:space="0" w:color="auto"/>
      </w:divBdr>
    </w:div>
    <w:div w:id="1234853165">
      <w:marLeft w:val="0"/>
      <w:marRight w:val="0"/>
      <w:marTop w:val="180"/>
      <w:marBottom w:val="180"/>
      <w:divBdr>
        <w:top w:val="none" w:sz="0" w:space="0" w:color="auto"/>
        <w:left w:val="none" w:sz="0" w:space="0" w:color="auto"/>
        <w:bottom w:val="none" w:sz="0" w:space="0" w:color="auto"/>
        <w:right w:val="none" w:sz="0" w:space="0" w:color="auto"/>
      </w:divBdr>
    </w:div>
    <w:div w:id="1236353629">
      <w:marLeft w:val="0"/>
      <w:marRight w:val="0"/>
      <w:marTop w:val="0"/>
      <w:marBottom w:val="0"/>
      <w:divBdr>
        <w:top w:val="none" w:sz="0" w:space="0" w:color="auto"/>
        <w:left w:val="none" w:sz="0" w:space="0" w:color="auto"/>
        <w:bottom w:val="none" w:sz="0" w:space="0" w:color="auto"/>
        <w:right w:val="none" w:sz="0" w:space="0" w:color="auto"/>
      </w:divBdr>
      <w:divsChild>
        <w:div w:id="216478615">
          <w:marLeft w:val="0"/>
          <w:marRight w:val="0"/>
          <w:marTop w:val="0"/>
          <w:marBottom w:val="0"/>
          <w:divBdr>
            <w:top w:val="none" w:sz="0" w:space="0" w:color="auto"/>
            <w:left w:val="none" w:sz="0" w:space="0" w:color="auto"/>
            <w:bottom w:val="none" w:sz="0" w:space="0" w:color="auto"/>
            <w:right w:val="none" w:sz="0" w:space="0" w:color="auto"/>
          </w:divBdr>
        </w:div>
      </w:divsChild>
    </w:div>
    <w:div w:id="1237781917">
      <w:marLeft w:val="0"/>
      <w:marRight w:val="0"/>
      <w:marTop w:val="180"/>
      <w:marBottom w:val="180"/>
      <w:divBdr>
        <w:top w:val="none" w:sz="0" w:space="0" w:color="auto"/>
        <w:left w:val="none" w:sz="0" w:space="0" w:color="auto"/>
        <w:bottom w:val="none" w:sz="0" w:space="0" w:color="auto"/>
        <w:right w:val="none" w:sz="0" w:space="0" w:color="auto"/>
      </w:divBdr>
    </w:div>
    <w:div w:id="1238977668">
      <w:marLeft w:val="0"/>
      <w:marRight w:val="0"/>
      <w:marTop w:val="0"/>
      <w:marBottom w:val="0"/>
      <w:divBdr>
        <w:top w:val="none" w:sz="0" w:space="0" w:color="auto"/>
        <w:left w:val="none" w:sz="0" w:space="0" w:color="auto"/>
        <w:bottom w:val="none" w:sz="0" w:space="0" w:color="auto"/>
        <w:right w:val="none" w:sz="0" w:space="0" w:color="auto"/>
      </w:divBdr>
    </w:div>
    <w:div w:id="1240138562">
      <w:marLeft w:val="0"/>
      <w:marRight w:val="0"/>
      <w:marTop w:val="0"/>
      <w:marBottom w:val="240"/>
      <w:divBdr>
        <w:top w:val="none" w:sz="0" w:space="0" w:color="auto"/>
        <w:left w:val="none" w:sz="0" w:space="0" w:color="auto"/>
        <w:bottom w:val="none" w:sz="0" w:space="0" w:color="auto"/>
        <w:right w:val="none" w:sz="0" w:space="0" w:color="auto"/>
      </w:divBdr>
    </w:div>
    <w:div w:id="1244532419">
      <w:marLeft w:val="0"/>
      <w:marRight w:val="0"/>
      <w:marTop w:val="0"/>
      <w:marBottom w:val="0"/>
      <w:divBdr>
        <w:top w:val="none" w:sz="0" w:space="0" w:color="auto"/>
        <w:left w:val="none" w:sz="0" w:space="0" w:color="auto"/>
        <w:bottom w:val="none" w:sz="0" w:space="0" w:color="auto"/>
        <w:right w:val="none" w:sz="0" w:space="0" w:color="auto"/>
      </w:divBdr>
    </w:div>
    <w:div w:id="1244952061">
      <w:marLeft w:val="0"/>
      <w:marRight w:val="0"/>
      <w:marTop w:val="120"/>
      <w:marBottom w:val="120"/>
      <w:divBdr>
        <w:top w:val="none" w:sz="0" w:space="0" w:color="auto"/>
        <w:left w:val="none" w:sz="0" w:space="0" w:color="auto"/>
        <w:bottom w:val="none" w:sz="0" w:space="0" w:color="auto"/>
        <w:right w:val="none" w:sz="0" w:space="0" w:color="auto"/>
      </w:divBdr>
    </w:div>
    <w:div w:id="1247615011">
      <w:marLeft w:val="0"/>
      <w:marRight w:val="0"/>
      <w:marTop w:val="0"/>
      <w:marBottom w:val="240"/>
      <w:divBdr>
        <w:top w:val="none" w:sz="0" w:space="0" w:color="auto"/>
        <w:left w:val="none" w:sz="0" w:space="0" w:color="auto"/>
        <w:bottom w:val="none" w:sz="0" w:space="0" w:color="auto"/>
        <w:right w:val="none" w:sz="0" w:space="0" w:color="auto"/>
      </w:divBdr>
    </w:div>
    <w:div w:id="1247880541">
      <w:marLeft w:val="0"/>
      <w:marRight w:val="0"/>
      <w:marTop w:val="0"/>
      <w:marBottom w:val="0"/>
      <w:divBdr>
        <w:top w:val="none" w:sz="0" w:space="0" w:color="auto"/>
        <w:left w:val="none" w:sz="0" w:space="0" w:color="auto"/>
        <w:bottom w:val="none" w:sz="0" w:space="0" w:color="auto"/>
        <w:right w:val="none" w:sz="0" w:space="0" w:color="auto"/>
      </w:divBdr>
    </w:div>
    <w:div w:id="1249389727">
      <w:marLeft w:val="0"/>
      <w:marRight w:val="0"/>
      <w:marTop w:val="180"/>
      <w:marBottom w:val="180"/>
      <w:divBdr>
        <w:top w:val="none" w:sz="0" w:space="0" w:color="auto"/>
        <w:left w:val="none" w:sz="0" w:space="0" w:color="auto"/>
        <w:bottom w:val="none" w:sz="0" w:space="0" w:color="auto"/>
        <w:right w:val="none" w:sz="0" w:space="0" w:color="auto"/>
      </w:divBdr>
    </w:div>
    <w:div w:id="1249583831">
      <w:marLeft w:val="0"/>
      <w:marRight w:val="0"/>
      <w:marTop w:val="0"/>
      <w:marBottom w:val="240"/>
      <w:divBdr>
        <w:top w:val="none" w:sz="0" w:space="0" w:color="auto"/>
        <w:left w:val="none" w:sz="0" w:space="0" w:color="auto"/>
        <w:bottom w:val="none" w:sz="0" w:space="0" w:color="auto"/>
        <w:right w:val="none" w:sz="0" w:space="0" w:color="auto"/>
      </w:divBdr>
    </w:div>
    <w:div w:id="1251042163">
      <w:marLeft w:val="0"/>
      <w:marRight w:val="0"/>
      <w:marTop w:val="0"/>
      <w:marBottom w:val="0"/>
      <w:divBdr>
        <w:top w:val="none" w:sz="0" w:space="0" w:color="auto"/>
        <w:left w:val="none" w:sz="0" w:space="0" w:color="auto"/>
        <w:bottom w:val="none" w:sz="0" w:space="0" w:color="auto"/>
        <w:right w:val="none" w:sz="0" w:space="0" w:color="auto"/>
      </w:divBdr>
    </w:div>
    <w:div w:id="1255015849">
      <w:marLeft w:val="0"/>
      <w:marRight w:val="0"/>
      <w:marTop w:val="0"/>
      <w:marBottom w:val="0"/>
      <w:divBdr>
        <w:top w:val="none" w:sz="0" w:space="0" w:color="auto"/>
        <w:left w:val="none" w:sz="0" w:space="0" w:color="auto"/>
        <w:bottom w:val="none" w:sz="0" w:space="0" w:color="auto"/>
        <w:right w:val="none" w:sz="0" w:space="0" w:color="auto"/>
      </w:divBdr>
      <w:divsChild>
        <w:div w:id="1746805164">
          <w:marLeft w:val="0"/>
          <w:marRight w:val="0"/>
          <w:marTop w:val="0"/>
          <w:marBottom w:val="0"/>
          <w:divBdr>
            <w:top w:val="none" w:sz="0" w:space="0" w:color="auto"/>
            <w:left w:val="none" w:sz="0" w:space="0" w:color="auto"/>
            <w:bottom w:val="none" w:sz="0" w:space="0" w:color="auto"/>
            <w:right w:val="none" w:sz="0" w:space="0" w:color="auto"/>
          </w:divBdr>
        </w:div>
      </w:divsChild>
    </w:div>
    <w:div w:id="1256668540">
      <w:marLeft w:val="0"/>
      <w:marRight w:val="0"/>
      <w:marTop w:val="0"/>
      <w:marBottom w:val="60"/>
      <w:divBdr>
        <w:top w:val="none" w:sz="0" w:space="0" w:color="auto"/>
        <w:left w:val="none" w:sz="0" w:space="0" w:color="auto"/>
        <w:bottom w:val="none" w:sz="0" w:space="0" w:color="auto"/>
        <w:right w:val="none" w:sz="0" w:space="0" w:color="auto"/>
      </w:divBdr>
    </w:div>
    <w:div w:id="1257978604">
      <w:marLeft w:val="0"/>
      <w:marRight w:val="0"/>
      <w:marTop w:val="0"/>
      <w:marBottom w:val="0"/>
      <w:divBdr>
        <w:top w:val="none" w:sz="0" w:space="0" w:color="auto"/>
        <w:left w:val="none" w:sz="0" w:space="0" w:color="auto"/>
        <w:bottom w:val="none" w:sz="0" w:space="0" w:color="auto"/>
        <w:right w:val="none" w:sz="0" w:space="0" w:color="auto"/>
      </w:divBdr>
      <w:divsChild>
        <w:div w:id="851648192">
          <w:marLeft w:val="0"/>
          <w:marRight w:val="0"/>
          <w:marTop w:val="0"/>
          <w:marBottom w:val="0"/>
          <w:divBdr>
            <w:top w:val="none" w:sz="0" w:space="0" w:color="auto"/>
            <w:left w:val="none" w:sz="0" w:space="0" w:color="auto"/>
            <w:bottom w:val="none" w:sz="0" w:space="0" w:color="auto"/>
            <w:right w:val="none" w:sz="0" w:space="0" w:color="auto"/>
          </w:divBdr>
        </w:div>
      </w:divsChild>
    </w:div>
    <w:div w:id="1258052429">
      <w:marLeft w:val="0"/>
      <w:marRight w:val="0"/>
      <w:marTop w:val="0"/>
      <w:marBottom w:val="240"/>
      <w:divBdr>
        <w:top w:val="none" w:sz="0" w:space="0" w:color="auto"/>
        <w:left w:val="none" w:sz="0" w:space="0" w:color="auto"/>
        <w:bottom w:val="none" w:sz="0" w:space="0" w:color="auto"/>
        <w:right w:val="none" w:sz="0" w:space="0" w:color="auto"/>
      </w:divBdr>
    </w:div>
    <w:div w:id="1258712103">
      <w:marLeft w:val="0"/>
      <w:marRight w:val="0"/>
      <w:marTop w:val="120"/>
      <w:marBottom w:val="120"/>
      <w:divBdr>
        <w:top w:val="none" w:sz="0" w:space="0" w:color="auto"/>
        <w:left w:val="none" w:sz="0" w:space="0" w:color="auto"/>
        <w:bottom w:val="none" w:sz="0" w:space="0" w:color="auto"/>
        <w:right w:val="none" w:sz="0" w:space="0" w:color="auto"/>
      </w:divBdr>
    </w:div>
    <w:div w:id="1260287171">
      <w:marLeft w:val="0"/>
      <w:marRight w:val="0"/>
      <w:marTop w:val="0"/>
      <w:marBottom w:val="180"/>
      <w:divBdr>
        <w:top w:val="none" w:sz="0" w:space="0" w:color="auto"/>
        <w:left w:val="none" w:sz="0" w:space="0" w:color="auto"/>
        <w:bottom w:val="none" w:sz="0" w:space="0" w:color="auto"/>
        <w:right w:val="none" w:sz="0" w:space="0" w:color="auto"/>
      </w:divBdr>
    </w:div>
    <w:div w:id="1260867890">
      <w:marLeft w:val="0"/>
      <w:marRight w:val="0"/>
      <w:marTop w:val="0"/>
      <w:marBottom w:val="240"/>
      <w:divBdr>
        <w:top w:val="none" w:sz="0" w:space="0" w:color="auto"/>
        <w:left w:val="none" w:sz="0" w:space="0" w:color="auto"/>
        <w:bottom w:val="none" w:sz="0" w:space="0" w:color="auto"/>
        <w:right w:val="none" w:sz="0" w:space="0" w:color="auto"/>
      </w:divBdr>
    </w:div>
    <w:div w:id="1262639574">
      <w:marLeft w:val="0"/>
      <w:marRight w:val="0"/>
      <w:marTop w:val="120"/>
      <w:marBottom w:val="120"/>
      <w:divBdr>
        <w:top w:val="none" w:sz="0" w:space="0" w:color="auto"/>
        <w:left w:val="none" w:sz="0" w:space="0" w:color="auto"/>
        <w:bottom w:val="none" w:sz="0" w:space="0" w:color="auto"/>
        <w:right w:val="none" w:sz="0" w:space="0" w:color="auto"/>
      </w:divBdr>
    </w:div>
    <w:div w:id="1263417705">
      <w:marLeft w:val="0"/>
      <w:marRight w:val="0"/>
      <w:marTop w:val="0"/>
      <w:marBottom w:val="0"/>
      <w:divBdr>
        <w:top w:val="none" w:sz="0" w:space="0" w:color="auto"/>
        <w:left w:val="none" w:sz="0" w:space="0" w:color="auto"/>
        <w:bottom w:val="none" w:sz="0" w:space="0" w:color="auto"/>
        <w:right w:val="none" w:sz="0" w:space="0" w:color="auto"/>
      </w:divBdr>
    </w:div>
    <w:div w:id="1264653609">
      <w:marLeft w:val="0"/>
      <w:marRight w:val="0"/>
      <w:marTop w:val="0"/>
      <w:marBottom w:val="240"/>
      <w:divBdr>
        <w:top w:val="none" w:sz="0" w:space="0" w:color="auto"/>
        <w:left w:val="none" w:sz="0" w:space="0" w:color="auto"/>
        <w:bottom w:val="none" w:sz="0" w:space="0" w:color="auto"/>
        <w:right w:val="none" w:sz="0" w:space="0" w:color="auto"/>
      </w:divBdr>
    </w:div>
    <w:div w:id="1265305978">
      <w:marLeft w:val="0"/>
      <w:marRight w:val="0"/>
      <w:marTop w:val="0"/>
      <w:marBottom w:val="0"/>
      <w:divBdr>
        <w:top w:val="none" w:sz="0" w:space="0" w:color="auto"/>
        <w:left w:val="none" w:sz="0" w:space="0" w:color="auto"/>
        <w:bottom w:val="none" w:sz="0" w:space="0" w:color="auto"/>
        <w:right w:val="none" w:sz="0" w:space="0" w:color="auto"/>
      </w:divBdr>
      <w:divsChild>
        <w:div w:id="1995138914">
          <w:marLeft w:val="0"/>
          <w:marRight w:val="0"/>
          <w:marTop w:val="0"/>
          <w:marBottom w:val="0"/>
          <w:divBdr>
            <w:top w:val="none" w:sz="0" w:space="0" w:color="auto"/>
            <w:left w:val="none" w:sz="0" w:space="0" w:color="auto"/>
            <w:bottom w:val="none" w:sz="0" w:space="0" w:color="auto"/>
            <w:right w:val="none" w:sz="0" w:space="0" w:color="auto"/>
          </w:divBdr>
        </w:div>
      </w:divsChild>
    </w:div>
    <w:div w:id="1272277379">
      <w:marLeft w:val="0"/>
      <w:marRight w:val="0"/>
      <w:marTop w:val="120"/>
      <w:marBottom w:val="120"/>
      <w:divBdr>
        <w:top w:val="none" w:sz="0" w:space="0" w:color="auto"/>
        <w:left w:val="none" w:sz="0" w:space="0" w:color="auto"/>
        <w:bottom w:val="none" w:sz="0" w:space="0" w:color="auto"/>
        <w:right w:val="none" w:sz="0" w:space="0" w:color="auto"/>
      </w:divBdr>
    </w:div>
    <w:div w:id="1274291586">
      <w:marLeft w:val="0"/>
      <w:marRight w:val="0"/>
      <w:marTop w:val="0"/>
      <w:marBottom w:val="0"/>
      <w:divBdr>
        <w:top w:val="none" w:sz="0" w:space="0" w:color="auto"/>
        <w:left w:val="none" w:sz="0" w:space="0" w:color="auto"/>
        <w:bottom w:val="none" w:sz="0" w:space="0" w:color="auto"/>
        <w:right w:val="none" w:sz="0" w:space="0" w:color="auto"/>
      </w:divBdr>
    </w:div>
    <w:div w:id="1282297376">
      <w:marLeft w:val="0"/>
      <w:marRight w:val="0"/>
      <w:marTop w:val="0"/>
      <w:marBottom w:val="180"/>
      <w:divBdr>
        <w:top w:val="none" w:sz="0" w:space="0" w:color="auto"/>
        <w:left w:val="none" w:sz="0" w:space="0" w:color="auto"/>
        <w:bottom w:val="none" w:sz="0" w:space="0" w:color="auto"/>
        <w:right w:val="none" w:sz="0" w:space="0" w:color="auto"/>
      </w:divBdr>
    </w:div>
    <w:div w:id="1284842777">
      <w:marLeft w:val="0"/>
      <w:marRight w:val="0"/>
      <w:marTop w:val="0"/>
      <w:marBottom w:val="240"/>
      <w:divBdr>
        <w:top w:val="none" w:sz="0" w:space="0" w:color="auto"/>
        <w:left w:val="none" w:sz="0" w:space="0" w:color="auto"/>
        <w:bottom w:val="none" w:sz="0" w:space="0" w:color="auto"/>
        <w:right w:val="none" w:sz="0" w:space="0" w:color="auto"/>
      </w:divBdr>
    </w:div>
    <w:div w:id="1285967083">
      <w:marLeft w:val="0"/>
      <w:marRight w:val="0"/>
      <w:marTop w:val="0"/>
      <w:marBottom w:val="0"/>
      <w:divBdr>
        <w:top w:val="none" w:sz="0" w:space="0" w:color="auto"/>
        <w:left w:val="none" w:sz="0" w:space="0" w:color="auto"/>
        <w:bottom w:val="none" w:sz="0" w:space="0" w:color="auto"/>
        <w:right w:val="none" w:sz="0" w:space="0" w:color="auto"/>
      </w:divBdr>
    </w:div>
    <w:div w:id="1288967643">
      <w:marLeft w:val="0"/>
      <w:marRight w:val="0"/>
      <w:marTop w:val="100"/>
      <w:marBottom w:val="100"/>
      <w:divBdr>
        <w:top w:val="none" w:sz="0" w:space="0" w:color="auto"/>
        <w:left w:val="none" w:sz="0" w:space="0" w:color="auto"/>
        <w:bottom w:val="none" w:sz="0" w:space="0" w:color="auto"/>
        <w:right w:val="none" w:sz="0" w:space="0" w:color="auto"/>
      </w:divBdr>
    </w:div>
    <w:div w:id="1290932866">
      <w:marLeft w:val="0"/>
      <w:marRight w:val="0"/>
      <w:marTop w:val="0"/>
      <w:marBottom w:val="0"/>
      <w:divBdr>
        <w:top w:val="none" w:sz="0" w:space="0" w:color="auto"/>
        <w:left w:val="none" w:sz="0" w:space="0" w:color="auto"/>
        <w:bottom w:val="none" w:sz="0" w:space="0" w:color="auto"/>
        <w:right w:val="none" w:sz="0" w:space="0" w:color="auto"/>
      </w:divBdr>
    </w:div>
    <w:div w:id="1291011143">
      <w:marLeft w:val="0"/>
      <w:marRight w:val="0"/>
      <w:marTop w:val="120"/>
      <w:marBottom w:val="120"/>
      <w:divBdr>
        <w:top w:val="none" w:sz="0" w:space="0" w:color="auto"/>
        <w:left w:val="none" w:sz="0" w:space="0" w:color="auto"/>
        <w:bottom w:val="none" w:sz="0" w:space="0" w:color="auto"/>
        <w:right w:val="none" w:sz="0" w:space="0" w:color="auto"/>
      </w:divBdr>
    </w:div>
    <w:div w:id="1291059565">
      <w:marLeft w:val="0"/>
      <w:marRight w:val="0"/>
      <w:marTop w:val="180"/>
      <w:marBottom w:val="180"/>
      <w:divBdr>
        <w:top w:val="none" w:sz="0" w:space="0" w:color="auto"/>
        <w:left w:val="none" w:sz="0" w:space="0" w:color="auto"/>
        <w:bottom w:val="none" w:sz="0" w:space="0" w:color="auto"/>
        <w:right w:val="none" w:sz="0" w:space="0" w:color="auto"/>
      </w:divBdr>
    </w:div>
    <w:div w:id="1292370288">
      <w:marLeft w:val="0"/>
      <w:marRight w:val="0"/>
      <w:marTop w:val="120"/>
      <w:marBottom w:val="120"/>
      <w:divBdr>
        <w:top w:val="none" w:sz="0" w:space="0" w:color="auto"/>
        <w:left w:val="none" w:sz="0" w:space="0" w:color="auto"/>
        <w:bottom w:val="none" w:sz="0" w:space="0" w:color="auto"/>
        <w:right w:val="none" w:sz="0" w:space="0" w:color="auto"/>
      </w:divBdr>
    </w:div>
    <w:div w:id="1294169783">
      <w:marLeft w:val="0"/>
      <w:marRight w:val="0"/>
      <w:marTop w:val="0"/>
      <w:marBottom w:val="0"/>
      <w:divBdr>
        <w:top w:val="none" w:sz="0" w:space="0" w:color="auto"/>
        <w:left w:val="none" w:sz="0" w:space="0" w:color="auto"/>
        <w:bottom w:val="none" w:sz="0" w:space="0" w:color="auto"/>
        <w:right w:val="none" w:sz="0" w:space="0" w:color="auto"/>
      </w:divBdr>
      <w:divsChild>
        <w:div w:id="1801262964">
          <w:marLeft w:val="0"/>
          <w:marRight w:val="0"/>
          <w:marTop w:val="0"/>
          <w:marBottom w:val="0"/>
          <w:divBdr>
            <w:top w:val="none" w:sz="0" w:space="0" w:color="auto"/>
            <w:left w:val="none" w:sz="0" w:space="0" w:color="auto"/>
            <w:bottom w:val="none" w:sz="0" w:space="0" w:color="auto"/>
            <w:right w:val="none" w:sz="0" w:space="0" w:color="auto"/>
          </w:divBdr>
        </w:div>
      </w:divsChild>
    </w:div>
    <w:div w:id="1298411655">
      <w:marLeft w:val="0"/>
      <w:marRight w:val="0"/>
      <w:marTop w:val="0"/>
      <w:marBottom w:val="180"/>
      <w:divBdr>
        <w:top w:val="none" w:sz="0" w:space="0" w:color="auto"/>
        <w:left w:val="none" w:sz="0" w:space="0" w:color="auto"/>
        <w:bottom w:val="none" w:sz="0" w:space="0" w:color="auto"/>
        <w:right w:val="none" w:sz="0" w:space="0" w:color="auto"/>
      </w:divBdr>
    </w:div>
    <w:div w:id="1299460513">
      <w:marLeft w:val="0"/>
      <w:marRight w:val="0"/>
      <w:marTop w:val="0"/>
      <w:marBottom w:val="180"/>
      <w:divBdr>
        <w:top w:val="none" w:sz="0" w:space="0" w:color="auto"/>
        <w:left w:val="none" w:sz="0" w:space="0" w:color="auto"/>
        <w:bottom w:val="none" w:sz="0" w:space="0" w:color="auto"/>
        <w:right w:val="none" w:sz="0" w:space="0" w:color="auto"/>
      </w:divBdr>
    </w:div>
    <w:div w:id="1300459491">
      <w:marLeft w:val="0"/>
      <w:marRight w:val="0"/>
      <w:marTop w:val="180"/>
      <w:marBottom w:val="180"/>
      <w:divBdr>
        <w:top w:val="none" w:sz="0" w:space="0" w:color="auto"/>
        <w:left w:val="none" w:sz="0" w:space="0" w:color="auto"/>
        <w:bottom w:val="none" w:sz="0" w:space="0" w:color="auto"/>
        <w:right w:val="none" w:sz="0" w:space="0" w:color="auto"/>
      </w:divBdr>
    </w:div>
    <w:div w:id="1300571906">
      <w:marLeft w:val="0"/>
      <w:marRight w:val="0"/>
      <w:marTop w:val="0"/>
      <w:marBottom w:val="0"/>
      <w:divBdr>
        <w:top w:val="none" w:sz="0" w:space="0" w:color="auto"/>
        <w:left w:val="none" w:sz="0" w:space="0" w:color="auto"/>
        <w:bottom w:val="none" w:sz="0" w:space="0" w:color="auto"/>
        <w:right w:val="none" w:sz="0" w:space="0" w:color="auto"/>
      </w:divBdr>
    </w:div>
    <w:div w:id="1302419830">
      <w:marLeft w:val="0"/>
      <w:marRight w:val="0"/>
      <w:marTop w:val="120"/>
      <w:marBottom w:val="180"/>
      <w:divBdr>
        <w:top w:val="none" w:sz="0" w:space="0" w:color="auto"/>
        <w:left w:val="none" w:sz="0" w:space="0" w:color="auto"/>
        <w:bottom w:val="none" w:sz="0" w:space="0" w:color="auto"/>
        <w:right w:val="none" w:sz="0" w:space="0" w:color="auto"/>
      </w:divBdr>
    </w:div>
    <w:div w:id="1304191857">
      <w:marLeft w:val="0"/>
      <w:marRight w:val="0"/>
      <w:marTop w:val="120"/>
      <w:marBottom w:val="180"/>
      <w:divBdr>
        <w:top w:val="none" w:sz="0" w:space="0" w:color="auto"/>
        <w:left w:val="none" w:sz="0" w:space="0" w:color="auto"/>
        <w:bottom w:val="none" w:sz="0" w:space="0" w:color="auto"/>
        <w:right w:val="none" w:sz="0" w:space="0" w:color="auto"/>
      </w:divBdr>
    </w:div>
    <w:div w:id="1305623086">
      <w:marLeft w:val="0"/>
      <w:marRight w:val="0"/>
      <w:marTop w:val="120"/>
      <w:marBottom w:val="120"/>
      <w:divBdr>
        <w:top w:val="none" w:sz="0" w:space="0" w:color="auto"/>
        <w:left w:val="none" w:sz="0" w:space="0" w:color="auto"/>
        <w:bottom w:val="none" w:sz="0" w:space="0" w:color="auto"/>
        <w:right w:val="none" w:sz="0" w:space="0" w:color="auto"/>
      </w:divBdr>
    </w:div>
    <w:div w:id="1305810816">
      <w:marLeft w:val="0"/>
      <w:marRight w:val="0"/>
      <w:marTop w:val="0"/>
      <w:marBottom w:val="240"/>
      <w:divBdr>
        <w:top w:val="none" w:sz="0" w:space="0" w:color="auto"/>
        <w:left w:val="none" w:sz="0" w:space="0" w:color="auto"/>
        <w:bottom w:val="none" w:sz="0" w:space="0" w:color="auto"/>
        <w:right w:val="none" w:sz="0" w:space="0" w:color="auto"/>
      </w:divBdr>
    </w:div>
    <w:div w:id="1306736102">
      <w:marLeft w:val="0"/>
      <w:marRight w:val="0"/>
      <w:marTop w:val="0"/>
      <w:marBottom w:val="240"/>
      <w:divBdr>
        <w:top w:val="none" w:sz="0" w:space="0" w:color="auto"/>
        <w:left w:val="none" w:sz="0" w:space="0" w:color="auto"/>
        <w:bottom w:val="none" w:sz="0" w:space="0" w:color="auto"/>
        <w:right w:val="none" w:sz="0" w:space="0" w:color="auto"/>
      </w:divBdr>
    </w:div>
    <w:div w:id="1312441847">
      <w:marLeft w:val="0"/>
      <w:marRight w:val="0"/>
      <w:marTop w:val="0"/>
      <w:marBottom w:val="0"/>
      <w:divBdr>
        <w:top w:val="none" w:sz="0" w:space="0" w:color="auto"/>
        <w:left w:val="none" w:sz="0" w:space="0" w:color="auto"/>
        <w:bottom w:val="none" w:sz="0" w:space="0" w:color="auto"/>
        <w:right w:val="none" w:sz="0" w:space="0" w:color="auto"/>
      </w:divBdr>
      <w:divsChild>
        <w:div w:id="1182282754">
          <w:marLeft w:val="0"/>
          <w:marRight w:val="0"/>
          <w:marTop w:val="0"/>
          <w:marBottom w:val="0"/>
          <w:divBdr>
            <w:top w:val="none" w:sz="0" w:space="0" w:color="auto"/>
            <w:left w:val="none" w:sz="0" w:space="0" w:color="auto"/>
            <w:bottom w:val="none" w:sz="0" w:space="0" w:color="auto"/>
            <w:right w:val="none" w:sz="0" w:space="0" w:color="auto"/>
          </w:divBdr>
        </w:div>
      </w:divsChild>
    </w:div>
    <w:div w:id="1317027102">
      <w:marLeft w:val="0"/>
      <w:marRight w:val="0"/>
      <w:marTop w:val="0"/>
      <w:marBottom w:val="240"/>
      <w:divBdr>
        <w:top w:val="none" w:sz="0" w:space="0" w:color="auto"/>
        <w:left w:val="none" w:sz="0" w:space="0" w:color="auto"/>
        <w:bottom w:val="none" w:sz="0" w:space="0" w:color="auto"/>
        <w:right w:val="none" w:sz="0" w:space="0" w:color="auto"/>
      </w:divBdr>
    </w:div>
    <w:div w:id="1322545452">
      <w:marLeft w:val="0"/>
      <w:marRight w:val="0"/>
      <w:marTop w:val="100"/>
      <w:marBottom w:val="100"/>
      <w:divBdr>
        <w:top w:val="none" w:sz="0" w:space="0" w:color="auto"/>
        <w:left w:val="none" w:sz="0" w:space="0" w:color="auto"/>
        <w:bottom w:val="none" w:sz="0" w:space="0" w:color="auto"/>
        <w:right w:val="none" w:sz="0" w:space="0" w:color="auto"/>
      </w:divBdr>
    </w:div>
    <w:div w:id="1323970318">
      <w:marLeft w:val="0"/>
      <w:marRight w:val="0"/>
      <w:marTop w:val="120"/>
      <w:marBottom w:val="180"/>
      <w:divBdr>
        <w:top w:val="none" w:sz="0" w:space="0" w:color="auto"/>
        <w:left w:val="none" w:sz="0" w:space="0" w:color="auto"/>
        <w:bottom w:val="none" w:sz="0" w:space="0" w:color="auto"/>
        <w:right w:val="none" w:sz="0" w:space="0" w:color="auto"/>
      </w:divBdr>
    </w:div>
    <w:div w:id="1325620430">
      <w:marLeft w:val="0"/>
      <w:marRight w:val="0"/>
      <w:marTop w:val="100"/>
      <w:marBottom w:val="100"/>
      <w:divBdr>
        <w:top w:val="none" w:sz="0" w:space="0" w:color="auto"/>
        <w:left w:val="none" w:sz="0" w:space="0" w:color="auto"/>
        <w:bottom w:val="none" w:sz="0" w:space="0" w:color="auto"/>
        <w:right w:val="none" w:sz="0" w:space="0" w:color="auto"/>
      </w:divBdr>
    </w:div>
    <w:div w:id="1326973530">
      <w:marLeft w:val="0"/>
      <w:marRight w:val="0"/>
      <w:marTop w:val="180"/>
      <w:marBottom w:val="180"/>
      <w:divBdr>
        <w:top w:val="none" w:sz="0" w:space="0" w:color="auto"/>
        <w:left w:val="none" w:sz="0" w:space="0" w:color="auto"/>
        <w:bottom w:val="none" w:sz="0" w:space="0" w:color="auto"/>
        <w:right w:val="none" w:sz="0" w:space="0" w:color="auto"/>
      </w:divBdr>
    </w:div>
    <w:div w:id="1328433855">
      <w:marLeft w:val="0"/>
      <w:marRight w:val="0"/>
      <w:marTop w:val="0"/>
      <w:marBottom w:val="0"/>
      <w:divBdr>
        <w:top w:val="none" w:sz="0" w:space="0" w:color="auto"/>
        <w:left w:val="none" w:sz="0" w:space="0" w:color="auto"/>
        <w:bottom w:val="none" w:sz="0" w:space="0" w:color="auto"/>
        <w:right w:val="none" w:sz="0" w:space="0" w:color="auto"/>
      </w:divBdr>
    </w:div>
    <w:div w:id="1329361150">
      <w:marLeft w:val="0"/>
      <w:marRight w:val="0"/>
      <w:marTop w:val="180"/>
      <w:marBottom w:val="180"/>
      <w:divBdr>
        <w:top w:val="none" w:sz="0" w:space="0" w:color="auto"/>
        <w:left w:val="none" w:sz="0" w:space="0" w:color="auto"/>
        <w:bottom w:val="none" w:sz="0" w:space="0" w:color="auto"/>
        <w:right w:val="none" w:sz="0" w:space="0" w:color="auto"/>
      </w:divBdr>
    </w:div>
    <w:div w:id="1330132868">
      <w:marLeft w:val="0"/>
      <w:marRight w:val="0"/>
      <w:marTop w:val="120"/>
      <w:marBottom w:val="120"/>
      <w:divBdr>
        <w:top w:val="none" w:sz="0" w:space="0" w:color="auto"/>
        <w:left w:val="none" w:sz="0" w:space="0" w:color="auto"/>
        <w:bottom w:val="none" w:sz="0" w:space="0" w:color="auto"/>
        <w:right w:val="none" w:sz="0" w:space="0" w:color="auto"/>
      </w:divBdr>
    </w:div>
    <w:div w:id="1332681304">
      <w:marLeft w:val="0"/>
      <w:marRight w:val="0"/>
      <w:marTop w:val="0"/>
      <w:marBottom w:val="180"/>
      <w:divBdr>
        <w:top w:val="none" w:sz="0" w:space="0" w:color="auto"/>
        <w:left w:val="none" w:sz="0" w:space="0" w:color="auto"/>
        <w:bottom w:val="none" w:sz="0" w:space="0" w:color="auto"/>
        <w:right w:val="none" w:sz="0" w:space="0" w:color="auto"/>
      </w:divBdr>
    </w:div>
    <w:div w:id="1333534715">
      <w:marLeft w:val="0"/>
      <w:marRight w:val="0"/>
      <w:marTop w:val="0"/>
      <w:marBottom w:val="0"/>
      <w:divBdr>
        <w:top w:val="none" w:sz="0" w:space="0" w:color="auto"/>
        <w:left w:val="none" w:sz="0" w:space="0" w:color="auto"/>
        <w:bottom w:val="none" w:sz="0" w:space="0" w:color="auto"/>
        <w:right w:val="none" w:sz="0" w:space="0" w:color="auto"/>
      </w:divBdr>
      <w:divsChild>
        <w:div w:id="1050886587">
          <w:marLeft w:val="0"/>
          <w:marRight w:val="0"/>
          <w:marTop w:val="0"/>
          <w:marBottom w:val="0"/>
          <w:divBdr>
            <w:top w:val="none" w:sz="0" w:space="0" w:color="auto"/>
            <w:left w:val="none" w:sz="0" w:space="0" w:color="auto"/>
            <w:bottom w:val="none" w:sz="0" w:space="0" w:color="auto"/>
            <w:right w:val="none" w:sz="0" w:space="0" w:color="auto"/>
          </w:divBdr>
        </w:div>
      </w:divsChild>
    </w:div>
    <w:div w:id="1334141393">
      <w:marLeft w:val="0"/>
      <w:marRight w:val="0"/>
      <w:marTop w:val="180"/>
      <w:marBottom w:val="180"/>
      <w:divBdr>
        <w:top w:val="none" w:sz="0" w:space="0" w:color="auto"/>
        <w:left w:val="none" w:sz="0" w:space="0" w:color="auto"/>
        <w:bottom w:val="none" w:sz="0" w:space="0" w:color="auto"/>
        <w:right w:val="none" w:sz="0" w:space="0" w:color="auto"/>
      </w:divBdr>
    </w:div>
    <w:div w:id="1334724502">
      <w:marLeft w:val="0"/>
      <w:marRight w:val="0"/>
      <w:marTop w:val="120"/>
      <w:marBottom w:val="120"/>
      <w:divBdr>
        <w:top w:val="none" w:sz="0" w:space="0" w:color="auto"/>
        <w:left w:val="none" w:sz="0" w:space="0" w:color="auto"/>
        <w:bottom w:val="none" w:sz="0" w:space="0" w:color="auto"/>
        <w:right w:val="none" w:sz="0" w:space="0" w:color="auto"/>
      </w:divBdr>
    </w:div>
    <w:div w:id="1337809782">
      <w:marLeft w:val="0"/>
      <w:marRight w:val="0"/>
      <w:marTop w:val="0"/>
      <w:marBottom w:val="240"/>
      <w:divBdr>
        <w:top w:val="none" w:sz="0" w:space="0" w:color="auto"/>
        <w:left w:val="none" w:sz="0" w:space="0" w:color="auto"/>
        <w:bottom w:val="none" w:sz="0" w:space="0" w:color="auto"/>
        <w:right w:val="none" w:sz="0" w:space="0" w:color="auto"/>
      </w:divBdr>
    </w:div>
    <w:div w:id="1338463070">
      <w:marLeft w:val="0"/>
      <w:marRight w:val="0"/>
      <w:marTop w:val="0"/>
      <w:marBottom w:val="0"/>
      <w:divBdr>
        <w:top w:val="none" w:sz="0" w:space="0" w:color="auto"/>
        <w:left w:val="none" w:sz="0" w:space="0" w:color="auto"/>
        <w:bottom w:val="none" w:sz="0" w:space="0" w:color="auto"/>
        <w:right w:val="none" w:sz="0" w:space="0" w:color="auto"/>
      </w:divBdr>
      <w:divsChild>
        <w:div w:id="1917745329">
          <w:marLeft w:val="0"/>
          <w:marRight w:val="0"/>
          <w:marTop w:val="0"/>
          <w:marBottom w:val="0"/>
          <w:divBdr>
            <w:top w:val="none" w:sz="0" w:space="0" w:color="auto"/>
            <w:left w:val="none" w:sz="0" w:space="0" w:color="auto"/>
            <w:bottom w:val="none" w:sz="0" w:space="0" w:color="auto"/>
            <w:right w:val="none" w:sz="0" w:space="0" w:color="auto"/>
          </w:divBdr>
        </w:div>
      </w:divsChild>
    </w:div>
    <w:div w:id="1340544507">
      <w:marLeft w:val="0"/>
      <w:marRight w:val="0"/>
      <w:marTop w:val="0"/>
      <w:marBottom w:val="180"/>
      <w:divBdr>
        <w:top w:val="none" w:sz="0" w:space="0" w:color="auto"/>
        <w:left w:val="none" w:sz="0" w:space="0" w:color="auto"/>
        <w:bottom w:val="none" w:sz="0" w:space="0" w:color="auto"/>
        <w:right w:val="none" w:sz="0" w:space="0" w:color="auto"/>
      </w:divBdr>
    </w:div>
    <w:div w:id="1344745987">
      <w:marLeft w:val="0"/>
      <w:marRight w:val="0"/>
      <w:marTop w:val="0"/>
      <w:marBottom w:val="0"/>
      <w:divBdr>
        <w:top w:val="none" w:sz="0" w:space="0" w:color="auto"/>
        <w:left w:val="none" w:sz="0" w:space="0" w:color="auto"/>
        <w:bottom w:val="none" w:sz="0" w:space="0" w:color="auto"/>
        <w:right w:val="none" w:sz="0" w:space="0" w:color="auto"/>
      </w:divBdr>
      <w:divsChild>
        <w:div w:id="47607191">
          <w:marLeft w:val="0"/>
          <w:marRight w:val="0"/>
          <w:marTop w:val="0"/>
          <w:marBottom w:val="0"/>
          <w:divBdr>
            <w:top w:val="none" w:sz="0" w:space="0" w:color="auto"/>
            <w:left w:val="none" w:sz="0" w:space="0" w:color="auto"/>
            <w:bottom w:val="none" w:sz="0" w:space="0" w:color="auto"/>
            <w:right w:val="none" w:sz="0" w:space="0" w:color="auto"/>
          </w:divBdr>
        </w:div>
      </w:divsChild>
    </w:div>
    <w:div w:id="1345472895">
      <w:marLeft w:val="0"/>
      <w:marRight w:val="0"/>
      <w:marTop w:val="0"/>
      <w:marBottom w:val="240"/>
      <w:divBdr>
        <w:top w:val="none" w:sz="0" w:space="0" w:color="auto"/>
        <w:left w:val="none" w:sz="0" w:space="0" w:color="auto"/>
        <w:bottom w:val="none" w:sz="0" w:space="0" w:color="auto"/>
        <w:right w:val="none" w:sz="0" w:space="0" w:color="auto"/>
      </w:divBdr>
    </w:div>
    <w:div w:id="1346253099">
      <w:marLeft w:val="0"/>
      <w:marRight w:val="0"/>
      <w:marTop w:val="120"/>
      <w:marBottom w:val="180"/>
      <w:divBdr>
        <w:top w:val="none" w:sz="0" w:space="0" w:color="auto"/>
        <w:left w:val="none" w:sz="0" w:space="0" w:color="auto"/>
        <w:bottom w:val="none" w:sz="0" w:space="0" w:color="auto"/>
        <w:right w:val="none" w:sz="0" w:space="0" w:color="auto"/>
      </w:divBdr>
    </w:div>
    <w:div w:id="1347755392">
      <w:marLeft w:val="0"/>
      <w:marRight w:val="0"/>
      <w:marTop w:val="0"/>
      <w:marBottom w:val="0"/>
      <w:divBdr>
        <w:top w:val="none" w:sz="0" w:space="0" w:color="auto"/>
        <w:left w:val="none" w:sz="0" w:space="0" w:color="auto"/>
        <w:bottom w:val="none" w:sz="0" w:space="0" w:color="auto"/>
        <w:right w:val="none" w:sz="0" w:space="0" w:color="auto"/>
      </w:divBdr>
    </w:div>
    <w:div w:id="1351300739">
      <w:marLeft w:val="0"/>
      <w:marRight w:val="0"/>
      <w:marTop w:val="180"/>
      <w:marBottom w:val="180"/>
      <w:divBdr>
        <w:top w:val="none" w:sz="0" w:space="0" w:color="auto"/>
        <w:left w:val="none" w:sz="0" w:space="0" w:color="auto"/>
        <w:bottom w:val="none" w:sz="0" w:space="0" w:color="auto"/>
        <w:right w:val="none" w:sz="0" w:space="0" w:color="auto"/>
      </w:divBdr>
    </w:div>
    <w:div w:id="1351445278">
      <w:marLeft w:val="0"/>
      <w:marRight w:val="0"/>
      <w:marTop w:val="0"/>
      <w:marBottom w:val="240"/>
      <w:divBdr>
        <w:top w:val="none" w:sz="0" w:space="0" w:color="auto"/>
        <w:left w:val="none" w:sz="0" w:space="0" w:color="auto"/>
        <w:bottom w:val="none" w:sz="0" w:space="0" w:color="auto"/>
        <w:right w:val="none" w:sz="0" w:space="0" w:color="auto"/>
      </w:divBdr>
    </w:div>
    <w:div w:id="1355303145">
      <w:marLeft w:val="0"/>
      <w:marRight w:val="0"/>
      <w:marTop w:val="0"/>
      <w:marBottom w:val="0"/>
      <w:divBdr>
        <w:top w:val="none" w:sz="0" w:space="0" w:color="auto"/>
        <w:left w:val="none" w:sz="0" w:space="0" w:color="auto"/>
        <w:bottom w:val="none" w:sz="0" w:space="0" w:color="auto"/>
        <w:right w:val="none" w:sz="0" w:space="0" w:color="auto"/>
      </w:divBdr>
    </w:div>
    <w:div w:id="1356150621">
      <w:marLeft w:val="0"/>
      <w:marRight w:val="0"/>
      <w:marTop w:val="120"/>
      <w:marBottom w:val="180"/>
      <w:divBdr>
        <w:top w:val="none" w:sz="0" w:space="0" w:color="auto"/>
        <w:left w:val="none" w:sz="0" w:space="0" w:color="auto"/>
        <w:bottom w:val="none" w:sz="0" w:space="0" w:color="auto"/>
        <w:right w:val="none" w:sz="0" w:space="0" w:color="auto"/>
      </w:divBdr>
    </w:div>
    <w:div w:id="1356809193">
      <w:marLeft w:val="0"/>
      <w:marRight w:val="0"/>
      <w:marTop w:val="0"/>
      <w:marBottom w:val="0"/>
      <w:divBdr>
        <w:top w:val="none" w:sz="0" w:space="0" w:color="auto"/>
        <w:left w:val="none" w:sz="0" w:space="0" w:color="auto"/>
        <w:bottom w:val="none" w:sz="0" w:space="0" w:color="auto"/>
        <w:right w:val="none" w:sz="0" w:space="0" w:color="auto"/>
      </w:divBdr>
    </w:div>
    <w:div w:id="1357538091">
      <w:marLeft w:val="0"/>
      <w:marRight w:val="0"/>
      <w:marTop w:val="180"/>
      <w:marBottom w:val="180"/>
      <w:divBdr>
        <w:top w:val="none" w:sz="0" w:space="0" w:color="auto"/>
        <w:left w:val="none" w:sz="0" w:space="0" w:color="auto"/>
        <w:bottom w:val="none" w:sz="0" w:space="0" w:color="auto"/>
        <w:right w:val="none" w:sz="0" w:space="0" w:color="auto"/>
      </w:divBdr>
    </w:div>
    <w:div w:id="1357926290">
      <w:marLeft w:val="0"/>
      <w:marRight w:val="0"/>
      <w:marTop w:val="180"/>
      <w:marBottom w:val="180"/>
      <w:divBdr>
        <w:top w:val="none" w:sz="0" w:space="0" w:color="auto"/>
        <w:left w:val="none" w:sz="0" w:space="0" w:color="auto"/>
        <w:bottom w:val="none" w:sz="0" w:space="0" w:color="auto"/>
        <w:right w:val="none" w:sz="0" w:space="0" w:color="auto"/>
      </w:divBdr>
    </w:div>
    <w:div w:id="1358653677">
      <w:marLeft w:val="0"/>
      <w:marRight w:val="0"/>
      <w:marTop w:val="0"/>
      <w:marBottom w:val="0"/>
      <w:divBdr>
        <w:top w:val="none" w:sz="0" w:space="0" w:color="auto"/>
        <w:left w:val="none" w:sz="0" w:space="0" w:color="auto"/>
        <w:bottom w:val="none" w:sz="0" w:space="0" w:color="auto"/>
        <w:right w:val="none" w:sz="0" w:space="0" w:color="auto"/>
      </w:divBdr>
    </w:div>
    <w:div w:id="1361390595">
      <w:marLeft w:val="0"/>
      <w:marRight w:val="0"/>
      <w:marTop w:val="0"/>
      <w:marBottom w:val="180"/>
      <w:divBdr>
        <w:top w:val="none" w:sz="0" w:space="0" w:color="auto"/>
        <w:left w:val="none" w:sz="0" w:space="0" w:color="auto"/>
        <w:bottom w:val="none" w:sz="0" w:space="0" w:color="auto"/>
        <w:right w:val="none" w:sz="0" w:space="0" w:color="auto"/>
      </w:divBdr>
    </w:div>
    <w:div w:id="1362049870">
      <w:marLeft w:val="0"/>
      <w:marRight w:val="0"/>
      <w:marTop w:val="180"/>
      <w:marBottom w:val="180"/>
      <w:divBdr>
        <w:top w:val="none" w:sz="0" w:space="0" w:color="auto"/>
        <w:left w:val="none" w:sz="0" w:space="0" w:color="auto"/>
        <w:bottom w:val="none" w:sz="0" w:space="0" w:color="auto"/>
        <w:right w:val="none" w:sz="0" w:space="0" w:color="auto"/>
      </w:divBdr>
    </w:div>
    <w:div w:id="1362514953">
      <w:marLeft w:val="0"/>
      <w:marRight w:val="0"/>
      <w:marTop w:val="0"/>
      <w:marBottom w:val="0"/>
      <w:divBdr>
        <w:top w:val="none" w:sz="0" w:space="0" w:color="auto"/>
        <w:left w:val="none" w:sz="0" w:space="0" w:color="auto"/>
        <w:bottom w:val="none" w:sz="0" w:space="0" w:color="auto"/>
        <w:right w:val="none" w:sz="0" w:space="0" w:color="auto"/>
      </w:divBdr>
      <w:divsChild>
        <w:div w:id="543521336">
          <w:marLeft w:val="0"/>
          <w:marRight w:val="0"/>
          <w:marTop w:val="0"/>
          <w:marBottom w:val="0"/>
          <w:divBdr>
            <w:top w:val="none" w:sz="0" w:space="0" w:color="auto"/>
            <w:left w:val="none" w:sz="0" w:space="0" w:color="auto"/>
            <w:bottom w:val="none" w:sz="0" w:space="0" w:color="auto"/>
            <w:right w:val="none" w:sz="0" w:space="0" w:color="auto"/>
          </w:divBdr>
        </w:div>
      </w:divsChild>
    </w:div>
    <w:div w:id="1364478001">
      <w:marLeft w:val="0"/>
      <w:marRight w:val="0"/>
      <w:marTop w:val="240"/>
      <w:marBottom w:val="240"/>
      <w:divBdr>
        <w:top w:val="none" w:sz="0" w:space="0" w:color="auto"/>
        <w:left w:val="none" w:sz="0" w:space="0" w:color="auto"/>
        <w:bottom w:val="none" w:sz="0" w:space="0" w:color="auto"/>
        <w:right w:val="none" w:sz="0" w:space="0" w:color="auto"/>
      </w:divBdr>
    </w:div>
    <w:div w:id="1364986470">
      <w:marLeft w:val="0"/>
      <w:marRight w:val="0"/>
      <w:marTop w:val="180"/>
      <w:marBottom w:val="180"/>
      <w:divBdr>
        <w:top w:val="none" w:sz="0" w:space="0" w:color="auto"/>
        <w:left w:val="none" w:sz="0" w:space="0" w:color="auto"/>
        <w:bottom w:val="none" w:sz="0" w:space="0" w:color="auto"/>
        <w:right w:val="none" w:sz="0" w:space="0" w:color="auto"/>
      </w:divBdr>
    </w:div>
    <w:div w:id="1366446866">
      <w:marLeft w:val="0"/>
      <w:marRight w:val="0"/>
      <w:marTop w:val="0"/>
      <w:marBottom w:val="240"/>
      <w:divBdr>
        <w:top w:val="none" w:sz="0" w:space="0" w:color="auto"/>
        <w:left w:val="none" w:sz="0" w:space="0" w:color="auto"/>
        <w:bottom w:val="none" w:sz="0" w:space="0" w:color="auto"/>
        <w:right w:val="none" w:sz="0" w:space="0" w:color="auto"/>
      </w:divBdr>
    </w:div>
    <w:div w:id="1366830089">
      <w:marLeft w:val="0"/>
      <w:marRight w:val="0"/>
      <w:marTop w:val="0"/>
      <w:marBottom w:val="240"/>
      <w:divBdr>
        <w:top w:val="none" w:sz="0" w:space="0" w:color="auto"/>
        <w:left w:val="none" w:sz="0" w:space="0" w:color="auto"/>
        <w:bottom w:val="none" w:sz="0" w:space="0" w:color="auto"/>
        <w:right w:val="none" w:sz="0" w:space="0" w:color="auto"/>
      </w:divBdr>
    </w:div>
    <w:div w:id="1367557785">
      <w:marLeft w:val="0"/>
      <w:marRight w:val="0"/>
      <w:marTop w:val="0"/>
      <w:marBottom w:val="180"/>
      <w:divBdr>
        <w:top w:val="none" w:sz="0" w:space="0" w:color="auto"/>
        <w:left w:val="none" w:sz="0" w:space="0" w:color="auto"/>
        <w:bottom w:val="none" w:sz="0" w:space="0" w:color="auto"/>
        <w:right w:val="none" w:sz="0" w:space="0" w:color="auto"/>
      </w:divBdr>
    </w:div>
    <w:div w:id="1368217086">
      <w:marLeft w:val="0"/>
      <w:marRight w:val="0"/>
      <w:marTop w:val="0"/>
      <w:marBottom w:val="0"/>
      <w:divBdr>
        <w:top w:val="none" w:sz="0" w:space="0" w:color="auto"/>
        <w:left w:val="none" w:sz="0" w:space="0" w:color="auto"/>
        <w:bottom w:val="none" w:sz="0" w:space="0" w:color="auto"/>
        <w:right w:val="none" w:sz="0" w:space="0" w:color="auto"/>
      </w:divBdr>
      <w:divsChild>
        <w:div w:id="1468426136">
          <w:marLeft w:val="0"/>
          <w:marRight w:val="0"/>
          <w:marTop w:val="0"/>
          <w:marBottom w:val="0"/>
          <w:divBdr>
            <w:top w:val="none" w:sz="0" w:space="0" w:color="auto"/>
            <w:left w:val="none" w:sz="0" w:space="0" w:color="auto"/>
            <w:bottom w:val="none" w:sz="0" w:space="0" w:color="auto"/>
            <w:right w:val="none" w:sz="0" w:space="0" w:color="auto"/>
          </w:divBdr>
        </w:div>
      </w:divsChild>
    </w:div>
    <w:div w:id="1368867187">
      <w:marLeft w:val="0"/>
      <w:marRight w:val="0"/>
      <w:marTop w:val="0"/>
      <w:marBottom w:val="180"/>
      <w:divBdr>
        <w:top w:val="none" w:sz="0" w:space="0" w:color="auto"/>
        <w:left w:val="none" w:sz="0" w:space="0" w:color="auto"/>
        <w:bottom w:val="none" w:sz="0" w:space="0" w:color="auto"/>
        <w:right w:val="none" w:sz="0" w:space="0" w:color="auto"/>
      </w:divBdr>
    </w:div>
    <w:div w:id="1369136714">
      <w:marLeft w:val="0"/>
      <w:marRight w:val="0"/>
      <w:marTop w:val="0"/>
      <w:marBottom w:val="240"/>
      <w:divBdr>
        <w:top w:val="none" w:sz="0" w:space="0" w:color="auto"/>
        <w:left w:val="none" w:sz="0" w:space="0" w:color="auto"/>
        <w:bottom w:val="none" w:sz="0" w:space="0" w:color="auto"/>
        <w:right w:val="none" w:sz="0" w:space="0" w:color="auto"/>
      </w:divBdr>
    </w:div>
    <w:div w:id="1369525789">
      <w:marLeft w:val="0"/>
      <w:marRight w:val="0"/>
      <w:marTop w:val="180"/>
      <w:marBottom w:val="180"/>
      <w:divBdr>
        <w:top w:val="none" w:sz="0" w:space="0" w:color="auto"/>
        <w:left w:val="none" w:sz="0" w:space="0" w:color="auto"/>
        <w:bottom w:val="none" w:sz="0" w:space="0" w:color="auto"/>
        <w:right w:val="none" w:sz="0" w:space="0" w:color="auto"/>
      </w:divBdr>
    </w:div>
    <w:div w:id="1370912299">
      <w:marLeft w:val="0"/>
      <w:marRight w:val="0"/>
      <w:marTop w:val="0"/>
      <w:marBottom w:val="180"/>
      <w:divBdr>
        <w:top w:val="none" w:sz="0" w:space="0" w:color="auto"/>
        <w:left w:val="none" w:sz="0" w:space="0" w:color="auto"/>
        <w:bottom w:val="none" w:sz="0" w:space="0" w:color="auto"/>
        <w:right w:val="none" w:sz="0" w:space="0" w:color="auto"/>
      </w:divBdr>
    </w:div>
    <w:div w:id="1372417375">
      <w:marLeft w:val="0"/>
      <w:marRight w:val="0"/>
      <w:marTop w:val="0"/>
      <w:marBottom w:val="240"/>
      <w:divBdr>
        <w:top w:val="none" w:sz="0" w:space="0" w:color="auto"/>
        <w:left w:val="none" w:sz="0" w:space="0" w:color="auto"/>
        <w:bottom w:val="none" w:sz="0" w:space="0" w:color="auto"/>
        <w:right w:val="none" w:sz="0" w:space="0" w:color="auto"/>
      </w:divBdr>
    </w:div>
    <w:div w:id="1372681605">
      <w:marLeft w:val="0"/>
      <w:marRight w:val="0"/>
      <w:marTop w:val="120"/>
      <w:marBottom w:val="120"/>
      <w:divBdr>
        <w:top w:val="none" w:sz="0" w:space="0" w:color="auto"/>
        <w:left w:val="none" w:sz="0" w:space="0" w:color="auto"/>
        <w:bottom w:val="none" w:sz="0" w:space="0" w:color="auto"/>
        <w:right w:val="none" w:sz="0" w:space="0" w:color="auto"/>
      </w:divBdr>
    </w:div>
    <w:div w:id="1374380173">
      <w:marLeft w:val="0"/>
      <w:marRight w:val="0"/>
      <w:marTop w:val="60"/>
      <w:marBottom w:val="120"/>
      <w:divBdr>
        <w:top w:val="none" w:sz="0" w:space="0" w:color="auto"/>
        <w:left w:val="none" w:sz="0" w:space="0" w:color="auto"/>
        <w:bottom w:val="none" w:sz="0" w:space="0" w:color="auto"/>
        <w:right w:val="none" w:sz="0" w:space="0" w:color="auto"/>
      </w:divBdr>
    </w:div>
    <w:div w:id="1374695478">
      <w:marLeft w:val="0"/>
      <w:marRight w:val="0"/>
      <w:marTop w:val="0"/>
      <w:marBottom w:val="0"/>
      <w:divBdr>
        <w:top w:val="none" w:sz="0" w:space="0" w:color="auto"/>
        <w:left w:val="none" w:sz="0" w:space="0" w:color="auto"/>
        <w:bottom w:val="none" w:sz="0" w:space="0" w:color="auto"/>
        <w:right w:val="none" w:sz="0" w:space="0" w:color="auto"/>
      </w:divBdr>
      <w:divsChild>
        <w:div w:id="1087851641">
          <w:marLeft w:val="0"/>
          <w:marRight w:val="0"/>
          <w:marTop w:val="0"/>
          <w:marBottom w:val="0"/>
          <w:divBdr>
            <w:top w:val="none" w:sz="0" w:space="0" w:color="auto"/>
            <w:left w:val="none" w:sz="0" w:space="0" w:color="auto"/>
            <w:bottom w:val="none" w:sz="0" w:space="0" w:color="auto"/>
            <w:right w:val="none" w:sz="0" w:space="0" w:color="auto"/>
          </w:divBdr>
        </w:div>
      </w:divsChild>
    </w:div>
    <w:div w:id="1376615007">
      <w:marLeft w:val="0"/>
      <w:marRight w:val="0"/>
      <w:marTop w:val="0"/>
      <w:marBottom w:val="240"/>
      <w:divBdr>
        <w:top w:val="none" w:sz="0" w:space="0" w:color="auto"/>
        <w:left w:val="none" w:sz="0" w:space="0" w:color="auto"/>
        <w:bottom w:val="none" w:sz="0" w:space="0" w:color="auto"/>
        <w:right w:val="none" w:sz="0" w:space="0" w:color="auto"/>
      </w:divBdr>
    </w:div>
    <w:div w:id="1376615920">
      <w:marLeft w:val="0"/>
      <w:marRight w:val="0"/>
      <w:marTop w:val="0"/>
      <w:marBottom w:val="180"/>
      <w:divBdr>
        <w:top w:val="none" w:sz="0" w:space="0" w:color="auto"/>
        <w:left w:val="none" w:sz="0" w:space="0" w:color="auto"/>
        <w:bottom w:val="none" w:sz="0" w:space="0" w:color="auto"/>
        <w:right w:val="none" w:sz="0" w:space="0" w:color="auto"/>
      </w:divBdr>
    </w:div>
    <w:div w:id="1379547768">
      <w:marLeft w:val="0"/>
      <w:marRight w:val="0"/>
      <w:marTop w:val="180"/>
      <w:marBottom w:val="180"/>
      <w:divBdr>
        <w:top w:val="none" w:sz="0" w:space="0" w:color="auto"/>
        <w:left w:val="none" w:sz="0" w:space="0" w:color="auto"/>
        <w:bottom w:val="none" w:sz="0" w:space="0" w:color="auto"/>
        <w:right w:val="none" w:sz="0" w:space="0" w:color="auto"/>
      </w:divBdr>
    </w:div>
    <w:div w:id="1381588848">
      <w:marLeft w:val="0"/>
      <w:marRight w:val="0"/>
      <w:marTop w:val="0"/>
      <w:marBottom w:val="180"/>
      <w:divBdr>
        <w:top w:val="none" w:sz="0" w:space="0" w:color="auto"/>
        <w:left w:val="none" w:sz="0" w:space="0" w:color="auto"/>
        <w:bottom w:val="none" w:sz="0" w:space="0" w:color="auto"/>
        <w:right w:val="none" w:sz="0" w:space="0" w:color="auto"/>
      </w:divBdr>
    </w:div>
    <w:div w:id="1384135817">
      <w:marLeft w:val="0"/>
      <w:marRight w:val="0"/>
      <w:marTop w:val="0"/>
      <w:marBottom w:val="0"/>
      <w:divBdr>
        <w:top w:val="none" w:sz="0" w:space="0" w:color="auto"/>
        <w:left w:val="none" w:sz="0" w:space="0" w:color="auto"/>
        <w:bottom w:val="none" w:sz="0" w:space="0" w:color="auto"/>
        <w:right w:val="none" w:sz="0" w:space="0" w:color="auto"/>
      </w:divBdr>
    </w:div>
    <w:div w:id="1385176874">
      <w:marLeft w:val="0"/>
      <w:marRight w:val="0"/>
      <w:marTop w:val="0"/>
      <w:marBottom w:val="180"/>
      <w:divBdr>
        <w:top w:val="none" w:sz="0" w:space="0" w:color="auto"/>
        <w:left w:val="none" w:sz="0" w:space="0" w:color="auto"/>
        <w:bottom w:val="none" w:sz="0" w:space="0" w:color="auto"/>
        <w:right w:val="none" w:sz="0" w:space="0" w:color="auto"/>
      </w:divBdr>
    </w:div>
    <w:div w:id="1385829810">
      <w:marLeft w:val="0"/>
      <w:marRight w:val="0"/>
      <w:marTop w:val="0"/>
      <w:marBottom w:val="180"/>
      <w:divBdr>
        <w:top w:val="none" w:sz="0" w:space="0" w:color="auto"/>
        <w:left w:val="none" w:sz="0" w:space="0" w:color="auto"/>
        <w:bottom w:val="none" w:sz="0" w:space="0" w:color="auto"/>
        <w:right w:val="none" w:sz="0" w:space="0" w:color="auto"/>
      </w:divBdr>
    </w:div>
    <w:div w:id="1386023321">
      <w:marLeft w:val="0"/>
      <w:marRight w:val="0"/>
      <w:marTop w:val="100"/>
      <w:marBottom w:val="100"/>
      <w:divBdr>
        <w:top w:val="none" w:sz="0" w:space="0" w:color="auto"/>
        <w:left w:val="none" w:sz="0" w:space="0" w:color="auto"/>
        <w:bottom w:val="none" w:sz="0" w:space="0" w:color="auto"/>
        <w:right w:val="none" w:sz="0" w:space="0" w:color="auto"/>
      </w:divBdr>
    </w:div>
    <w:div w:id="1386179875">
      <w:marLeft w:val="0"/>
      <w:marRight w:val="0"/>
      <w:marTop w:val="0"/>
      <w:marBottom w:val="0"/>
      <w:divBdr>
        <w:top w:val="none" w:sz="0" w:space="0" w:color="auto"/>
        <w:left w:val="none" w:sz="0" w:space="0" w:color="auto"/>
        <w:bottom w:val="none" w:sz="0" w:space="0" w:color="auto"/>
        <w:right w:val="none" w:sz="0" w:space="0" w:color="auto"/>
      </w:divBdr>
    </w:div>
    <w:div w:id="1386370280">
      <w:marLeft w:val="0"/>
      <w:marRight w:val="0"/>
      <w:marTop w:val="0"/>
      <w:marBottom w:val="0"/>
      <w:divBdr>
        <w:top w:val="none" w:sz="0" w:space="0" w:color="auto"/>
        <w:left w:val="none" w:sz="0" w:space="0" w:color="auto"/>
        <w:bottom w:val="none" w:sz="0" w:space="0" w:color="auto"/>
        <w:right w:val="none" w:sz="0" w:space="0" w:color="auto"/>
      </w:divBdr>
    </w:div>
    <w:div w:id="1387680177">
      <w:marLeft w:val="0"/>
      <w:marRight w:val="0"/>
      <w:marTop w:val="0"/>
      <w:marBottom w:val="240"/>
      <w:divBdr>
        <w:top w:val="none" w:sz="0" w:space="0" w:color="auto"/>
        <w:left w:val="none" w:sz="0" w:space="0" w:color="auto"/>
        <w:bottom w:val="none" w:sz="0" w:space="0" w:color="auto"/>
        <w:right w:val="none" w:sz="0" w:space="0" w:color="auto"/>
      </w:divBdr>
    </w:div>
    <w:div w:id="1395009918">
      <w:marLeft w:val="0"/>
      <w:marRight w:val="0"/>
      <w:marTop w:val="180"/>
      <w:marBottom w:val="180"/>
      <w:divBdr>
        <w:top w:val="none" w:sz="0" w:space="0" w:color="auto"/>
        <w:left w:val="none" w:sz="0" w:space="0" w:color="auto"/>
        <w:bottom w:val="none" w:sz="0" w:space="0" w:color="auto"/>
        <w:right w:val="none" w:sz="0" w:space="0" w:color="auto"/>
      </w:divBdr>
    </w:div>
    <w:div w:id="1396734927">
      <w:marLeft w:val="0"/>
      <w:marRight w:val="0"/>
      <w:marTop w:val="0"/>
      <w:marBottom w:val="0"/>
      <w:divBdr>
        <w:top w:val="none" w:sz="0" w:space="0" w:color="auto"/>
        <w:left w:val="none" w:sz="0" w:space="0" w:color="auto"/>
        <w:bottom w:val="none" w:sz="0" w:space="0" w:color="auto"/>
        <w:right w:val="none" w:sz="0" w:space="0" w:color="auto"/>
      </w:divBdr>
    </w:div>
    <w:div w:id="1398896092">
      <w:marLeft w:val="0"/>
      <w:marRight w:val="0"/>
      <w:marTop w:val="0"/>
      <w:marBottom w:val="180"/>
      <w:divBdr>
        <w:top w:val="none" w:sz="0" w:space="0" w:color="auto"/>
        <w:left w:val="none" w:sz="0" w:space="0" w:color="auto"/>
        <w:bottom w:val="none" w:sz="0" w:space="0" w:color="auto"/>
        <w:right w:val="none" w:sz="0" w:space="0" w:color="auto"/>
      </w:divBdr>
    </w:div>
    <w:div w:id="1399280112">
      <w:marLeft w:val="0"/>
      <w:marRight w:val="0"/>
      <w:marTop w:val="100"/>
      <w:marBottom w:val="100"/>
      <w:divBdr>
        <w:top w:val="none" w:sz="0" w:space="0" w:color="auto"/>
        <w:left w:val="none" w:sz="0" w:space="0" w:color="auto"/>
        <w:bottom w:val="none" w:sz="0" w:space="0" w:color="auto"/>
        <w:right w:val="none" w:sz="0" w:space="0" w:color="auto"/>
      </w:divBdr>
      <w:divsChild>
        <w:div w:id="262610699">
          <w:marLeft w:val="0"/>
          <w:marRight w:val="0"/>
          <w:marTop w:val="40"/>
          <w:marBottom w:val="40"/>
          <w:divBdr>
            <w:top w:val="none" w:sz="0" w:space="0" w:color="auto"/>
            <w:left w:val="none" w:sz="0" w:space="0" w:color="auto"/>
            <w:bottom w:val="none" w:sz="0" w:space="0" w:color="auto"/>
            <w:right w:val="none" w:sz="0" w:space="0" w:color="auto"/>
          </w:divBdr>
        </w:div>
        <w:div w:id="1937245706">
          <w:marLeft w:val="0"/>
          <w:marRight w:val="0"/>
          <w:marTop w:val="40"/>
          <w:marBottom w:val="40"/>
          <w:divBdr>
            <w:top w:val="none" w:sz="0" w:space="0" w:color="auto"/>
            <w:left w:val="none" w:sz="0" w:space="0" w:color="auto"/>
            <w:bottom w:val="none" w:sz="0" w:space="0" w:color="auto"/>
            <w:right w:val="none" w:sz="0" w:space="0" w:color="auto"/>
          </w:divBdr>
        </w:div>
        <w:div w:id="1248078348">
          <w:marLeft w:val="0"/>
          <w:marRight w:val="0"/>
          <w:marTop w:val="40"/>
          <w:marBottom w:val="40"/>
          <w:divBdr>
            <w:top w:val="none" w:sz="0" w:space="0" w:color="auto"/>
            <w:left w:val="none" w:sz="0" w:space="0" w:color="auto"/>
            <w:bottom w:val="none" w:sz="0" w:space="0" w:color="auto"/>
            <w:right w:val="none" w:sz="0" w:space="0" w:color="auto"/>
          </w:divBdr>
        </w:div>
        <w:div w:id="638923668">
          <w:marLeft w:val="0"/>
          <w:marRight w:val="0"/>
          <w:marTop w:val="40"/>
          <w:marBottom w:val="40"/>
          <w:divBdr>
            <w:top w:val="none" w:sz="0" w:space="0" w:color="auto"/>
            <w:left w:val="none" w:sz="0" w:space="0" w:color="auto"/>
            <w:bottom w:val="none" w:sz="0" w:space="0" w:color="auto"/>
            <w:right w:val="none" w:sz="0" w:space="0" w:color="auto"/>
          </w:divBdr>
        </w:div>
      </w:divsChild>
    </w:div>
    <w:div w:id="1400249543">
      <w:marLeft w:val="0"/>
      <w:marRight w:val="0"/>
      <w:marTop w:val="0"/>
      <w:marBottom w:val="0"/>
      <w:divBdr>
        <w:top w:val="none" w:sz="0" w:space="0" w:color="auto"/>
        <w:left w:val="none" w:sz="0" w:space="0" w:color="auto"/>
        <w:bottom w:val="none" w:sz="0" w:space="0" w:color="auto"/>
        <w:right w:val="none" w:sz="0" w:space="0" w:color="auto"/>
      </w:divBdr>
      <w:divsChild>
        <w:div w:id="616184865">
          <w:marLeft w:val="0"/>
          <w:marRight w:val="0"/>
          <w:marTop w:val="0"/>
          <w:marBottom w:val="0"/>
          <w:divBdr>
            <w:top w:val="none" w:sz="0" w:space="0" w:color="auto"/>
            <w:left w:val="none" w:sz="0" w:space="0" w:color="auto"/>
            <w:bottom w:val="none" w:sz="0" w:space="0" w:color="auto"/>
            <w:right w:val="none" w:sz="0" w:space="0" w:color="auto"/>
          </w:divBdr>
        </w:div>
      </w:divsChild>
    </w:div>
    <w:div w:id="1400862702">
      <w:marLeft w:val="0"/>
      <w:marRight w:val="0"/>
      <w:marTop w:val="120"/>
      <w:marBottom w:val="120"/>
      <w:divBdr>
        <w:top w:val="none" w:sz="0" w:space="0" w:color="auto"/>
        <w:left w:val="none" w:sz="0" w:space="0" w:color="auto"/>
        <w:bottom w:val="none" w:sz="0" w:space="0" w:color="auto"/>
        <w:right w:val="none" w:sz="0" w:space="0" w:color="auto"/>
      </w:divBdr>
    </w:div>
    <w:div w:id="1401444037">
      <w:marLeft w:val="0"/>
      <w:marRight w:val="0"/>
      <w:marTop w:val="0"/>
      <w:marBottom w:val="240"/>
      <w:divBdr>
        <w:top w:val="none" w:sz="0" w:space="0" w:color="auto"/>
        <w:left w:val="none" w:sz="0" w:space="0" w:color="auto"/>
        <w:bottom w:val="none" w:sz="0" w:space="0" w:color="auto"/>
        <w:right w:val="none" w:sz="0" w:space="0" w:color="auto"/>
      </w:divBdr>
    </w:div>
    <w:div w:id="1401514819">
      <w:marLeft w:val="0"/>
      <w:marRight w:val="0"/>
      <w:marTop w:val="0"/>
      <w:marBottom w:val="0"/>
      <w:divBdr>
        <w:top w:val="none" w:sz="0" w:space="0" w:color="auto"/>
        <w:left w:val="none" w:sz="0" w:space="0" w:color="auto"/>
        <w:bottom w:val="none" w:sz="0" w:space="0" w:color="auto"/>
        <w:right w:val="none" w:sz="0" w:space="0" w:color="auto"/>
      </w:divBdr>
    </w:div>
    <w:div w:id="1401947213">
      <w:marLeft w:val="0"/>
      <w:marRight w:val="0"/>
      <w:marTop w:val="180"/>
      <w:marBottom w:val="180"/>
      <w:divBdr>
        <w:top w:val="none" w:sz="0" w:space="0" w:color="auto"/>
        <w:left w:val="none" w:sz="0" w:space="0" w:color="auto"/>
        <w:bottom w:val="none" w:sz="0" w:space="0" w:color="auto"/>
        <w:right w:val="none" w:sz="0" w:space="0" w:color="auto"/>
      </w:divBdr>
    </w:div>
    <w:div w:id="1403262073">
      <w:marLeft w:val="0"/>
      <w:marRight w:val="0"/>
      <w:marTop w:val="120"/>
      <w:marBottom w:val="120"/>
      <w:divBdr>
        <w:top w:val="none" w:sz="0" w:space="0" w:color="auto"/>
        <w:left w:val="none" w:sz="0" w:space="0" w:color="auto"/>
        <w:bottom w:val="none" w:sz="0" w:space="0" w:color="auto"/>
        <w:right w:val="none" w:sz="0" w:space="0" w:color="auto"/>
      </w:divBdr>
    </w:div>
    <w:div w:id="1403871950">
      <w:marLeft w:val="0"/>
      <w:marRight w:val="0"/>
      <w:marTop w:val="0"/>
      <w:marBottom w:val="0"/>
      <w:divBdr>
        <w:top w:val="none" w:sz="0" w:space="0" w:color="auto"/>
        <w:left w:val="none" w:sz="0" w:space="0" w:color="auto"/>
        <w:bottom w:val="none" w:sz="0" w:space="0" w:color="auto"/>
        <w:right w:val="none" w:sz="0" w:space="0" w:color="auto"/>
      </w:divBdr>
      <w:divsChild>
        <w:div w:id="965545183">
          <w:marLeft w:val="0"/>
          <w:marRight w:val="0"/>
          <w:marTop w:val="0"/>
          <w:marBottom w:val="0"/>
          <w:divBdr>
            <w:top w:val="none" w:sz="0" w:space="0" w:color="auto"/>
            <w:left w:val="none" w:sz="0" w:space="0" w:color="auto"/>
            <w:bottom w:val="none" w:sz="0" w:space="0" w:color="auto"/>
            <w:right w:val="none" w:sz="0" w:space="0" w:color="auto"/>
          </w:divBdr>
        </w:div>
      </w:divsChild>
    </w:div>
    <w:div w:id="1403992832">
      <w:marLeft w:val="0"/>
      <w:marRight w:val="0"/>
      <w:marTop w:val="120"/>
      <w:marBottom w:val="120"/>
      <w:divBdr>
        <w:top w:val="none" w:sz="0" w:space="0" w:color="auto"/>
        <w:left w:val="none" w:sz="0" w:space="0" w:color="auto"/>
        <w:bottom w:val="none" w:sz="0" w:space="0" w:color="auto"/>
        <w:right w:val="none" w:sz="0" w:space="0" w:color="auto"/>
      </w:divBdr>
    </w:div>
    <w:div w:id="1405301117">
      <w:marLeft w:val="0"/>
      <w:marRight w:val="0"/>
      <w:marTop w:val="0"/>
      <w:marBottom w:val="0"/>
      <w:divBdr>
        <w:top w:val="none" w:sz="0" w:space="0" w:color="auto"/>
        <w:left w:val="none" w:sz="0" w:space="0" w:color="auto"/>
        <w:bottom w:val="none" w:sz="0" w:space="0" w:color="auto"/>
        <w:right w:val="none" w:sz="0" w:space="0" w:color="auto"/>
      </w:divBdr>
    </w:div>
    <w:div w:id="1407922210">
      <w:marLeft w:val="0"/>
      <w:marRight w:val="0"/>
      <w:marTop w:val="180"/>
      <w:marBottom w:val="180"/>
      <w:divBdr>
        <w:top w:val="none" w:sz="0" w:space="0" w:color="auto"/>
        <w:left w:val="none" w:sz="0" w:space="0" w:color="auto"/>
        <w:bottom w:val="none" w:sz="0" w:space="0" w:color="auto"/>
        <w:right w:val="none" w:sz="0" w:space="0" w:color="auto"/>
      </w:divBdr>
    </w:div>
    <w:div w:id="1409498155">
      <w:marLeft w:val="0"/>
      <w:marRight w:val="0"/>
      <w:marTop w:val="100"/>
      <w:marBottom w:val="100"/>
      <w:divBdr>
        <w:top w:val="none" w:sz="0" w:space="0" w:color="auto"/>
        <w:left w:val="none" w:sz="0" w:space="0" w:color="auto"/>
        <w:bottom w:val="none" w:sz="0" w:space="0" w:color="auto"/>
        <w:right w:val="none" w:sz="0" w:space="0" w:color="auto"/>
      </w:divBdr>
      <w:divsChild>
        <w:div w:id="1232275308">
          <w:marLeft w:val="0"/>
          <w:marRight w:val="0"/>
          <w:marTop w:val="0"/>
          <w:marBottom w:val="0"/>
          <w:divBdr>
            <w:top w:val="none" w:sz="0" w:space="0" w:color="auto"/>
            <w:left w:val="none" w:sz="0" w:space="0" w:color="auto"/>
            <w:bottom w:val="none" w:sz="0" w:space="0" w:color="auto"/>
            <w:right w:val="none" w:sz="0" w:space="0" w:color="auto"/>
          </w:divBdr>
        </w:div>
        <w:div w:id="1249730168">
          <w:marLeft w:val="0"/>
          <w:marRight w:val="0"/>
          <w:marTop w:val="0"/>
          <w:marBottom w:val="0"/>
          <w:divBdr>
            <w:top w:val="none" w:sz="0" w:space="0" w:color="auto"/>
            <w:left w:val="none" w:sz="0" w:space="0" w:color="auto"/>
            <w:bottom w:val="none" w:sz="0" w:space="0" w:color="auto"/>
            <w:right w:val="none" w:sz="0" w:space="0" w:color="auto"/>
          </w:divBdr>
        </w:div>
      </w:divsChild>
    </w:div>
    <w:div w:id="1409501092">
      <w:marLeft w:val="0"/>
      <w:marRight w:val="0"/>
      <w:marTop w:val="0"/>
      <w:marBottom w:val="240"/>
      <w:divBdr>
        <w:top w:val="none" w:sz="0" w:space="0" w:color="auto"/>
        <w:left w:val="none" w:sz="0" w:space="0" w:color="auto"/>
        <w:bottom w:val="none" w:sz="0" w:space="0" w:color="auto"/>
        <w:right w:val="none" w:sz="0" w:space="0" w:color="auto"/>
      </w:divBdr>
    </w:div>
    <w:div w:id="1409766744">
      <w:marLeft w:val="0"/>
      <w:marRight w:val="0"/>
      <w:marTop w:val="100"/>
      <w:marBottom w:val="100"/>
      <w:divBdr>
        <w:top w:val="none" w:sz="0" w:space="0" w:color="auto"/>
        <w:left w:val="none" w:sz="0" w:space="0" w:color="auto"/>
        <w:bottom w:val="none" w:sz="0" w:space="0" w:color="auto"/>
        <w:right w:val="none" w:sz="0" w:space="0" w:color="auto"/>
      </w:divBdr>
    </w:div>
    <w:div w:id="1410730247">
      <w:marLeft w:val="0"/>
      <w:marRight w:val="0"/>
      <w:marTop w:val="0"/>
      <w:marBottom w:val="0"/>
      <w:divBdr>
        <w:top w:val="none" w:sz="0" w:space="0" w:color="auto"/>
        <w:left w:val="none" w:sz="0" w:space="0" w:color="auto"/>
        <w:bottom w:val="none" w:sz="0" w:space="0" w:color="auto"/>
        <w:right w:val="none" w:sz="0" w:space="0" w:color="auto"/>
      </w:divBdr>
      <w:divsChild>
        <w:div w:id="335151606">
          <w:marLeft w:val="0"/>
          <w:marRight w:val="0"/>
          <w:marTop w:val="0"/>
          <w:marBottom w:val="0"/>
          <w:divBdr>
            <w:top w:val="none" w:sz="0" w:space="0" w:color="auto"/>
            <w:left w:val="none" w:sz="0" w:space="0" w:color="auto"/>
            <w:bottom w:val="none" w:sz="0" w:space="0" w:color="auto"/>
            <w:right w:val="none" w:sz="0" w:space="0" w:color="auto"/>
          </w:divBdr>
        </w:div>
      </w:divsChild>
    </w:div>
    <w:div w:id="1413237006">
      <w:marLeft w:val="0"/>
      <w:marRight w:val="0"/>
      <w:marTop w:val="0"/>
      <w:marBottom w:val="240"/>
      <w:divBdr>
        <w:top w:val="none" w:sz="0" w:space="0" w:color="auto"/>
        <w:left w:val="none" w:sz="0" w:space="0" w:color="auto"/>
        <w:bottom w:val="none" w:sz="0" w:space="0" w:color="auto"/>
        <w:right w:val="none" w:sz="0" w:space="0" w:color="auto"/>
      </w:divBdr>
    </w:div>
    <w:div w:id="1413502008">
      <w:marLeft w:val="0"/>
      <w:marRight w:val="0"/>
      <w:marTop w:val="0"/>
      <w:marBottom w:val="0"/>
      <w:divBdr>
        <w:top w:val="none" w:sz="0" w:space="0" w:color="auto"/>
        <w:left w:val="none" w:sz="0" w:space="0" w:color="auto"/>
        <w:bottom w:val="none" w:sz="0" w:space="0" w:color="auto"/>
        <w:right w:val="none" w:sz="0" w:space="0" w:color="auto"/>
      </w:divBdr>
    </w:div>
    <w:div w:id="1413701691">
      <w:marLeft w:val="0"/>
      <w:marRight w:val="0"/>
      <w:marTop w:val="0"/>
      <w:marBottom w:val="180"/>
      <w:divBdr>
        <w:top w:val="none" w:sz="0" w:space="0" w:color="auto"/>
        <w:left w:val="none" w:sz="0" w:space="0" w:color="auto"/>
        <w:bottom w:val="none" w:sz="0" w:space="0" w:color="auto"/>
        <w:right w:val="none" w:sz="0" w:space="0" w:color="auto"/>
      </w:divBdr>
    </w:div>
    <w:div w:id="1414930571">
      <w:marLeft w:val="0"/>
      <w:marRight w:val="0"/>
      <w:marTop w:val="60"/>
      <w:marBottom w:val="0"/>
      <w:divBdr>
        <w:top w:val="none" w:sz="0" w:space="0" w:color="auto"/>
        <w:left w:val="none" w:sz="0" w:space="0" w:color="auto"/>
        <w:bottom w:val="none" w:sz="0" w:space="0" w:color="auto"/>
        <w:right w:val="none" w:sz="0" w:space="0" w:color="auto"/>
      </w:divBdr>
    </w:div>
    <w:div w:id="1415131447">
      <w:marLeft w:val="0"/>
      <w:marRight w:val="0"/>
      <w:marTop w:val="0"/>
      <w:marBottom w:val="0"/>
      <w:divBdr>
        <w:top w:val="none" w:sz="0" w:space="0" w:color="auto"/>
        <w:left w:val="none" w:sz="0" w:space="0" w:color="auto"/>
        <w:bottom w:val="none" w:sz="0" w:space="0" w:color="auto"/>
        <w:right w:val="none" w:sz="0" w:space="0" w:color="auto"/>
      </w:divBdr>
      <w:divsChild>
        <w:div w:id="1310288355">
          <w:marLeft w:val="0"/>
          <w:marRight w:val="0"/>
          <w:marTop w:val="0"/>
          <w:marBottom w:val="0"/>
          <w:divBdr>
            <w:top w:val="none" w:sz="0" w:space="0" w:color="auto"/>
            <w:left w:val="none" w:sz="0" w:space="0" w:color="auto"/>
            <w:bottom w:val="none" w:sz="0" w:space="0" w:color="auto"/>
            <w:right w:val="none" w:sz="0" w:space="0" w:color="auto"/>
          </w:divBdr>
        </w:div>
      </w:divsChild>
    </w:div>
    <w:div w:id="1418213740">
      <w:marLeft w:val="0"/>
      <w:marRight w:val="0"/>
      <w:marTop w:val="0"/>
      <w:marBottom w:val="180"/>
      <w:divBdr>
        <w:top w:val="none" w:sz="0" w:space="0" w:color="auto"/>
        <w:left w:val="none" w:sz="0" w:space="0" w:color="auto"/>
        <w:bottom w:val="none" w:sz="0" w:space="0" w:color="auto"/>
        <w:right w:val="none" w:sz="0" w:space="0" w:color="auto"/>
      </w:divBdr>
    </w:div>
    <w:div w:id="1418669447">
      <w:marLeft w:val="0"/>
      <w:marRight w:val="0"/>
      <w:marTop w:val="0"/>
      <w:marBottom w:val="240"/>
      <w:divBdr>
        <w:top w:val="none" w:sz="0" w:space="0" w:color="auto"/>
        <w:left w:val="none" w:sz="0" w:space="0" w:color="auto"/>
        <w:bottom w:val="none" w:sz="0" w:space="0" w:color="auto"/>
        <w:right w:val="none" w:sz="0" w:space="0" w:color="auto"/>
      </w:divBdr>
    </w:div>
    <w:div w:id="1420296420">
      <w:marLeft w:val="0"/>
      <w:marRight w:val="0"/>
      <w:marTop w:val="0"/>
      <w:marBottom w:val="0"/>
      <w:divBdr>
        <w:top w:val="none" w:sz="0" w:space="0" w:color="auto"/>
        <w:left w:val="none" w:sz="0" w:space="0" w:color="auto"/>
        <w:bottom w:val="none" w:sz="0" w:space="0" w:color="auto"/>
        <w:right w:val="none" w:sz="0" w:space="0" w:color="auto"/>
      </w:divBdr>
    </w:div>
    <w:div w:id="1421178825">
      <w:marLeft w:val="0"/>
      <w:marRight w:val="0"/>
      <w:marTop w:val="180"/>
      <w:marBottom w:val="180"/>
      <w:divBdr>
        <w:top w:val="none" w:sz="0" w:space="0" w:color="auto"/>
        <w:left w:val="none" w:sz="0" w:space="0" w:color="auto"/>
        <w:bottom w:val="none" w:sz="0" w:space="0" w:color="auto"/>
        <w:right w:val="none" w:sz="0" w:space="0" w:color="auto"/>
      </w:divBdr>
    </w:div>
    <w:div w:id="1422066462">
      <w:marLeft w:val="0"/>
      <w:marRight w:val="0"/>
      <w:marTop w:val="0"/>
      <w:marBottom w:val="0"/>
      <w:divBdr>
        <w:top w:val="none" w:sz="0" w:space="0" w:color="auto"/>
        <w:left w:val="none" w:sz="0" w:space="0" w:color="auto"/>
        <w:bottom w:val="none" w:sz="0" w:space="0" w:color="auto"/>
        <w:right w:val="none" w:sz="0" w:space="0" w:color="auto"/>
      </w:divBdr>
    </w:div>
    <w:div w:id="1426072730">
      <w:marLeft w:val="0"/>
      <w:marRight w:val="0"/>
      <w:marTop w:val="0"/>
      <w:marBottom w:val="0"/>
      <w:divBdr>
        <w:top w:val="none" w:sz="0" w:space="0" w:color="auto"/>
        <w:left w:val="none" w:sz="0" w:space="0" w:color="auto"/>
        <w:bottom w:val="none" w:sz="0" w:space="0" w:color="auto"/>
        <w:right w:val="none" w:sz="0" w:space="0" w:color="auto"/>
      </w:divBdr>
      <w:divsChild>
        <w:div w:id="645356045">
          <w:marLeft w:val="0"/>
          <w:marRight w:val="0"/>
          <w:marTop w:val="0"/>
          <w:marBottom w:val="0"/>
          <w:divBdr>
            <w:top w:val="none" w:sz="0" w:space="0" w:color="auto"/>
            <w:left w:val="none" w:sz="0" w:space="0" w:color="auto"/>
            <w:bottom w:val="none" w:sz="0" w:space="0" w:color="auto"/>
            <w:right w:val="none" w:sz="0" w:space="0" w:color="auto"/>
          </w:divBdr>
        </w:div>
      </w:divsChild>
    </w:div>
    <w:div w:id="1426801153">
      <w:marLeft w:val="0"/>
      <w:marRight w:val="0"/>
      <w:marTop w:val="0"/>
      <w:marBottom w:val="0"/>
      <w:divBdr>
        <w:top w:val="none" w:sz="0" w:space="0" w:color="auto"/>
        <w:left w:val="none" w:sz="0" w:space="0" w:color="auto"/>
        <w:bottom w:val="none" w:sz="0" w:space="0" w:color="auto"/>
        <w:right w:val="none" w:sz="0" w:space="0" w:color="auto"/>
      </w:divBdr>
      <w:divsChild>
        <w:div w:id="1638951035">
          <w:marLeft w:val="0"/>
          <w:marRight w:val="0"/>
          <w:marTop w:val="0"/>
          <w:marBottom w:val="0"/>
          <w:divBdr>
            <w:top w:val="none" w:sz="0" w:space="0" w:color="auto"/>
            <w:left w:val="none" w:sz="0" w:space="0" w:color="auto"/>
            <w:bottom w:val="none" w:sz="0" w:space="0" w:color="auto"/>
            <w:right w:val="none" w:sz="0" w:space="0" w:color="auto"/>
          </w:divBdr>
        </w:div>
      </w:divsChild>
    </w:div>
    <w:div w:id="1427575183">
      <w:marLeft w:val="0"/>
      <w:marRight w:val="0"/>
      <w:marTop w:val="180"/>
      <w:marBottom w:val="180"/>
      <w:divBdr>
        <w:top w:val="none" w:sz="0" w:space="0" w:color="auto"/>
        <w:left w:val="none" w:sz="0" w:space="0" w:color="auto"/>
        <w:bottom w:val="none" w:sz="0" w:space="0" w:color="auto"/>
        <w:right w:val="none" w:sz="0" w:space="0" w:color="auto"/>
      </w:divBdr>
    </w:div>
    <w:div w:id="1427728882">
      <w:marLeft w:val="0"/>
      <w:marRight w:val="0"/>
      <w:marTop w:val="180"/>
      <w:marBottom w:val="180"/>
      <w:divBdr>
        <w:top w:val="none" w:sz="0" w:space="0" w:color="auto"/>
        <w:left w:val="none" w:sz="0" w:space="0" w:color="auto"/>
        <w:bottom w:val="none" w:sz="0" w:space="0" w:color="auto"/>
        <w:right w:val="none" w:sz="0" w:space="0" w:color="auto"/>
      </w:divBdr>
    </w:div>
    <w:div w:id="1427993349">
      <w:marLeft w:val="0"/>
      <w:marRight w:val="0"/>
      <w:marTop w:val="120"/>
      <w:marBottom w:val="120"/>
      <w:divBdr>
        <w:top w:val="none" w:sz="0" w:space="0" w:color="auto"/>
        <w:left w:val="none" w:sz="0" w:space="0" w:color="auto"/>
        <w:bottom w:val="none" w:sz="0" w:space="0" w:color="auto"/>
        <w:right w:val="none" w:sz="0" w:space="0" w:color="auto"/>
      </w:divBdr>
    </w:div>
    <w:div w:id="1429235862">
      <w:marLeft w:val="0"/>
      <w:marRight w:val="0"/>
      <w:marTop w:val="0"/>
      <w:marBottom w:val="0"/>
      <w:divBdr>
        <w:top w:val="none" w:sz="0" w:space="0" w:color="auto"/>
        <w:left w:val="none" w:sz="0" w:space="0" w:color="auto"/>
        <w:bottom w:val="none" w:sz="0" w:space="0" w:color="auto"/>
        <w:right w:val="none" w:sz="0" w:space="0" w:color="auto"/>
      </w:divBdr>
    </w:div>
    <w:div w:id="1429428686">
      <w:marLeft w:val="0"/>
      <w:marRight w:val="0"/>
      <w:marTop w:val="0"/>
      <w:marBottom w:val="180"/>
      <w:divBdr>
        <w:top w:val="none" w:sz="0" w:space="0" w:color="auto"/>
        <w:left w:val="none" w:sz="0" w:space="0" w:color="auto"/>
        <w:bottom w:val="none" w:sz="0" w:space="0" w:color="auto"/>
        <w:right w:val="none" w:sz="0" w:space="0" w:color="auto"/>
      </w:divBdr>
    </w:div>
    <w:div w:id="1430813011">
      <w:marLeft w:val="0"/>
      <w:marRight w:val="0"/>
      <w:marTop w:val="0"/>
      <w:marBottom w:val="0"/>
      <w:divBdr>
        <w:top w:val="none" w:sz="0" w:space="0" w:color="auto"/>
        <w:left w:val="none" w:sz="0" w:space="0" w:color="auto"/>
        <w:bottom w:val="none" w:sz="0" w:space="0" w:color="auto"/>
        <w:right w:val="none" w:sz="0" w:space="0" w:color="auto"/>
      </w:divBdr>
      <w:divsChild>
        <w:div w:id="525866918">
          <w:marLeft w:val="0"/>
          <w:marRight w:val="0"/>
          <w:marTop w:val="0"/>
          <w:marBottom w:val="0"/>
          <w:divBdr>
            <w:top w:val="none" w:sz="0" w:space="0" w:color="auto"/>
            <w:left w:val="none" w:sz="0" w:space="0" w:color="auto"/>
            <w:bottom w:val="none" w:sz="0" w:space="0" w:color="auto"/>
            <w:right w:val="none" w:sz="0" w:space="0" w:color="auto"/>
          </w:divBdr>
        </w:div>
      </w:divsChild>
    </w:div>
    <w:div w:id="1437361148">
      <w:marLeft w:val="0"/>
      <w:marRight w:val="0"/>
      <w:marTop w:val="0"/>
      <w:marBottom w:val="0"/>
      <w:divBdr>
        <w:top w:val="none" w:sz="0" w:space="0" w:color="auto"/>
        <w:left w:val="none" w:sz="0" w:space="0" w:color="auto"/>
        <w:bottom w:val="none" w:sz="0" w:space="0" w:color="auto"/>
        <w:right w:val="none" w:sz="0" w:space="0" w:color="auto"/>
      </w:divBdr>
    </w:div>
    <w:div w:id="1439645028">
      <w:marLeft w:val="0"/>
      <w:marRight w:val="0"/>
      <w:marTop w:val="0"/>
      <w:marBottom w:val="240"/>
      <w:divBdr>
        <w:top w:val="none" w:sz="0" w:space="0" w:color="auto"/>
        <w:left w:val="none" w:sz="0" w:space="0" w:color="auto"/>
        <w:bottom w:val="none" w:sz="0" w:space="0" w:color="auto"/>
        <w:right w:val="none" w:sz="0" w:space="0" w:color="auto"/>
      </w:divBdr>
    </w:div>
    <w:div w:id="1441947880">
      <w:marLeft w:val="0"/>
      <w:marRight w:val="0"/>
      <w:marTop w:val="0"/>
      <w:marBottom w:val="180"/>
      <w:divBdr>
        <w:top w:val="none" w:sz="0" w:space="0" w:color="auto"/>
        <w:left w:val="none" w:sz="0" w:space="0" w:color="auto"/>
        <w:bottom w:val="none" w:sz="0" w:space="0" w:color="auto"/>
        <w:right w:val="none" w:sz="0" w:space="0" w:color="auto"/>
      </w:divBdr>
    </w:div>
    <w:div w:id="1442334840">
      <w:marLeft w:val="0"/>
      <w:marRight w:val="0"/>
      <w:marTop w:val="0"/>
      <w:marBottom w:val="0"/>
      <w:divBdr>
        <w:top w:val="none" w:sz="0" w:space="0" w:color="auto"/>
        <w:left w:val="none" w:sz="0" w:space="0" w:color="auto"/>
        <w:bottom w:val="none" w:sz="0" w:space="0" w:color="auto"/>
        <w:right w:val="none" w:sz="0" w:space="0" w:color="auto"/>
      </w:divBdr>
    </w:div>
    <w:div w:id="1442871484">
      <w:marLeft w:val="0"/>
      <w:marRight w:val="0"/>
      <w:marTop w:val="0"/>
      <w:marBottom w:val="180"/>
      <w:divBdr>
        <w:top w:val="none" w:sz="0" w:space="0" w:color="auto"/>
        <w:left w:val="none" w:sz="0" w:space="0" w:color="auto"/>
        <w:bottom w:val="none" w:sz="0" w:space="0" w:color="auto"/>
        <w:right w:val="none" w:sz="0" w:space="0" w:color="auto"/>
      </w:divBdr>
    </w:div>
    <w:div w:id="1443765526">
      <w:marLeft w:val="0"/>
      <w:marRight w:val="0"/>
      <w:marTop w:val="0"/>
      <w:marBottom w:val="240"/>
      <w:divBdr>
        <w:top w:val="none" w:sz="0" w:space="0" w:color="auto"/>
        <w:left w:val="none" w:sz="0" w:space="0" w:color="auto"/>
        <w:bottom w:val="none" w:sz="0" w:space="0" w:color="auto"/>
        <w:right w:val="none" w:sz="0" w:space="0" w:color="auto"/>
      </w:divBdr>
    </w:div>
    <w:div w:id="1444226942">
      <w:marLeft w:val="0"/>
      <w:marRight w:val="0"/>
      <w:marTop w:val="240"/>
      <w:marBottom w:val="240"/>
      <w:divBdr>
        <w:top w:val="none" w:sz="0" w:space="0" w:color="auto"/>
        <w:left w:val="none" w:sz="0" w:space="0" w:color="auto"/>
        <w:bottom w:val="none" w:sz="0" w:space="0" w:color="auto"/>
        <w:right w:val="none" w:sz="0" w:space="0" w:color="auto"/>
      </w:divBdr>
    </w:div>
    <w:div w:id="1446265545">
      <w:marLeft w:val="0"/>
      <w:marRight w:val="0"/>
      <w:marTop w:val="0"/>
      <w:marBottom w:val="0"/>
      <w:divBdr>
        <w:top w:val="none" w:sz="0" w:space="0" w:color="auto"/>
        <w:left w:val="none" w:sz="0" w:space="0" w:color="auto"/>
        <w:bottom w:val="none" w:sz="0" w:space="0" w:color="auto"/>
        <w:right w:val="none" w:sz="0" w:space="0" w:color="auto"/>
      </w:divBdr>
      <w:divsChild>
        <w:div w:id="720206592">
          <w:marLeft w:val="0"/>
          <w:marRight w:val="0"/>
          <w:marTop w:val="0"/>
          <w:marBottom w:val="0"/>
          <w:divBdr>
            <w:top w:val="none" w:sz="0" w:space="0" w:color="auto"/>
            <w:left w:val="none" w:sz="0" w:space="0" w:color="auto"/>
            <w:bottom w:val="none" w:sz="0" w:space="0" w:color="auto"/>
            <w:right w:val="none" w:sz="0" w:space="0" w:color="auto"/>
          </w:divBdr>
        </w:div>
      </w:divsChild>
    </w:div>
    <w:div w:id="1446731214">
      <w:marLeft w:val="0"/>
      <w:marRight w:val="0"/>
      <w:marTop w:val="0"/>
      <w:marBottom w:val="0"/>
      <w:divBdr>
        <w:top w:val="none" w:sz="0" w:space="0" w:color="auto"/>
        <w:left w:val="none" w:sz="0" w:space="0" w:color="auto"/>
        <w:bottom w:val="none" w:sz="0" w:space="0" w:color="auto"/>
        <w:right w:val="none" w:sz="0" w:space="0" w:color="auto"/>
      </w:divBdr>
    </w:div>
    <w:div w:id="1451313881">
      <w:marLeft w:val="0"/>
      <w:marRight w:val="0"/>
      <w:marTop w:val="0"/>
      <w:marBottom w:val="0"/>
      <w:divBdr>
        <w:top w:val="none" w:sz="0" w:space="0" w:color="auto"/>
        <w:left w:val="none" w:sz="0" w:space="0" w:color="auto"/>
        <w:bottom w:val="none" w:sz="0" w:space="0" w:color="auto"/>
        <w:right w:val="none" w:sz="0" w:space="0" w:color="auto"/>
      </w:divBdr>
    </w:div>
    <w:div w:id="1451440518">
      <w:marLeft w:val="0"/>
      <w:marRight w:val="0"/>
      <w:marTop w:val="240"/>
      <w:marBottom w:val="180"/>
      <w:divBdr>
        <w:top w:val="none" w:sz="0" w:space="0" w:color="auto"/>
        <w:left w:val="none" w:sz="0" w:space="0" w:color="auto"/>
        <w:bottom w:val="none" w:sz="0" w:space="0" w:color="auto"/>
        <w:right w:val="none" w:sz="0" w:space="0" w:color="auto"/>
      </w:divBdr>
    </w:div>
    <w:div w:id="1452285208">
      <w:marLeft w:val="0"/>
      <w:marRight w:val="0"/>
      <w:marTop w:val="0"/>
      <w:marBottom w:val="240"/>
      <w:divBdr>
        <w:top w:val="none" w:sz="0" w:space="0" w:color="auto"/>
        <w:left w:val="none" w:sz="0" w:space="0" w:color="auto"/>
        <w:bottom w:val="none" w:sz="0" w:space="0" w:color="auto"/>
        <w:right w:val="none" w:sz="0" w:space="0" w:color="auto"/>
      </w:divBdr>
    </w:div>
    <w:div w:id="1452364353">
      <w:marLeft w:val="0"/>
      <w:marRight w:val="0"/>
      <w:marTop w:val="180"/>
      <w:marBottom w:val="180"/>
      <w:divBdr>
        <w:top w:val="none" w:sz="0" w:space="0" w:color="auto"/>
        <w:left w:val="none" w:sz="0" w:space="0" w:color="auto"/>
        <w:bottom w:val="none" w:sz="0" w:space="0" w:color="auto"/>
        <w:right w:val="none" w:sz="0" w:space="0" w:color="auto"/>
      </w:divBdr>
    </w:div>
    <w:div w:id="1452823579">
      <w:marLeft w:val="0"/>
      <w:marRight w:val="0"/>
      <w:marTop w:val="180"/>
      <w:marBottom w:val="180"/>
      <w:divBdr>
        <w:top w:val="none" w:sz="0" w:space="0" w:color="auto"/>
        <w:left w:val="none" w:sz="0" w:space="0" w:color="auto"/>
        <w:bottom w:val="none" w:sz="0" w:space="0" w:color="auto"/>
        <w:right w:val="none" w:sz="0" w:space="0" w:color="auto"/>
      </w:divBdr>
    </w:div>
    <w:div w:id="1454861028">
      <w:marLeft w:val="0"/>
      <w:marRight w:val="0"/>
      <w:marTop w:val="180"/>
      <w:marBottom w:val="180"/>
      <w:divBdr>
        <w:top w:val="none" w:sz="0" w:space="0" w:color="auto"/>
        <w:left w:val="none" w:sz="0" w:space="0" w:color="auto"/>
        <w:bottom w:val="none" w:sz="0" w:space="0" w:color="auto"/>
        <w:right w:val="none" w:sz="0" w:space="0" w:color="auto"/>
      </w:divBdr>
    </w:div>
    <w:div w:id="1455444876">
      <w:marLeft w:val="0"/>
      <w:marRight w:val="0"/>
      <w:marTop w:val="100"/>
      <w:marBottom w:val="100"/>
      <w:divBdr>
        <w:top w:val="none" w:sz="0" w:space="0" w:color="auto"/>
        <w:left w:val="none" w:sz="0" w:space="0" w:color="auto"/>
        <w:bottom w:val="none" w:sz="0" w:space="0" w:color="auto"/>
        <w:right w:val="none" w:sz="0" w:space="0" w:color="auto"/>
      </w:divBdr>
    </w:div>
    <w:div w:id="1456095296">
      <w:marLeft w:val="0"/>
      <w:marRight w:val="0"/>
      <w:marTop w:val="100"/>
      <w:marBottom w:val="100"/>
      <w:divBdr>
        <w:top w:val="none" w:sz="0" w:space="0" w:color="auto"/>
        <w:left w:val="none" w:sz="0" w:space="0" w:color="auto"/>
        <w:bottom w:val="none" w:sz="0" w:space="0" w:color="auto"/>
        <w:right w:val="none" w:sz="0" w:space="0" w:color="auto"/>
      </w:divBdr>
    </w:div>
    <w:div w:id="1456101737">
      <w:marLeft w:val="0"/>
      <w:marRight w:val="0"/>
      <w:marTop w:val="0"/>
      <w:marBottom w:val="180"/>
      <w:divBdr>
        <w:top w:val="none" w:sz="0" w:space="0" w:color="auto"/>
        <w:left w:val="none" w:sz="0" w:space="0" w:color="auto"/>
        <w:bottom w:val="none" w:sz="0" w:space="0" w:color="auto"/>
        <w:right w:val="none" w:sz="0" w:space="0" w:color="auto"/>
      </w:divBdr>
    </w:div>
    <w:div w:id="1458257774">
      <w:marLeft w:val="0"/>
      <w:marRight w:val="0"/>
      <w:marTop w:val="0"/>
      <w:marBottom w:val="180"/>
      <w:divBdr>
        <w:top w:val="none" w:sz="0" w:space="0" w:color="auto"/>
        <w:left w:val="none" w:sz="0" w:space="0" w:color="auto"/>
        <w:bottom w:val="none" w:sz="0" w:space="0" w:color="auto"/>
        <w:right w:val="none" w:sz="0" w:space="0" w:color="auto"/>
      </w:divBdr>
    </w:div>
    <w:div w:id="1458989305">
      <w:marLeft w:val="0"/>
      <w:marRight w:val="0"/>
      <w:marTop w:val="0"/>
      <w:marBottom w:val="180"/>
      <w:divBdr>
        <w:top w:val="none" w:sz="0" w:space="0" w:color="auto"/>
        <w:left w:val="none" w:sz="0" w:space="0" w:color="auto"/>
        <w:bottom w:val="none" w:sz="0" w:space="0" w:color="auto"/>
        <w:right w:val="none" w:sz="0" w:space="0" w:color="auto"/>
      </w:divBdr>
    </w:div>
    <w:div w:id="1459450973">
      <w:marLeft w:val="0"/>
      <w:marRight w:val="0"/>
      <w:marTop w:val="0"/>
      <w:marBottom w:val="0"/>
      <w:divBdr>
        <w:top w:val="none" w:sz="0" w:space="0" w:color="auto"/>
        <w:left w:val="none" w:sz="0" w:space="0" w:color="auto"/>
        <w:bottom w:val="none" w:sz="0" w:space="0" w:color="auto"/>
        <w:right w:val="none" w:sz="0" w:space="0" w:color="auto"/>
      </w:divBdr>
    </w:div>
    <w:div w:id="1459764955">
      <w:marLeft w:val="0"/>
      <w:marRight w:val="0"/>
      <w:marTop w:val="0"/>
      <w:marBottom w:val="240"/>
      <w:divBdr>
        <w:top w:val="none" w:sz="0" w:space="0" w:color="auto"/>
        <w:left w:val="none" w:sz="0" w:space="0" w:color="auto"/>
        <w:bottom w:val="none" w:sz="0" w:space="0" w:color="auto"/>
        <w:right w:val="none" w:sz="0" w:space="0" w:color="auto"/>
      </w:divBdr>
    </w:div>
    <w:div w:id="1461261732">
      <w:marLeft w:val="0"/>
      <w:marRight w:val="0"/>
      <w:marTop w:val="0"/>
      <w:marBottom w:val="0"/>
      <w:divBdr>
        <w:top w:val="none" w:sz="0" w:space="0" w:color="auto"/>
        <w:left w:val="none" w:sz="0" w:space="0" w:color="auto"/>
        <w:bottom w:val="none" w:sz="0" w:space="0" w:color="auto"/>
        <w:right w:val="none" w:sz="0" w:space="0" w:color="auto"/>
      </w:divBdr>
    </w:div>
    <w:div w:id="1461846702">
      <w:marLeft w:val="0"/>
      <w:marRight w:val="0"/>
      <w:marTop w:val="100"/>
      <w:marBottom w:val="100"/>
      <w:divBdr>
        <w:top w:val="none" w:sz="0" w:space="0" w:color="auto"/>
        <w:left w:val="none" w:sz="0" w:space="0" w:color="auto"/>
        <w:bottom w:val="none" w:sz="0" w:space="0" w:color="auto"/>
        <w:right w:val="none" w:sz="0" w:space="0" w:color="auto"/>
      </w:divBdr>
    </w:div>
    <w:div w:id="1468208385">
      <w:marLeft w:val="0"/>
      <w:marRight w:val="0"/>
      <w:marTop w:val="0"/>
      <w:marBottom w:val="240"/>
      <w:divBdr>
        <w:top w:val="none" w:sz="0" w:space="0" w:color="auto"/>
        <w:left w:val="none" w:sz="0" w:space="0" w:color="auto"/>
        <w:bottom w:val="none" w:sz="0" w:space="0" w:color="auto"/>
        <w:right w:val="none" w:sz="0" w:space="0" w:color="auto"/>
      </w:divBdr>
    </w:div>
    <w:div w:id="1468890759">
      <w:marLeft w:val="0"/>
      <w:marRight w:val="0"/>
      <w:marTop w:val="180"/>
      <w:marBottom w:val="180"/>
      <w:divBdr>
        <w:top w:val="none" w:sz="0" w:space="0" w:color="auto"/>
        <w:left w:val="none" w:sz="0" w:space="0" w:color="auto"/>
        <w:bottom w:val="none" w:sz="0" w:space="0" w:color="auto"/>
        <w:right w:val="none" w:sz="0" w:space="0" w:color="auto"/>
      </w:divBdr>
    </w:div>
    <w:div w:id="1469742485">
      <w:marLeft w:val="0"/>
      <w:marRight w:val="0"/>
      <w:marTop w:val="0"/>
      <w:marBottom w:val="120"/>
      <w:divBdr>
        <w:top w:val="none" w:sz="0" w:space="0" w:color="auto"/>
        <w:left w:val="none" w:sz="0" w:space="0" w:color="auto"/>
        <w:bottom w:val="none" w:sz="0" w:space="0" w:color="auto"/>
        <w:right w:val="none" w:sz="0" w:space="0" w:color="auto"/>
      </w:divBdr>
    </w:div>
    <w:div w:id="1471556985">
      <w:marLeft w:val="0"/>
      <w:marRight w:val="0"/>
      <w:marTop w:val="0"/>
      <w:marBottom w:val="240"/>
      <w:divBdr>
        <w:top w:val="none" w:sz="0" w:space="0" w:color="auto"/>
        <w:left w:val="none" w:sz="0" w:space="0" w:color="auto"/>
        <w:bottom w:val="none" w:sz="0" w:space="0" w:color="auto"/>
        <w:right w:val="none" w:sz="0" w:space="0" w:color="auto"/>
      </w:divBdr>
    </w:div>
    <w:div w:id="1472092177">
      <w:marLeft w:val="0"/>
      <w:marRight w:val="0"/>
      <w:marTop w:val="0"/>
      <w:marBottom w:val="0"/>
      <w:divBdr>
        <w:top w:val="none" w:sz="0" w:space="0" w:color="auto"/>
        <w:left w:val="none" w:sz="0" w:space="0" w:color="auto"/>
        <w:bottom w:val="none" w:sz="0" w:space="0" w:color="auto"/>
        <w:right w:val="none" w:sz="0" w:space="0" w:color="auto"/>
      </w:divBdr>
    </w:div>
    <w:div w:id="1473517212">
      <w:marLeft w:val="0"/>
      <w:marRight w:val="0"/>
      <w:marTop w:val="0"/>
      <w:marBottom w:val="240"/>
      <w:divBdr>
        <w:top w:val="none" w:sz="0" w:space="0" w:color="auto"/>
        <w:left w:val="none" w:sz="0" w:space="0" w:color="auto"/>
        <w:bottom w:val="none" w:sz="0" w:space="0" w:color="auto"/>
        <w:right w:val="none" w:sz="0" w:space="0" w:color="auto"/>
      </w:divBdr>
    </w:div>
    <w:div w:id="1474447595">
      <w:marLeft w:val="0"/>
      <w:marRight w:val="0"/>
      <w:marTop w:val="0"/>
      <w:marBottom w:val="180"/>
      <w:divBdr>
        <w:top w:val="none" w:sz="0" w:space="0" w:color="auto"/>
        <w:left w:val="none" w:sz="0" w:space="0" w:color="auto"/>
        <w:bottom w:val="none" w:sz="0" w:space="0" w:color="auto"/>
        <w:right w:val="none" w:sz="0" w:space="0" w:color="auto"/>
      </w:divBdr>
    </w:div>
    <w:div w:id="1476332494">
      <w:marLeft w:val="0"/>
      <w:marRight w:val="0"/>
      <w:marTop w:val="0"/>
      <w:marBottom w:val="0"/>
      <w:divBdr>
        <w:top w:val="none" w:sz="0" w:space="0" w:color="auto"/>
        <w:left w:val="none" w:sz="0" w:space="0" w:color="auto"/>
        <w:bottom w:val="none" w:sz="0" w:space="0" w:color="auto"/>
        <w:right w:val="none" w:sz="0" w:space="0" w:color="auto"/>
      </w:divBdr>
    </w:div>
    <w:div w:id="1477599606">
      <w:marLeft w:val="0"/>
      <w:marRight w:val="0"/>
      <w:marTop w:val="0"/>
      <w:marBottom w:val="180"/>
      <w:divBdr>
        <w:top w:val="none" w:sz="0" w:space="0" w:color="auto"/>
        <w:left w:val="none" w:sz="0" w:space="0" w:color="auto"/>
        <w:bottom w:val="none" w:sz="0" w:space="0" w:color="auto"/>
        <w:right w:val="none" w:sz="0" w:space="0" w:color="auto"/>
      </w:divBdr>
    </w:div>
    <w:div w:id="1477720832">
      <w:marLeft w:val="0"/>
      <w:marRight w:val="0"/>
      <w:marTop w:val="0"/>
      <w:marBottom w:val="0"/>
      <w:divBdr>
        <w:top w:val="none" w:sz="0" w:space="0" w:color="auto"/>
        <w:left w:val="none" w:sz="0" w:space="0" w:color="auto"/>
        <w:bottom w:val="none" w:sz="0" w:space="0" w:color="auto"/>
        <w:right w:val="none" w:sz="0" w:space="0" w:color="auto"/>
      </w:divBdr>
    </w:div>
    <w:div w:id="1478454927">
      <w:marLeft w:val="0"/>
      <w:marRight w:val="0"/>
      <w:marTop w:val="120"/>
      <w:marBottom w:val="180"/>
      <w:divBdr>
        <w:top w:val="none" w:sz="0" w:space="0" w:color="auto"/>
        <w:left w:val="none" w:sz="0" w:space="0" w:color="auto"/>
        <w:bottom w:val="none" w:sz="0" w:space="0" w:color="auto"/>
        <w:right w:val="none" w:sz="0" w:space="0" w:color="auto"/>
      </w:divBdr>
    </w:div>
    <w:div w:id="1480075936">
      <w:marLeft w:val="0"/>
      <w:marRight w:val="0"/>
      <w:marTop w:val="0"/>
      <w:marBottom w:val="0"/>
      <w:divBdr>
        <w:top w:val="none" w:sz="0" w:space="0" w:color="auto"/>
        <w:left w:val="none" w:sz="0" w:space="0" w:color="auto"/>
        <w:bottom w:val="none" w:sz="0" w:space="0" w:color="auto"/>
        <w:right w:val="none" w:sz="0" w:space="0" w:color="auto"/>
      </w:divBdr>
    </w:div>
    <w:div w:id="1480146340">
      <w:marLeft w:val="0"/>
      <w:marRight w:val="0"/>
      <w:marTop w:val="0"/>
      <w:marBottom w:val="240"/>
      <w:divBdr>
        <w:top w:val="none" w:sz="0" w:space="0" w:color="auto"/>
        <w:left w:val="none" w:sz="0" w:space="0" w:color="auto"/>
        <w:bottom w:val="none" w:sz="0" w:space="0" w:color="auto"/>
        <w:right w:val="none" w:sz="0" w:space="0" w:color="auto"/>
      </w:divBdr>
    </w:div>
    <w:div w:id="1484851112">
      <w:marLeft w:val="0"/>
      <w:marRight w:val="0"/>
      <w:marTop w:val="0"/>
      <w:marBottom w:val="0"/>
      <w:divBdr>
        <w:top w:val="none" w:sz="0" w:space="0" w:color="auto"/>
        <w:left w:val="none" w:sz="0" w:space="0" w:color="auto"/>
        <w:bottom w:val="none" w:sz="0" w:space="0" w:color="auto"/>
        <w:right w:val="none" w:sz="0" w:space="0" w:color="auto"/>
      </w:divBdr>
      <w:divsChild>
        <w:div w:id="2087143027">
          <w:marLeft w:val="0"/>
          <w:marRight w:val="0"/>
          <w:marTop w:val="0"/>
          <w:marBottom w:val="0"/>
          <w:divBdr>
            <w:top w:val="none" w:sz="0" w:space="0" w:color="auto"/>
            <w:left w:val="none" w:sz="0" w:space="0" w:color="auto"/>
            <w:bottom w:val="none" w:sz="0" w:space="0" w:color="auto"/>
            <w:right w:val="none" w:sz="0" w:space="0" w:color="auto"/>
          </w:divBdr>
        </w:div>
      </w:divsChild>
    </w:div>
    <w:div w:id="1485972097">
      <w:marLeft w:val="0"/>
      <w:marRight w:val="0"/>
      <w:marTop w:val="100"/>
      <w:marBottom w:val="100"/>
      <w:divBdr>
        <w:top w:val="none" w:sz="0" w:space="0" w:color="auto"/>
        <w:left w:val="none" w:sz="0" w:space="0" w:color="auto"/>
        <w:bottom w:val="none" w:sz="0" w:space="0" w:color="auto"/>
        <w:right w:val="none" w:sz="0" w:space="0" w:color="auto"/>
      </w:divBdr>
      <w:divsChild>
        <w:div w:id="928585320">
          <w:marLeft w:val="0"/>
          <w:marRight w:val="0"/>
          <w:marTop w:val="0"/>
          <w:marBottom w:val="0"/>
          <w:divBdr>
            <w:top w:val="none" w:sz="0" w:space="0" w:color="auto"/>
            <w:left w:val="none" w:sz="0" w:space="0" w:color="auto"/>
            <w:bottom w:val="none" w:sz="0" w:space="0" w:color="auto"/>
            <w:right w:val="none" w:sz="0" w:space="0" w:color="auto"/>
          </w:divBdr>
        </w:div>
        <w:div w:id="663627731">
          <w:marLeft w:val="0"/>
          <w:marRight w:val="0"/>
          <w:marTop w:val="0"/>
          <w:marBottom w:val="0"/>
          <w:divBdr>
            <w:top w:val="none" w:sz="0" w:space="0" w:color="auto"/>
            <w:left w:val="none" w:sz="0" w:space="0" w:color="auto"/>
            <w:bottom w:val="none" w:sz="0" w:space="0" w:color="auto"/>
            <w:right w:val="none" w:sz="0" w:space="0" w:color="auto"/>
          </w:divBdr>
        </w:div>
        <w:div w:id="1424954937">
          <w:marLeft w:val="0"/>
          <w:marRight w:val="0"/>
          <w:marTop w:val="0"/>
          <w:marBottom w:val="0"/>
          <w:divBdr>
            <w:top w:val="none" w:sz="0" w:space="0" w:color="auto"/>
            <w:left w:val="none" w:sz="0" w:space="0" w:color="auto"/>
            <w:bottom w:val="none" w:sz="0" w:space="0" w:color="auto"/>
            <w:right w:val="none" w:sz="0" w:space="0" w:color="auto"/>
          </w:divBdr>
        </w:div>
      </w:divsChild>
    </w:div>
    <w:div w:id="1486360992">
      <w:marLeft w:val="0"/>
      <w:marRight w:val="0"/>
      <w:marTop w:val="120"/>
      <w:marBottom w:val="120"/>
      <w:divBdr>
        <w:top w:val="none" w:sz="0" w:space="0" w:color="auto"/>
        <w:left w:val="none" w:sz="0" w:space="0" w:color="auto"/>
        <w:bottom w:val="none" w:sz="0" w:space="0" w:color="auto"/>
        <w:right w:val="none" w:sz="0" w:space="0" w:color="auto"/>
      </w:divBdr>
    </w:div>
    <w:div w:id="1487817411">
      <w:marLeft w:val="0"/>
      <w:marRight w:val="0"/>
      <w:marTop w:val="0"/>
      <w:marBottom w:val="240"/>
      <w:divBdr>
        <w:top w:val="none" w:sz="0" w:space="0" w:color="auto"/>
        <w:left w:val="none" w:sz="0" w:space="0" w:color="auto"/>
        <w:bottom w:val="none" w:sz="0" w:space="0" w:color="auto"/>
        <w:right w:val="none" w:sz="0" w:space="0" w:color="auto"/>
      </w:divBdr>
    </w:div>
    <w:div w:id="1489593066">
      <w:marLeft w:val="0"/>
      <w:marRight w:val="0"/>
      <w:marTop w:val="0"/>
      <w:marBottom w:val="240"/>
      <w:divBdr>
        <w:top w:val="none" w:sz="0" w:space="0" w:color="auto"/>
        <w:left w:val="none" w:sz="0" w:space="0" w:color="auto"/>
        <w:bottom w:val="none" w:sz="0" w:space="0" w:color="auto"/>
        <w:right w:val="none" w:sz="0" w:space="0" w:color="auto"/>
      </w:divBdr>
    </w:div>
    <w:div w:id="1493567769">
      <w:marLeft w:val="0"/>
      <w:marRight w:val="0"/>
      <w:marTop w:val="360"/>
      <w:marBottom w:val="240"/>
      <w:divBdr>
        <w:top w:val="none" w:sz="0" w:space="0" w:color="auto"/>
        <w:left w:val="none" w:sz="0" w:space="0" w:color="auto"/>
        <w:bottom w:val="none" w:sz="0" w:space="0" w:color="auto"/>
        <w:right w:val="none" w:sz="0" w:space="0" w:color="auto"/>
      </w:divBdr>
    </w:div>
    <w:div w:id="1493791232">
      <w:marLeft w:val="0"/>
      <w:marRight w:val="0"/>
      <w:marTop w:val="0"/>
      <w:marBottom w:val="0"/>
      <w:divBdr>
        <w:top w:val="none" w:sz="0" w:space="0" w:color="auto"/>
        <w:left w:val="none" w:sz="0" w:space="0" w:color="auto"/>
        <w:bottom w:val="none" w:sz="0" w:space="0" w:color="auto"/>
        <w:right w:val="none" w:sz="0" w:space="0" w:color="auto"/>
      </w:divBdr>
    </w:div>
    <w:div w:id="1494568259">
      <w:marLeft w:val="0"/>
      <w:marRight w:val="0"/>
      <w:marTop w:val="120"/>
      <w:marBottom w:val="120"/>
      <w:divBdr>
        <w:top w:val="none" w:sz="0" w:space="0" w:color="auto"/>
        <w:left w:val="none" w:sz="0" w:space="0" w:color="auto"/>
        <w:bottom w:val="none" w:sz="0" w:space="0" w:color="auto"/>
        <w:right w:val="none" w:sz="0" w:space="0" w:color="auto"/>
      </w:divBdr>
    </w:div>
    <w:div w:id="1497065619">
      <w:marLeft w:val="0"/>
      <w:marRight w:val="0"/>
      <w:marTop w:val="0"/>
      <w:marBottom w:val="240"/>
      <w:divBdr>
        <w:top w:val="none" w:sz="0" w:space="0" w:color="auto"/>
        <w:left w:val="none" w:sz="0" w:space="0" w:color="auto"/>
        <w:bottom w:val="none" w:sz="0" w:space="0" w:color="auto"/>
        <w:right w:val="none" w:sz="0" w:space="0" w:color="auto"/>
      </w:divBdr>
    </w:div>
    <w:div w:id="1498686901">
      <w:marLeft w:val="0"/>
      <w:marRight w:val="0"/>
      <w:marTop w:val="0"/>
      <w:marBottom w:val="180"/>
      <w:divBdr>
        <w:top w:val="none" w:sz="0" w:space="0" w:color="auto"/>
        <w:left w:val="none" w:sz="0" w:space="0" w:color="auto"/>
        <w:bottom w:val="none" w:sz="0" w:space="0" w:color="auto"/>
        <w:right w:val="none" w:sz="0" w:space="0" w:color="auto"/>
      </w:divBdr>
    </w:div>
    <w:div w:id="1499156701">
      <w:marLeft w:val="0"/>
      <w:marRight w:val="0"/>
      <w:marTop w:val="180"/>
      <w:marBottom w:val="180"/>
      <w:divBdr>
        <w:top w:val="none" w:sz="0" w:space="0" w:color="auto"/>
        <w:left w:val="none" w:sz="0" w:space="0" w:color="auto"/>
        <w:bottom w:val="none" w:sz="0" w:space="0" w:color="auto"/>
        <w:right w:val="none" w:sz="0" w:space="0" w:color="auto"/>
      </w:divBdr>
    </w:div>
    <w:div w:id="1499425183">
      <w:marLeft w:val="0"/>
      <w:marRight w:val="0"/>
      <w:marTop w:val="0"/>
      <w:marBottom w:val="240"/>
      <w:divBdr>
        <w:top w:val="none" w:sz="0" w:space="0" w:color="auto"/>
        <w:left w:val="none" w:sz="0" w:space="0" w:color="auto"/>
        <w:bottom w:val="none" w:sz="0" w:space="0" w:color="auto"/>
        <w:right w:val="none" w:sz="0" w:space="0" w:color="auto"/>
      </w:divBdr>
    </w:div>
    <w:div w:id="1500078355">
      <w:marLeft w:val="0"/>
      <w:marRight w:val="0"/>
      <w:marTop w:val="0"/>
      <w:marBottom w:val="180"/>
      <w:divBdr>
        <w:top w:val="none" w:sz="0" w:space="0" w:color="auto"/>
        <w:left w:val="none" w:sz="0" w:space="0" w:color="auto"/>
        <w:bottom w:val="none" w:sz="0" w:space="0" w:color="auto"/>
        <w:right w:val="none" w:sz="0" w:space="0" w:color="auto"/>
      </w:divBdr>
    </w:div>
    <w:div w:id="1500193986">
      <w:marLeft w:val="0"/>
      <w:marRight w:val="0"/>
      <w:marTop w:val="100"/>
      <w:marBottom w:val="100"/>
      <w:divBdr>
        <w:top w:val="none" w:sz="0" w:space="0" w:color="auto"/>
        <w:left w:val="none" w:sz="0" w:space="0" w:color="auto"/>
        <w:bottom w:val="none" w:sz="0" w:space="0" w:color="auto"/>
        <w:right w:val="none" w:sz="0" w:space="0" w:color="auto"/>
      </w:divBdr>
    </w:div>
    <w:div w:id="1502240313">
      <w:marLeft w:val="0"/>
      <w:marRight w:val="0"/>
      <w:marTop w:val="0"/>
      <w:marBottom w:val="180"/>
      <w:divBdr>
        <w:top w:val="none" w:sz="0" w:space="0" w:color="auto"/>
        <w:left w:val="none" w:sz="0" w:space="0" w:color="auto"/>
        <w:bottom w:val="none" w:sz="0" w:space="0" w:color="auto"/>
        <w:right w:val="none" w:sz="0" w:space="0" w:color="auto"/>
      </w:divBdr>
    </w:div>
    <w:div w:id="1502309170">
      <w:marLeft w:val="0"/>
      <w:marRight w:val="0"/>
      <w:marTop w:val="180"/>
      <w:marBottom w:val="180"/>
      <w:divBdr>
        <w:top w:val="none" w:sz="0" w:space="0" w:color="auto"/>
        <w:left w:val="none" w:sz="0" w:space="0" w:color="auto"/>
        <w:bottom w:val="none" w:sz="0" w:space="0" w:color="auto"/>
        <w:right w:val="none" w:sz="0" w:space="0" w:color="auto"/>
      </w:divBdr>
    </w:div>
    <w:div w:id="1503278855">
      <w:marLeft w:val="0"/>
      <w:marRight w:val="0"/>
      <w:marTop w:val="0"/>
      <w:marBottom w:val="0"/>
      <w:divBdr>
        <w:top w:val="none" w:sz="0" w:space="0" w:color="auto"/>
        <w:left w:val="none" w:sz="0" w:space="0" w:color="auto"/>
        <w:bottom w:val="none" w:sz="0" w:space="0" w:color="auto"/>
        <w:right w:val="none" w:sz="0" w:space="0" w:color="auto"/>
      </w:divBdr>
      <w:divsChild>
        <w:div w:id="1113020511">
          <w:marLeft w:val="0"/>
          <w:marRight w:val="0"/>
          <w:marTop w:val="0"/>
          <w:marBottom w:val="0"/>
          <w:divBdr>
            <w:top w:val="none" w:sz="0" w:space="0" w:color="auto"/>
            <w:left w:val="none" w:sz="0" w:space="0" w:color="auto"/>
            <w:bottom w:val="none" w:sz="0" w:space="0" w:color="auto"/>
            <w:right w:val="none" w:sz="0" w:space="0" w:color="auto"/>
          </w:divBdr>
        </w:div>
      </w:divsChild>
    </w:div>
    <w:div w:id="1504272591">
      <w:marLeft w:val="0"/>
      <w:marRight w:val="0"/>
      <w:marTop w:val="180"/>
      <w:marBottom w:val="180"/>
      <w:divBdr>
        <w:top w:val="none" w:sz="0" w:space="0" w:color="auto"/>
        <w:left w:val="none" w:sz="0" w:space="0" w:color="auto"/>
        <w:bottom w:val="none" w:sz="0" w:space="0" w:color="auto"/>
        <w:right w:val="none" w:sz="0" w:space="0" w:color="auto"/>
      </w:divBdr>
    </w:div>
    <w:div w:id="1504928255">
      <w:marLeft w:val="0"/>
      <w:marRight w:val="0"/>
      <w:marTop w:val="180"/>
      <w:marBottom w:val="180"/>
      <w:divBdr>
        <w:top w:val="none" w:sz="0" w:space="0" w:color="auto"/>
        <w:left w:val="none" w:sz="0" w:space="0" w:color="auto"/>
        <w:bottom w:val="none" w:sz="0" w:space="0" w:color="auto"/>
        <w:right w:val="none" w:sz="0" w:space="0" w:color="auto"/>
      </w:divBdr>
    </w:div>
    <w:div w:id="1506898195">
      <w:marLeft w:val="0"/>
      <w:marRight w:val="0"/>
      <w:marTop w:val="0"/>
      <w:marBottom w:val="180"/>
      <w:divBdr>
        <w:top w:val="none" w:sz="0" w:space="0" w:color="auto"/>
        <w:left w:val="none" w:sz="0" w:space="0" w:color="auto"/>
        <w:bottom w:val="none" w:sz="0" w:space="0" w:color="auto"/>
        <w:right w:val="none" w:sz="0" w:space="0" w:color="auto"/>
      </w:divBdr>
    </w:div>
    <w:div w:id="1506898914">
      <w:marLeft w:val="0"/>
      <w:marRight w:val="0"/>
      <w:marTop w:val="0"/>
      <w:marBottom w:val="0"/>
      <w:divBdr>
        <w:top w:val="none" w:sz="0" w:space="0" w:color="auto"/>
        <w:left w:val="none" w:sz="0" w:space="0" w:color="auto"/>
        <w:bottom w:val="none" w:sz="0" w:space="0" w:color="auto"/>
        <w:right w:val="none" w:sz="0" w:space="0" w:color="auto"/>
      </w:divBdr>
    </w:div>
    <w:div w:id="1510606622">
      <w:marLeft w:val="0"/>
      <w:marRight w:val="0"/>
      <w:marTop w:val="0"/>
      <w:marBottom w:val="0"/>
      <w:divBdr>
        <w:top w:val="none" w:sz="0" w:space="0" w:color="auto"/>
        <w:left w:val="none" w:sz="0" w:space="0" w:color="auto"/>
        <w:bottom w:val="none" w:sz="0" w:space="0" w:color="auto"/>
        <w:right w:val="none" w:sz="0" w:space="0" w:color="auto"/>
      </w:divBdr>
      <w:divsChild>
        <w:div w:id="679284276">
          <w:marLeft w:val="0"/>
          <w:marRight w:val="0"/>
          <w:marTop w:val="0"/>
          <w:marBottom w:val="0"/>
          <w:divBdr>
            <w:top w:val="none" w:sz="0" w:space="0" w:color="auto"/>
            <w:left w:val="none" w:sz="0" w:space="0" w:color="auto"/>
            <w:bottom w:val="none" w:sz="0" w:space="0" w:color="auto"/>
            <w:right w:val="none" w:sz="0" w:space="0" w:color="auto"/>
          </w:divBdr>
        </w:div>
      </w:divsChild>
    </w:div>
    <w:div w:id="1513302972">
      <w:marLeft w:val="0"/>
      <w:marRight w:val="0"/>
      <w:marTop w:val="120"/>
      <w:marBottom w:val="120"/>
      <w:divBdr>
        <w:top w:val="none" w:sz="0" w:space="0" w:color="auto"/>
        <w:left w:val="none" w:sz="0" w:space="0" w:color="auto"/>
        <w:bottom w:val="none" w:sz="0" w:space="0" w:color="auto"/>
        <w:right w:val="none" w:sz="0" w:space="0" w:color="auto"/>
      </w:divBdr>
    </w:div>
    <w:div w:id="1513304518">
      <w:marLeft w:val="0"/>
      <w:marRight w:val="0"/>
      <w:marTop w:val="120"/>
      <w:marBottom w:val="120"/>
      <w:divBdr>
        <w:top w:val="none" w:sz="0" w:space="0" w:color="auto"/>
        <w:left w:val="none" w:sz="0" w:space="0" w:color="auto"/>
        <w:bottom w:val="none" w:sz="0" w:space="0" w:color="auto"/>
        <w:right w:val="none" w:sz="0" w:space="0" w:color="auto"/>
      </w:divBdr>
    </w:div>
    <w:div w:id="1513840029">
      <w:marLeft w:val="0"/>
      <w:marRight w:val="0"/>
      <w:marTop w:val="0"/>
      <w:marBottom w:val="240"/>
      <w:divBdr>
        <w:top w:val="none" w:sz="0" w:space="0" w:color="auto"/>
        <w:left w:val="none" w:sz="0" w:space="0" w:color="auto"/>
        <w:bottom w:val="none" w:sz="0" w:space="0" w:color="auto"/>
        <w:right w:val="none" w:sz="0" w:space="0" w:color="auto"/>
      </w:divBdr>
    </w:div>
    <w:div w:id="1514148249">
      <w:marLeft w:val="0"/>
      <w:marRight w:val="0"/>
      <w:marTop w:val="180"/>
      <w:marBottom w:val="180"/>
      <w:divBdr>
        <w:top w:val="none" w:sz="0" w:space="0" w:color="auto"/>
        <w:left w:val="none" w:sz="0" w:space="0" w:color="auto"/>
        <w:bottom w:val="none" w:sz="0" w:space="0" w:color="auto"/>
        <w:right w:val="none" w:sz="0" w:space="0" w:color="auto"/>
      </w:divBdr>
    </w:div>
    <w:div w:id="1515144028">
      <w:marLeft w:val="0"/>
      <w:marRight w:val="0"/>
      <w:marTop w:val="0"/>
      <w:marBottom w:val="0"/>
      <w:divBdr>
        <w:top w:val="none" w:sz="0" w:space="0" w:color="auto"/>
        <w:left w:val="none" w:sz="0" w:space="0" w:color="auto"/>
        <w:bottom w:val="none" w:sz="0" w:space="0" w:color="auto"/>
        <w:right w:val="none" w:sz="0" w:space="0" w:color="auto"/>
      </w:divBdr>
    </w:div>
    <w:div w:id="1516269823">
      <w:marLeft w:val="0"/>
      <w:marRight w:val="0"/>
      <w:marTop w:val="0"/>
      <w:marBottom w:val="180"/>
      <w:divBdr>
        <w:top w:val="none" w:sz="0" w:space="0" w:color="auto"/>
        <w:left w:val="none" w:sz="0" w:space="0" w:color="auto"/>
        <w:bottom w:val="none" w:sz="0" w:space="0" w:color="auto"/>
        <w:right w:val="none" w:sz="0" w:space="0" w:color="auto"/>
      </w:divBdr>
    </w:div>
    <w:div w:id="1517229514">
      <w:marLeft w:val="0"/>
      <w:marRight w:val="0"/>
      <w:marTop w:val="0"/>
      <w:marBottom w:val="0"/>
      <w:divBdr>
        <w:top w:val="none" w:sz="0" w:space="0" w:color="auto"/>
        <w:left w:val="none" w:sz="0" w:space="0" w:color="auto"/>
        <w:bottom w:val="none" w:sz="0" w:space="0" w:color="auto"/>
        <w:right w:val="none" w:sz="0" w:space="0" w:color="auto"/>
      </w:divBdr>
      <w:divsChild>
        <w:div w:id="1259367117">
          <w:marLeft w:val="0"/>
          <w:marRight w:val="0"/>
          <w:marTop w:val="0"/>
          <w:marBottom w:val="0"/>
          <w:divBdr>
            <w:top w:val="none" w:sz="0" w:space="0" w:color="auto"/>
            <w:left w:val="none" w:sz="0" w:space="0" w:color="auto"/>
            <w:bottom w:val="none" w:sz="0" w:space="0" w:color="auto"/>
            <w:right w:val="none" w:sz="0" w:space="0" w:color="auto"/>
          </w:divBdr>
        </w:div>
      </w:divsChild>
    </w:div>
    <w:div w:id="1517620518">
      <w:marLeft w:val="0"/>
      <w:marRight w:val="0"/>
      <w:marTop w:val="0"/>
      <w:marBottom w:val="0"/>
      <w:divBdr>
        <w:top w:val="none" w:sz="0" w:space="0" w:color="auto"/>
        <w:left w:val="none" w:sz="0" w:space="0" w:color="auto"/>
        <w:bottom w:val="none" w:sz="0" w:space="0" w:color="auto"/>
        <w:right w:val="none" w:sz="0" w:space="0" w:color="auto"/>
      </w:divBdr>
      <w:divsChild>
        <w:div w:id="458766716">
          <w:marLeft w:val="0"/>
          <w:marRight w:val="0"/>
          <w:marTop w:val="0"/>
          <w:marBottom w:val="0"/>
          <w:divBdr>
            <w:top w:val="none" w:sz="0" w:space="0" w:color="auto"/>
            <w:left w:val="none" w:sz="0" w:space="0" w:color="auto"/>
            <w:bottom w:val="none" w:sz="0" w:space="0" w:color="auto"/>
            <w:right w:val="none" w:sz="0" w:space="0" w:color="auto"/>
          </w:divBdr>
        </w:div>
      </w:divsChild>
    </w:div>
    <w:div w:id="1520046929">
      <w:marLeft w:val="0"/>
      <w:marRight w:val="0"/>
      <w:marTop w:val="0"/>
      <w:marBottom w:val="120"/>
      <w:divBdr>
        <w:top w:val="none" w:sz="0" w:space="0" w:color="auto"/>
        <w:left w:val="none" w:sz="0" w:space="0" w:color="auto"/>
        <w:bottom w:val="none" w:sz="0" w:space="0" w:color="auto"/>
        <w:right w:val="none" w:sz="0" w:space="0" w:color="auto"/>
      </w:divBdr>
    </w:div>
    <w:div w:id="1520654715">
      <w:marLeft w:val="0"/>
      <w:marRight w:val="0"/>
      <w:marTop w:val="180"/>
      <w:marBottom w:val="180"/>
      <w:divBdr>
        <w:top w:val="none" w:sz="0" w:space="0" w:color="auto"/>
        <w:left w:val="none" w:sz="0" w:space="0" w:color="auto"/>
        <w:bottom w:val="none" w:sz="0" w:space="0" w:color="auto"/>
        <w:right w:val="none" w:sz="0" w:space="0" w:color="auto"/>
      </w:divBdr>
    </w:div>
    <w:div w:id="1521122184">
      <w:marLeft w:val="0"/>
      <w:marRight w:val="0"/>
      <w:marTop w:val="0"/>
      <w:marBottom w:val="0"/>
      <w:divBdr>
        <w:top w:val="none" w:sz="0" w:space="0" w:color="auto"/>
        <w:left w:val="none" w:sz="0" w:space="0" w:color="auto"/>
        <w:bottom w:val="none" w:sz="0" w:space="0" w:color="auto"/>
        <w:right w:val="none" w:sz="0" w:space="0" w:color="auto"/>
      </w:divBdr>
      <w:divsChild>
        <w:div w:id="1743066653">
          <w:marLeft w:val="0"/>
          <w:marRight w:val="0"/>
          <w:marTop w:val="0"/>
          <w:marBottom w:val="0"/>
          <w:divBdr>
            <w:top w:val="none" w:sz="0" w:space="0" w:color="auto"/>
            <w:left w:val="none" w:sz="0" w:space="0" w:color="auto"/>
            <w:bottom w:val="none" w:sz="0" w:space="0" w:color="auto"/>
            <w:right w:val="none" w:sz="0" w:space="0" w:color="auto"/>
          </w:divBdr>
        </w:div>
      </w:divsChild>
    </w:div>
    <w:div w:id="1521507633">
      <w:marLeft w:val="0"/>
      <w:marRight w:val="0"/>
      <w:marTop w:val="0"/>
      <w:marBottom w:val="180"/>
      <w:divBdr>
        <w:top w:val="none" w:sz="0" w:space="0" w:color="auto"/>
        <w:left w:val="none" w:sz="0" w:space="0" w:color="auto"/>
        <w:bottom w:val="none" w:sz="0" w:space="0" w:color="auto"/>
        <w:right w:val="none" w:sz="0" w:space="0" w:color="auto"/>
      </w:divBdr>
    </w:div>
    <w:div w:id="1521893576">
      <w:marLeft w:val="0"/>
      <w:marRight w:val="0"/>
      <w:marTop w:val="0"/>
      <w:marBottom w:val="0"/>
      <w:divBdr>
        <w:top w:val="none" w:sz="0" w:space="0" w:color="auto"/>
        <w:left w:val="none" w:sz="0" w:space="0" w:color="auto"/>
        <w:bottom w:val="none" w:sz="0" w:space="0" w:color="auto"/>
        <w:right w:val="none" w:sz="0" w:space="0" w:color="auto"/>
      </w:divBdr>
      <w:divsChild>
        <w:div w:id="211768538">
          <w:marLeft w:val="0"/>
          <w:marRight w:val="0"/>
          <w:marTop w:val="0"/>
          <w:marBottom w:val="0"/>
          <w:divBdr>
            <w:top w:val="none" w:sz="0" w:space="0" w:color="auto"/>
            <w:left w:val="none" w:sz="0" w:space="0" w:color="auto"/>
            <w:bottom w:val="none" w:sz="0" w:space="0" w:color="auto"/>
            <w:right w:val="none" w:sz="0" w:space="0" w:color="auto"/>
          </w:divBdr>
        </w:div>
      </w:divsChild>
    </w:div>
    <w:div w:id="1526284801">
      <w:marLeft w:val="0"/>
      <w:marRight w:val="0"/>
      <w:marTop w:val="0"/>
      <w:marBottom w:val="240"/>
      <w:divBdr>
        <w:top w:val="none" w:sz="0" w:space="0" w:color="auto"/>
        <w:left w:val="none" w:sz="0" w:space="0" w:color="auto"/>
        <w:bottom w:val="none" w:sz="0" w:space="0" w:color="auto"/>
        <w:right w:val="none" w:sz="0" w:space="0" w:color="auto"/>
      </w:divBdr>
    </w:div>
    <w:div w:id="1527522746">
      <w:marLeft w:val="0"/>
      <w:marRight w:val="0"/>
      <w:marTop w:val="0"/>
      <w:marBottom w:val="0"/>
      <w:divBdr>
        <w:top w:val="none" w:sz="0" w:space="0" w:color="auto"/>
        <w:left w:val="none" w:sz="0" w:space="0" w:color="auto"/>
        <w:bottom w:val="none" w:sz="0" w:space="0" w:color="auto"/>
        <w:right w:val="none" w:sz="0" w:space="0" w:color="auto"/>
      </w:divBdr>
      <w:divsChild>
        <w:div w:id="2049329773">
          <w:marLeft w:val="0"/>
          <w:marRight w:val="0"/>
          <w:marTop w:val="0"/>
          <w:marBottom w:val="0"/>
          <w:divBdr>
            <w:top w:val="none" w:sz="0" w:space="0" w:color="auto"/>
            <w:left w:val="none" w:sz="0" w:space="0" w:color="auto"/>
            <w:bottom w:val="none" w:sz="0" w:space="0" w:color="auto"/>
            <w:right w:val="none" w:sz="0" w:space="0" w:color="auto"/>
          </w:divBdr>
        </w:div>
      </w:divsChild>
    </w:div>
    <w:div w:id="1528562038">
      <w:marLeft w:val="0"/>
      <w:marRight w:val="0"/>
      <w:marTop w:val="0"/>
      <w:marBottom w:val="240"/>
      <w:divBdr>
        <w:top w:val="none" w:sz="0" w:space="0" w:color="auto"/>
        <w:left w:val="none" w:sz="0" w:space="0" w:color="auto"/>
        <w:bottom w:val="none" w:sz="0" w:space="0" w:color="auto"/>
        <w:right w:val="none" w:sz="0" w:space="0" w:color="auto"/>
      </w:divBdr>
    </w:div>
    <w:div w:id="1529299716">
      <w:marLeft w:val="0"/>
      <w:marRight w:val="0"/>
      <w:marTop w:val="120"/>
      <w:marBottom w:val="120"/>
      <w:divBdr>
        <w:top w:val="none" w:sz="0" w:space="0" w:color="auto"/>
        <w:left w:val="none" w:sz="0" w:space="0" w:color="auto"/>
        <w:bottom w:val="none" w:sz="0" w:space="0" w:color="auto"/>
        <w:right w:val="none" w:sz="0" w:space="0" w:color="auto"/>
      </w:divBdr>
    </w:div>
    <w:div w:id="1529758144">
      <w:marLeft w:val="0"/>
      <w:marRight w:val="0"/>
      <w:marTop w:val="0"/>
      <w:marBottom w:val="0"/>
      <w:divBdr>
        <w:top w:val="none" w:sz="0" w:space="0" w:color="auto"/>
        <w:left w:val="none" w:sz="0" w:space="0" w:color="auto"/>
        <w:bottom w:val="none" w:sz="0" w:space="0" w:color="auto"/>
        <w:right w:val="none" w:sz="0" w:space="0" w:color="auto"/>
      </w:divBdr>
      <w:divsChild>
        <w:div w:id="805468678">
          <w:marLeft w:val="0"/>
          <w:marRight w:val="0"/>
          <w:marTop w:val="0"/>
          <w:marBottom w:val="0"/>
          <w:divBdr>
            <w:top w:val="none" w:sz="0" w:space="0" w:color="auto"/>
            <w:left w:val="none" w:sz="0" w:space="0" w:color="auto"/>
            <w:bottom w:val="none" w:sz="0" w:space="0" w:color="auto"/>
            <w:right w:val="none" w:sz="0" w:space="0" w:color="auto"/>
          </w:divBdr>
        </w:div>
      </w:divsChild>
    </w:div>
    <w:div w:id="1531606842">
      <w:marLeft w:val="0"/>
      <w:marRight w:val="0"/>
      <w:marTop w:val="0"/>
      <w:marBottom w:val="0"/>
      <w:divBdr>
        <w:top w:val="none" w:sz="0" w:space="0" w:color="auto"/>
        <w:left w:val="none" w:sz="0" w:space="0" w:color="auto"/>
        <w:bottom w:val="none" w:sz="0" w:space="0" w:color="auto"/>
        <w:right w:val="none" w:sz="0" w:space="0" w:color="auto"/>
      </w:divBdr>
      <w:divsChild>
        <w:div w:id="2135710785">
          <w:marLeft w:val="0"/>
          <w:marRight w:val="0"/>
          <w:marTop w:val="0"/>
          <w:marBottom w:val="0"/>
          <w:divBdr>
            <w:top w:val="none" w:sz="0" w:space="0" w:color="auto"/>
            <w:left w:val="none" w:sz="0" w:space="0" w:color="auto"/>
            <w:bottom w:val="none" w:sz="0" w:space="0" w:color="auto"/>
            <w:right w:val="none" w:sz="0" w:space="0" w:color="auto"/>
          </w:divBdr>
        </w:div>
      </w:divsChild>
    </w:div>
    <w:div w:id="1532576208">
      <w:marLeft w:val="0"/>
      <w:marRight w:val="0"/>
      <w:marTop w:val="0"/>
      <w:marBottom w:val="0"/>
      <w:divBdr>
        <w:top w:val="none" w:sz="0" w:space="0" w:color="auto"/>
        <w:left w:val="none" w:sz="0" w:space="0" w:color="auto"/>
        <w:bottom w:val="none" w:sz="0" w:space="0" w:color="auto"/>
        <w:right w:val="none" w:sz="0" w:space="0" w:color="auto"/>
      </w:divBdr>
    </w:div>
    <w:div w:id="1532840950">
      <w:marLeft w:val="0"/>
      <w:marRight w:val="0"/>
      <w:marTop w:val="0"/>
      <w:marBottom w:val="240"/>
      <w:divBdr>
        <w:top w:val="none" w:sz="0" w:space="0" w:color="auto"/>
        <w:left w:val="none" w:sz="0" w:space="0" w:color="auto"/>
        <w:bottom w:val="none" w:sz="0" w:space="0" w:color="auto"/>
        <w:right w:val="none" w:sz="0" w:space="0" w:color="auto"/>
      </w:divBdr>
    </w:div>
    <w:div w:id="1533303784">
      <w:marLeft w:val="0"/>
      <w:marRight w:val="0"/>
      <w:marTop w:val="180"/>
      <w:marBottom w:val="180"/>
      <w:divBdr>
        <w:top w:val="none" w:sz="0" w:space="0" w:color="auto"/>
        <w:left w:val="none" w:sz="0" w:space="0" w:color="auto"/>
        <w:bottom w:val="none" w:sz="0" w:space="0" w:color="auto"/>
        <w:right w:val="none" w:sz="0" w:space="0" w:color="auto"/>
      </w:divBdr>
    </w:div>
    <w:div w:id="1534001643">
      <w:marLeft w:val="0"/>
      <w:marRight w:val="0"/>
      <w:marTop w:val="120"/>
      <w:marBottom w:val="180"/>
      <w:divBdr>
        <w:top w:val="none" w:sz="0" w:space="0" w:color="auto"/>
        <w:left w:val="none" w:sz="0" w:space="0" w:color="auto"/>
        <w:bottom w:val="none" w:sz="0" w:space="0" w:color="auto"/>
        <w:right w:val="none" w:sz="0" w:space="0" w:color="auto"/>
      </w:divBdr>
    </w:div>
    <w:div w:id="1536457858">
      <w:marLeft w:val="0"/>
      <w:marRight w:val="0"/>
      <w:marTop w:val="0"/>
      <w:marBottom w:val="0"/>
      <w:divBdr>
        <w:top w:val="none" w:sz="0" w:space="0" w:color="auto"/>
        <w:left w:val="none" w:sz="0" w:space="0" w:color="auto"/>
        <w:bottom w:val="none" w:sz="0" w:space="0" w:color="auto"/>
        <w:right w:val="none" w:sz="0" w:space="0" w:color="auto"/>
      </w:divBdr>
    </w:div>
    <w:div w:id="1539901128">
      <w:marLeft w:val="0"/>
      <w:marRight w:val="0"/>
      <w:marTop w:val="0"/>
      <w:marBottom w:val="0"/>
      <w:divBdr>
        <w:top w:val="none" w:sz="0" w:space="0" w:color="auto"/>
        <w:left w:val="none" w:sz="0" w:space="0" w:color="auto"/>
        <w:bottom w:val="none" w:sz="0" w:space="0" w:color="auto"/>
        <w:right w:val="none" w:sz="0" w:space="0" w:color="auto"/>
      </w:divBdr>
    </w:div>
    <w:div w:id="1540505118">
      <w:marLeft w:val="0"/>
      <w:marRight w:val="0"/>
      <w:marTop w:val="0"/>
      <w:marBottom w:val="240"/>
      <w:divBdr>
        <w:top w:val="none" w:sz="0" w:space="0" w:color="auto"/>
        <w:left w:val="none" w:sz="0" w:space="0" w:color="auto"/>
        <w:bottom w:val="none" w:sz="0" w:space="0" w:color="auto"/>
        <w:right w:val="none" w:sz="0" w:space="0" w:color="auto"/>
      </w:divBdr>
    </w:div>
    <w:div w:id="1541698693">
      <w:marLeft w:val="0"/>
      <w:marRight w:val="0"/>
      <w:marTop w:val="0"/>
      <w:marBottom w:val="0"/>
      <w:divBdr>
        <w:top w:val="none" w:sz="0" w:space="0" w:color="auto"/>
        <w:left w:val="none" w:sz="0" w:space="0" w:color="auto"/>
        <w:bottom w:val="none" w:sz="0" w:space="0" w:color="auto"/>
        <w:right w:val="none" w:sz="0" w:space="0" w:color="auto"/>
      </w:divBdr>
      <w:divsChild>
        <w:div w:id="223419963">
          <w:marLeft w:val="0"/>
          <w:marRight w:val="0"/>
          <w:marTop w:val="0"/>
          <w:marBottom w:val="0"/>
          <w:divBdr>
            <w:top w:val="none" w:sz="0" w:space="0" w:color="auto"/>
            <w:left w:val="none" w:sz="0" w:space="0" w:color="auto"/>
            <w:bottom w:val="none" w:sz="0" w:space="0" w:color="auto"/>
            <w:right w:val="none" w:sz="0" w:space="0" w:color="auto"/>
          </w:divBdr>
        </w:div>
      </w:divsChild>
    </w:div>
    <w:div w:id="1543134810">
      <w:marLeft w:val="0"/>
      <w:marRight w:val="0"/>
      <w:marTop w:val="100"/>
      <w:marBottom w:val="100"/>
      <w:divBdr>
        <w:top w:val="none" w:sz="0" w:space="0" w:color="auto"/>
        <w:left w:val="none" w:sz="0" w:space="0" w:color="auto"/>
        <w:bottom w:val="none" w:sz="0" w:space="0" w:color="auto"/>
        <w:right w:val="none" w:sz="0" w:space="0" w:color="auto"/>
      </w:divBdr>
    </w:div>
    <w:div w:id="1545170823">
      <w:marLeft w:val="0"/>
      <w:marRight w:val="0"/>
      <w:marTop w:val="120"/>
      <w:marBottom w:val="120"/>
      <w:divBdr>
        <w:top w:val="none" w:sz="0" w:space="0" w:color="auto"/>
        <w:left w:val="none" w:sz="0" w:space="0" w:color="auto"/>
        <w:bottom w:val="none" w:sz="0" w:space="0" w:color="auto"/>
        <w:right w:val="none" w:sz="0" w:space="0" w:color="auto"/>
      </w:divBdr>
    </w:div>
    <w:div w:id="1545865825">
      <w:marLeft w:val="0"/>
      <w:marRight w:val="0"/>
      <w:marTop w:val="0"/>
      <w:marBottom w:val="0"/>
      <w:divBdr>
        <w:top w:val="none" w:sz="0" w:space="0" w:color="auto"/>
        <w:left w:val="none" w:sz="0" w:space="0" w:color="auto"/>
        <w:bottom w:val="none" w:sz="0" w:space="0" w:color="auto"/>
        <w:right w:val="none" w:sz="0" w:space="0" w:color="auto"/>
      </w:divBdr>
    </w:div>
    <w:div w:id="1547136746">
      <w:marLeft w:val="0"/>
      <w:marRight w:val="0"/>
      <w:marTop w:val="0"/>
      <w:marBottom w:val="180"/>
      <w:divBdr>
        <w:top w:val="none" w:sz="0" w:space="0" w:color="auto"/>
        <w:left w:val="none" w:sz="0" w:space="0" w:color="auto"/>
        <w:bottom w:val="none" w:sz="0" w:space="0" w:color="auto"/>
        <w:right w:val="none" w:sz="0" w:space="0" w:color="auto"/>
      </w:divBdr>
    </w:div>
    <w:div w:id="1559902949">
      <w:marLeft w:val="0"/>
      <w:marRight w:val="0"/>
      <w:marTop w:val="0"/>
      <w:marBottom w:val="0"/>
      <w:divBdr>
        <w:top w:val="none" w:sz="0" w:space="0" w:color="auto"/>
        <w:left w:val="none" w:sz="0" w:space="0" w:color="auto"/>
        <w:bottom w:val="none" w:sz="0" w:space="0" w:color="auto"/>
        <w:right w:val="none" w:sz="0" w:space="0" w:color="auto"/>
      </w:divBdr>
    </w:div>
    <w:div w:id="1560745502">
      <w:marLeft w:val="0"/>
      <w:marRight w:val="0"/>
      <w:marTop w:val="0"/>
      <w:marBottom w:val="240"/>
      <w:divBdr>
        <w:top w:val="none" w:sz="0" w:space="0" w:color="auto"/>
        <w:left w:val="none" w:sz="0" w:space="0" w:color="auto"/>
        <w:bottom w:val="none" w:sz="0" w:space="0" w:color="auto"/>
        <w:right w:val="none" w:sz="0" w:space="0" w:color="auto"/>
      </w:divBdr>
    </w:div>
    <w:div w:id="1561944072">
      <w:marLeft w:val="0"/>
      <w:marRight w:val="0"/>
      <w:marTop w:val="180"/>
      <w:marBottom w:val="180"/>
      <w:divBdr>
        <w:top w:val="none" w:sz="0" w:space="0" w:color="auto"/>
        <w:left w:val="none" w:sz="0" w:space="0" w:color="auto"/>
        <w:bottom w:val="none" w:sz="0" w:space="0" w:color="auto"/>
        <w:right w:val="none" w:sz="0" w:space="0" w:color="auto"/>
      </w:divBdr>
    </w:div>
    <w:div w:id="1563104406">
      <w:marLeft w:val="0"/>
      <w:marRight w:val="0"/>
      <w:marTop w:val="0"/>
      <w:marBottom w:val="180"/>
      <w:divBdr>
        <w:top w:val="none" w:sz="0" w:space="0" w:color="auto"/>
        <w:left w:val="none" w:sz="0" w:space="0" w:color="auto"/>
        <w:bottom w:val="none" w:sz="0" w:space="0" w:color="auto"/>
        <w:right w:val="none" w:sz="0" w:space="0" w:color="auto"/>
      </w:divBdr>
    </w:div>
    <w:div w:id="1563642280">
      <w:marLeft w:val="0"/>
      <w:marRight w:val="0"/>
      <w:marTop w:val="0"/>
      <w:marBottom w:val="180"/>
      <w:divBdr>
        <w:top w:val="none" w:sz="0" w:space="0" w:color="auto"/>
        <w:left w:val="none" w:sz="0" w:space="0" w:color="auto"/>
        <w:bottom w:val="none" w:sz="0" w:space="0" w:color="auto"/>
        <w:right w:val="none" w:sz="0" w:space="0" w:color="auto"/>
      </w:divBdr>
    </w:div>
    <w:div w:id="1567377199">
      <w:marLeft w:val="0"/>
      <w:marRight w:val="0"/>
      <w:marTop w:val="300"/>
      <w:marBottom w:val="240"/>
      <w:divBdr>
        <w:top w:val="none" w:sz="0" w:space="0" w:color="auto"/>
        <w:left w:val="none" w:sz="0" w:space="0" w:color="auto"/>
        <w:bottom w:val="none" w:sz="0" w:space="0" w:color="auto"/>
        <w:right w:val="none" w:sz="0" w:space="0" w:color="auto"/>
      </w:divBdr>
    </w:div>
    <w:div w:id="1568034187">
      <w:marLeft w:val="0"/>
      <w:marRight w:val="0"/>
      <w:marTop w:val="180"/>
      <w:marBottom w:val="180"/>
      <w:divBdr>
        <w:top w:val="none" w:sz="0" w:space="0" w:color="auto"/>
        <w:left w:val="none" w:sz="0" w:space="0" w:color="auto"/>
        <w:bottom w:val="none" w:sz="0" w:space="0" w:color="auto"/>
        <w:right w:val="none" w:sz="0" w:space="0" w:color="auto"/>
      </w:divBdr>
    </w:div>
    <w:div w:id="1568615952">
      <w:marLeft w:val="0"/>
      <w:marRight w:val="0"/>
      <w:marTop w:val="0"/>
      <w:marBottom w:val="0"/>
      <w:divBdr>
        <w:top w:val="none" w:sz="0" w:space="0" w:color="auto"/>
        <w:left w:val="none" w:sz="0" w:space="0" w:color="auto"/>
        <w:bottom w:val="none" w:sz="0" w:space="0" w:color="auto"/>
        <w:right w:val="none" w:sz="0" w:space="0" w:color="auto"/>
      </w:divBdr>
    </w:div>
    <w:div w:id="1568950302">
      <w:marLeft w:val="0"/>
      <w:marRight w:val="0"/>
      <w:marTop w:val="0"/>
      <w:marBottom w:val="0"/>
      <w:divBdr>
        <w:top w:val="none" w:sz="0" w:space="0" w:color="auto"/>
        <w:left w:val="none" w:sz="0" w:space="0" w:color="auto"/>
        <w:bottom w:val="none" w:sz="0" w:space="0" w:color="auto"/>
        <w:right w:val="none" w:sz="0" w:space="0" w:color="auto"/>
      </w:divBdr>
    </w:div>
    <w:div w:id="1570379416">
      <w:marLeft w:val="0"/>
      <w:marRight w:val="0"/>
      <w:marTop w:val="120"/>
      <w:marBottom w:val="180"/>
      <w:divBdr>
        <w:top w:val="none" w:sz="0" w:space="0" w:color="auto"/>
        <w:left w:val="none" w:sz="0" w:space="0" w:color="auto"/>
        <w:bottom w:val="none" w:sz="0" w:space="0" w:color="auto"/>
        <w:right w:val="none" w:sz="0" w:space="0" w:color="auto"/>
      </w:divBdr>
    </w:div>
    <w:div w:id="1571768418">
      <w:marLeft w:val="0"/>
      <w:marRight w:val="0"/>
      <w:marTop w:val="120"/>
      <w:marBottom w:val="180"/>
      <w:divBdr>
        <w:top w:val="none" w:sz="0" w:space="0" w:color="auto"/>
        <w:left w:val="none" w:sz="0" w:space="0" w:color="auto"/>
        <w:bottom w:val="none" w:sz="0" w:space="0" w:color="auto"/>
        <w:right w:val="none" w:sz="0" w:space="0" w:color="auto"/>
      </w:divBdr>
    </w:div>
    <w:div w:id="1572734462">
      <w:marLeft w:val="0"/>
      <w:marRight w:val="0"/>
      <w:marTop w:val="0"/>
      <w:marBottom w:val="0"/>
      <w:divBdr>
        <w:top w:val="none" w:sz="0" w:space="0" w:color="auto"/>
        <w:left w:val="none" w:sz="0" w:space="0" w:color="auto"/>
        <w:bottom w:val="none" w:sz="0" w:space="0" w:color="auto"/>
        <w:right w:val="none" w:sz="0" w:space="0" w:color="auto"/>
      </w:divBdr>
    </w:div>
    <w:div w:id="1573199482">
      <w:marLeft w:val="0"/>
      <w:marRight w:val="0"/>
      <w:marTop w:val="120"/>
      <w:marBottom w:val="120"/>
      <w:divBdr>
        <w:top w:val="none" w:sz="0" w:space="0" w:color="auto"/>
        <w:left w:val="none" w:sz="0" w:space="0" w:color="auto"/>
        <w:bottom w:val="none" w:sz="0" w:space="0" w:color="auto"/>
        <w:right w:val="none" w:sz="0" w:space="0" w:color="auto"/>
      </w:divBdr>
    </w:div>
    <w:div w:id="1574392587">
      <w:marLeft w:val="0"/>
      <w:marRight w:val="0"/>
      <w:marTop w:val="120"/>
      <w:marBottom w:val="180"/>
      <w:divBdr>
        <w:top w:val="none" w:sz="0" w:space="0" w:color="auto"/>
        <w:left w:val="none" w:sz="0" w:space="0" w:color="auto"/>
        <w:bottom w:val="none" w:sz="0" w:space="0" w:color="auto"/>
        <w:right w:val="none" w:sz="0" w:space="0" w:color="auto"/>
      </w:divBdr>
    </w:div>
    <w:div w:id="1574586071">
      <w:marLeft w:val="0"/>
      <w:marRight w:val="0"/>
      <w:marTop w:val="0"/>
      <w:marBottom w:val="240"/>
      <w:divBdr>
        <w:top w:val="none" w:sz="0" w:space="0" w:color="auto"/>
        <w:left w:val="none" w:sz="0" w:space="0" w:color="auto"/>
        <w:bottom w:val="none" w:sz="0" w:space="0" w:color="auto"/>
        <w:right w:val="none" w:sz="0" w:space="0" w:color="auto"/>
      </w:divBdr>
    </w:div>
    <w:div w:id="1576671628">
      <w:marLeft w:val="0"/>
      <w:marRight w:val="0"/>
      <w:marTop w:val="120"/>
      <w:marBottom w:val="180"/>
      <w:divBdr>
        <w:top w:val="none" w:sz="0" w:space="0" w:color="auto"/>
        <w:left w:val="none" w:sz="0" w:space="0" w:color="auto"/>
        <w:bottom w:val="none" w:sz="0" w:space="0" w:color="auto"/>
        <w:right w:val="none" w:sz="0" w:space="0" w:color="auto"/>
      </w:divBdr>
    </w:div>
    <w:div w:id="1578982013">
      <w:marLeft w:val="0"/>
      <w:marRight w:val="0"/>
      <w:marTop w:val="100"/>
      <w:marBottom w:val="100"/>
      <w:divBdr>
        <w:top w:val="none" w:sz="0" w:space="0" w:color="auto"/>
        <w:left w:val="none" w:sz="0" w:space="0" w:color="auto"/>
        <w:bottom w:val="none" w:sz="0" w:space="0" w:color="auto"/>
        <w:right w:val="none" w:sz="0" w:space="0" w:color="auto"/>
      </w:divBdr>
    </w:div>
    <w:div w:id="1579553546">
      <w:marLeft w:val="0"/>
      <w:marRight w:val="0"/>
      <w:marTop w:val="0"/>
      <w:marBottom w:val="240"/>
      <w:divBdr>
        <w:top w:val="none" w:sz="0" w:space="0" w:color="auto"/>
        <w:left w:val="none" w:sz="0" w:space="0" w:color="auto"/>
        <w:bottom w:val="none" w:sz="0" w:space="0" w:color="auto"/>
        <w:right w:val="none" w:sz="0" w:space="0" w:color="auto"/>
      </w:divBdr>
    </w:div>
    <w:div w:id="1580208804">
      <w:marLeft w:val="0"/>
      <w:marRight w:val="0"/>
      <w:marTop w:val="0"/>
      <w:marBottom w:val="240"/>
      <w:divBdr>
        <w:top w:val="none" w:sz="0" w:space="0" w:color="auto"/>
        <w:left w:val="none" w:sz="0" w:space="0" w:color="auto"/>
        <w:bottom w:val="none" w:sz="0" w:space="0" w:color="auto"/>
        <w:right w:val="none" w:sz="0" w:space="0" w:color="auto"/>
      </w:divBdr>
    </w:div>
    <w:div w:id="1580408650">
      <w:marLeft w:val="0"/>
      <w:marRight w:val="0"/>
      <w:marTop w:val="0"/>
      <w:marBottom w:val="180"/>
      <w:divBdr>
        <w:top w:val="none" w:sz="0" w:space="0" w:color="auto"/>
        <w:left w:val="none" w:sz="0" w:space="0" w:color="auto"/>
        <w:bottom w:val="none" w:sz="0" w:space="0" w:color="auto"/>
        <w:right w:val="none" w:sz="0" w:space="0" w:color="auto"/>
      </w:divBdr>
    </w:div>
    <w:div w:id="1580821605">
      <w:marLeft w:val="0"/>
      <w:marRight w:val="0"/>
      <w:marTop w:val="0"/>
      <w:marBottom w:val="240"/>
      <w:divBdr>
        <w:top w:val="none" w:sz="0" w:space="0" w:color="auto"/>
        <w:left w:val="none" w:sz="0" w:space="0" w:color="auto"/>
        <w:bottom w:val="none" w:sz="0" w:space="0" w:color="auto"/>
        <w:right w:val="none" w:sz="0" w:space="0" w:color="auto"/>
      </w:divBdr>
    </w:div>
    <w:div w:id="1581213737">
      <w:marLeft w:val="0"/>
      <w:marRight w:val="0"/>
      <w:marTop w:val="0"/>
      <w:marBottom w:val="240"/>
      <w:divBdr>
        <w:top w:val="none" w:sz="0" w:space="0" w:color="auto"/>
        <w:left w:val="none" w:sz="0" w:space="0" w:color="auto"/>
        <w:bottom w:val="none" w:sz="0" w:space="0" w:color="auto"/>
        <w:right w:val="none" w:sz="0" w:space="0" w:color="auto"/>
      </w:divBdr>
    </w:div>
    <w:div w:id="1581670768">
      <w:marLeft w:val="0"/>
      <w:marRight w:val="0"/>
      <w:marTop w:val="0"/>
      <w:marBottom w:val="0"/>
      <w:divBdr>
        <w:top w:val="none" w:sz="0" w:space="0" w:color="auto"/>
        <w:left w:val="none" w:sz="0" w:space="0" w:color="auto"/>
        <w:bottom w:val="none" w:sz="0" w:space="0" w:color="auto"/>
        <w:right w:val="none" w:sz="0" w:space="0" w:color="auto"/>
      </w:divBdr>
    </w:div>
    <w:div w:id="1583757886">
      <w:marLeft w:val="0"/>
      <w:marRight w:val="0"/>
      <w:marTop w:val="0"/>
      <w:marBottom w:val="0"/>
      <w:divBdr>
        <w:top w:val="none" w:sz="0" w:space="0" w:color="auto"/>
        <w:left w:val="none" w:sz="0" w:space="0" w:color="auto"/>
        <w:bottom w:val="none" w:sz="0" w:space="0" w:color="auto"/>
        <w:right w:val="none" w:sz="0" w:space="0" w:color="auto"/>
      </w:divBdr>
    </w:div>
    <w:div w:id="1585259392">
      <w:marLeft w:val="0"/>
      <w:marRight w:val="0"/>
      <w:marTop w:val="0"/>
      <w:marBottom w:val="0"/>
      <w:divBdr>
        <w:top w:val="none" w:sz="0" w:space="0" w:color="auto"/>
        <w:left w:val="none" w:sz="0" w:space="0" w:color="auto"/>
        <w:bottom w:val="none" w:sz="0" w:space="0" w:color="auto"/>
        <w:right w:val="none" w:sz="0" w:space="0" w:color="auto"/>
      </w:divBdr>
    </w:div>
    <w:div w:id="1586256992">
      <w:marLeft w:val="0"/>
      <w:marRight w:val="0"/>
      <w:marTop w:val="0"/>
      <w:marBottom w:val="240"/>
      <w:divBdr>
        <w:top w:val="none" w:sz="0" w:space="0" w:color="auto"/>
        <w:left w:val="none" w:sz="0" w:space="0" w:color="auto"/>
        <w:bottom w:val="none" w:sz="0" w:space="0" w:color="auto"/>
        <w:right w:val="none" w:sz="0" w:space="0" w:color="auto"/>
      </w:divBdr>
    </w:div>
    <w:div w:id="1588418993">
      <w:marLeft w:val="0"/>
      <w:marRight w:val="0"/>
      <w:marTop w:val="0"/>
      <w:marBottom w:val="180"/>
      <w:divBdr>
        <w:top w:val="none" w:sz="0" w:space="0" w:color="auto"/>
        <w:left w:val="none" w:sz="0" w:space="0" w:color="auto"/>
        <w:bottom w:val="none" w:sz="0" w:space="0" w:color="auto"/>
        <w:right w:val="none" w:sz="0" w:space="0" w:color="auto"/>
      </w:divBdr>
    </w:div>
    <w:div w:id="1590308177">
      <w:marLeft w:val="0"/>
      <w:marRight w:val="0"/>
      <w:marTop w:val="0"/>
      <w:marBottom w:val="180"/>
      <w:divBdr>
        <w:top w:val="none" w:sz="0" w:space="0" w:color="auto"/>
        <w:left w:val="none" w:sz="0" w:space="0" w:color="auto"/>
        <w:bottom w:val="none" w:sz="0" w:space="0" w:color="auto"/>
        <w:right w:val="none" w:sz="0" w:space="0" w:color="auto"/>
      </w:divBdr>
    </w:div>
    <w:div w:id="1594045432">
      <w:marLeft w:val="0"/>
      <w:marRight w:val="0"/>
      <w:marTop w:val="0"/>
      <w:marBottom w:val="0"/>
      <w:divBdr>
        <w:top w:val="none" w:sz="0" w:space="0" w:color="auto"/>
        <w:left w:val="none" w:sz="0" w:space="0" w:color="auto"/>
        <w:bottom w:val="none" w:sz="0" w:space="0" w:color="auto"/>
        <w:right w:val="none" w:sz="0" w:space="0" w:color="auto"/>
      </w:divBdr>
      <w:divsChild>
        <w:div w:id="1595670577">
          <w:marLeft w:val="0"/>
          <w:marRight w:val="0"/>
          <w:marTop w:val="0"/>
          <w:marBottom w:val="0"/>
          <w:divBdr>
            <w:top w:val="none" w:sz="0" w:space="0" w:color="auto"/>
            <w:left w:val="none" w:sz="0" w:space="0" w:color="auto"/>
            <w:bottom w:val="none" w:sz="0" w:space="0" w:color="auto"/>
            <w:right w:val="none" w:sz="0" w:space="0" w:color="auto"/>
          </w:divBdr>
        </w:div>
      </w:divsChild>
    </w:div>
    <w:div w:id="1595556882">
      <w:marLeft w:val="0"/>
      <w:marRight w:val="0"/>
      <w:marTop w:val="60"/>
      <w:marBottom w:val="120"/>
      <w:divBdr>
        <w:top w:val="none" w:sz="0" w:space="0" w:color="auto"/>
        <w:left w:val="none" w:sz="0" w:space="0" w:color="auto"/>
        <w:bottom w:val="none" w:sz="0" w:space="0" w:color="auto"/>
        <w:right w:val="none" w:sz="0" w:space="0" w:color="auto"/>
      </w:divBdr>
    </w:div>
    <w:div w:id="1595673833">
      <w:marLeft w:val="0"/>
      <w:marRight w:val="0"/>
      <w:marTop w:val="0"/>
      <w:marBottom w:val="0"/>
      <w:divBdr>
        <w:top w:val="none" w:sz="0" w:space="0" w:color="auto"/>
        <w:left w:val="none" w:sz="0" w:space="0" w:color="auto"/>
        <w:bottom w:val="none" w:sz="0" w:space="0" w:color="auto"/>
        <w:right w:val="none" w:sz="0" w:space="0" w:color="auto"/>
      </w:divBdr>
    </w:div>
    <w:div w:id="1598758354">
      <w:marLeft w:val="0"/>
      <w:marRight w:val="0"/>
      <w:marTop w:val="0"/>
      <w:marBottom w:val="0"/>
      <w:divBdr>
        <w:top w:val="none" w:sz="0" w:space="0" w:color="auto"/>
        <w:left w:val="none" w:sz="0" w:space="0" w:color="auto"/>
        <w:bottom w:val="none" w:sz="0" w:space="0" w:color="auto"/>
        <w:right w:val="none" w:sz="0" w:space="0" w:color="auto"/>
      </w:divBdr>
    </w:div>
    <w:div w:id="1599675289">
      <w:marLeft w:val="0"/>
      <w:marRight w:val="0"/>
      <w:marTop w:val="0"/>
      <w:marBottom w:val="0"/>
      <w:divBdr>
        <w:top w:val="none" w:sz="0" w:space="0" w:color="auto"/>
        <w:left w:val="none" w:sz="0" w:space="0" w:color="auto"/>
        <w:bottom w:val="none" w:sz="0" w:space="0" w:color="auto"/>
        <w:right w:val="none" w:sz="0" w:space="0" w:color="auto"/>
      </w:divBdr>
    </w:div>
    <w:div w:id="1599825791">
      <w:marLeft w:val="0"/>
      <w:marRight w:val="0"/>
      <w:marTop w:val="0"/>
      <w:marBottom w:val="60"/>
      <w:divBdr>
        <w:top w:val="none" w:sz="0" w:space="0" w:color="auto"/>
        <w:left w:val="none" w:sz="0" w:space="0" w:color="auto"/>
        <w:bottom w:val="none" w:sz="0" w:space="0" w:color="auto"/>
        <w:right w:val="none" w:sz="0" w:space="0" w:color="auto"/>
      </w:divBdr>
    </w:div>
    <w:div w:id="1601796189">
      <w:marLeft w:val="0"/>
      <w:marRight w:val="0"/>
      <w:marTop w:val="0"/>
      <w:marBottom w:val="240"/>
      <w:divBdr>
        <w:top w:val="none" w:sz="0" w:space="0" w:color="auto"/>
        <w:left w:val="none" w:sz="0" w:space="0" w:color="auto"/>
        <w:bottom w:val="none" w:sz="0" w:space="0" w:color="auto"/>
        <w:right w:val="none" w:sz="0" w:space="0" w:color="auto"/>
      </w:divBdr>
    </w:div>
    <w:div w:id="1601914324">
      <w:marLeft w:val="0"/>
      <w:marRight w:val="0"/>
      <w:marTop w:val="0"/>
      <w:marBottom w:val="0"/>
      <w:divBdr>
        <w:top w:val="none" w:sz="0" w:space="0" w:color="auto"/>
        <w:left w:val="none" w:sz="0" w:space="0" w:color="auto"/>
        <w:bottom w:val="none" w:sz="0" w:space="0" w:color="auto"/>
        <w:right w:val="none" w:sz="0" w:space="0" w:color="auto"/>
      </w:divBdr>
    </w:div>
    <w:div w:id="1604726329">
      <w:marLeft w:val="0"/>
      <w:marRight w:val="0"/>
      <w:marTop w:val="0"/>
      <w:marBottom w:val="0"/>
      <w:divBdr>
        <w:top w:val="none" w:sz="0" w:space="0" w:color="auto"/>
        <w:left w:val="none" w:sz="0" w:space="0" w:color="auto"/>
        <w:bottom w:val="none" w:sz="0" w:space="0" w:color="auto"/>
        <w:right w:val="none" w:sz="0" w:space="0" w:color="auto"/>
      </w:divBdr>
    </w:div>
    <w:div w:id="1606032742">
      <w:marLeft w:val="0"/>
      <w:marRight w:val="0"/>
      <w:marTop w:val="0"/>
      <w:marBottom w:val="240"/>
      <w:divBdr>
        <w:top w:val="none" w:sz="0" w:space="0" w:color="auto"/>
        <w:left w:val="none" w:sz="0" w:space="0" w:color="auto"/>
        <w:bottom w:val="none" w:sz="0" w:space="0" w:color="auto"/>
        <w:right w:val="none" w:sz="0" w:space="0" w:color="auto"/>
      </w:divBdr>
    </w:div>
    <w:div w:id="1606770552">
      <w:marLeft w:val="0"/>
      <w:marRight w:val="0"/>
      <w:marTop w:val="120"/>
      <w:marBottom w:val="120"/>
      <w:divBdr>
        <w:top w:val="none" w:sz="0" w:space="0" w:color="auto"/>
        <w:left w:val="none" w:sz="0" w:space="0" w:color="auto"/>
        <w:bottom w:val="none" w:sz="0" w:space="0" w:color="auto"/>
        <w:right w:val="none" w:sz="0" w:space="0" w:color="auto"/>
      </w:divBdr>
    </w:div>
    <w:div w:id="1607276504">
      <w:marLeft w:val="0"/>
      <w:marRight w:val="0"/>
      <w:marTop w:val="0"/>
      <w:marBottom w:val="240"/>
      <w:divBdr>
        <w:top w:val="none" w:sz="0" w:space="0" w:color="auto"/>
        <w:left w:val="none" w:sz="0" w:space="0" w:color="auto"/>
        <w:bottom w:val="none" w:sz="0" w:space="0" w:color="auto"/>
        <w:right w:val="none" w:sz="0" w:space="0" w:color="auto"/>
      </w:divBdr>
    </w:div>
    <w:div w:id="1607957550">
      <w:marLeft w:val="0"/>
      <w:marRight w:val="0"/>
      <w:marTop w:val="180"/>
      <w:marBottom w:val="180"/>
      <w:divBdr>
        <w:top w:val="none" w:sz="0" w:space="0" w:color="auto"/>
        <w:left w:val="none" w:sz="0" w:space="0" w:color="auto"/>
        <w:bottom w:val="none" w:sz="0" w:space="0" w:color="auto"/>
        <w:right w:val="none" w:sz="0" w:space="0" w:color="auto"/>
      </w:divBdr>
    </w:div>
    <w:div w:id="1609049216">
      <w:marLeft w:val="0"/>
      <w:marRight w:val="0"/>
      <w:marTop w:val="0"/>
      <w:marBottom w:val="0"/>
      <w:divBdr>
        <w:top w:val="none" w:sz="0" w:space="0" w:color="auto"/>
        <w:left w:val="none" w:sz="0" w:space="0" w:color="auto"/>
        <w:bottom w:val="none" w:sz="0" w:space="0" w:color="auto"/>
        <w:right w:val="none" w:sz="0" w:space="0" w:color="auto"/>
      </w:divBdr>
    </w:div>
    <w:div w:id="1610895555">
      <w:marLeft w:val="0"/>
      <w:marRight w:val="0"/>
      <w:marTop w:val="120"/>
      <w:marBottom w:val="120"/>
      <w:divBdr>
        <w:top w:val="none" w:sz="0" w:space="0" w:color="auto"/>
        <w:left w:val="none" w:sz="0" w:space="0" w:color="auto"/>
        <w:bottom w:val="none" w:sz="0" w:space="0" w:color="auto"/>
        <w:right w:val="none" w:sz="0" w:space="0" w:color="auto"/>
      </w:divBdr>
    </w:div>
    <w:div w:id="1614243277">
      <w:marLeft w:val="0"/>
      <w:marRight w:val="0"/>
      <w:marTop w:val="0"/>
      <w:marBottom w:val="180"/>
      <w:divBdr>
        <w:top w:val="none" w:sz="0" w:space="0" w:color="auto"/>
        <w:left w:val="none" w:sz="0" w:space="0" w:color="auto"/>
        <w:bottom w:val="none" w:sz="0" w:space="0" w:color="auto"/>
        <w:right w:val="none" w:sz="0" w:space="0" w:color="auto"/>
      </w:divBdr>
    </w:div>
    <w:div w:id="1616017764">
      <w:marLeft w:val="0"/>
      <w:marRight w:val="0"/>
      <w:marTop w:val="0"/>
      <w:marBottom w:val="240"/>
      <w:divBdr>
        <w:top w:val="none" w:sz="0" w:space="0" w:color="auto"/>
        <w:left w:val="none" w:sz="0" w:space="0" w:color="auto"/>
        <w:bottom w:val="none" w:sz="0" w:space="0" w:color="auto"/>
        <w:right w:val="none" w:sz="0" w:space="0" w:color="auto"/>
      </w:divBdr>
    </w:div>
    <w:div w:id="1619869026">
      <w:marLeft w:val="0"/>
      <w:marRight w:val="0"/>
      <w:marTop w:val="0"/>
      <w:marBottom w:val="0"/>
      <w:divBdr>
        <w:top w:val="none" w:sz="0" w:space="0" w:color="auto"/>
        <w:left w:val="none" w:sz="0" w:space="0" w:color="auto"/>
        <w:bottom w:val="none" w:sz="0" w:space="0" w:color="auto"/>
        <w:right w:val="none" w:sz="0" w:space="0" w:color="auto"/>
      </w:divBdr>
      <w:divsChild>
        <w:div w:id="1237128760">
          <w:marLeft w:val="0"/>
          <w:marRight w:val="0"/>
          <w:marTop w:val="0"/>
          <w:marBottom w:val="0"/>
          <w:divBdr>
            <w:top w:val="none" w:sz="0" w:space="0" w:color="auto"/>
            <w:left w:val="none" w:sz="0" w:space="0" w:color="auto"/>
            <w:bottom w:val="none" w:sz="0" w:space="0" w:color="auto"/>
            <w:right w:val="none" w:sz="0" w:space="0" w:color="auto"/>
          </w:divBdr>
        </w:div>
      </w:divsChild>
    </w:div>
    <w:div w:id="1623414980">
      <w:marLeft w:val="0"/>
      <w:marRight w:val="0"/>
      <w:marTop w:val="0"/>
      <w:marBottom w:val="180"/>
      <w:divBdr>
        <w:top w:val="none" w:sz="0" w:space="0" w:color="auto"/>
        <w:left w:val="none" w:sz="0" w:space="0" w:color="auto"/>
        <w:bottom w:val="none" w:sz="0" w:space="0" w:color="auto"/>
        <w:right w:val="none" w:sz="0" w:space="0" w:color="auto"/>
      </w:divBdr>
    </w:div>
    <w:div w:id="1625649139">
      <w:marLeft w:val="0"/>
      <w:marRight w:val="0"/>
      <w:marTop w:val="120"/>
      <w:marBottom w:val="120"/>
      <w:divBdr>
        <w:top w:val="none" w:sz="0" w:space="0" w:color="auto"/>
        <w:left w:val="none" w:sz="0" w:space="0" w:color="auto"/>
        <w:bottom w:val="none" w:sz="0" w:space="0" w:color="auto"/>
        <w:right w:val="none" w:sz="0" w:space="0" w:color="auto"/>
      </w:divBdr>
    </w:div>
    <w:div w:id="1630359298">
      <w:marLeft w:val="0"/>
      <w:marRight w:val="0"/>
      <w:marTop w:val="0"/>
      <w:marBottom w:val="60"/>
      <w:divBdr>
        <w:top w:val="none" w:sz="0" w:space="0" w:color="auto"/>
        <w:left w:val="none" w:sz="0" w:space="0" w:color="auto"/>
        <w:bottom w:val="none" w:sz="0" w:space="0" w:color="auto"/>
        <w:right w:val="none" w:sz="0" w:space="0" w:color="auto"/>
      </w:divBdr>
    </w:div>
    <w:div w:id="1633747605">
      <w:marLeft w:val="0"/>
      <w:marRight w:val="0"/>
      <w:marTop w:val="0"/>
      <w:marBottom w:val="0"/>
      <w:divBdr>
        <w:top w:val="none" w:sz="0" w:space="0" w:color="auto"/>
        <w:left w:val="none" w:sz="0" w:space="0" w:color="auto"/>
        <w:bottom w:val="none" w:sz="0" w:space="0" w:color="auto"/>
        <w:right w:val="none" w:sz="0" w:space="0" w:color="auto"/>
      </w:divBdr>
    </w:div>
    <w:div w:id="1634482961">
      <w:marLeft w:val="0"/>
      <w:marRight w:val="0"/>
      <w:marTop w:val="0"/>
      <w:marBottom w:val="0"/>
      <w:divBdr>
        <w:top w:val="none" w:sz="0" w:space="0" w:color="auto"/>
        <w:left w:val="none" w:sz="0" w:space="0" w:color="auto"/>
        <w:bottom w:val="none" w:sz="0" w:space="0" w:color="auto"/>
        <w:right w:val="none" w:sz="0" w:space="0" w:color="auto"/>
      </w:divBdr>
    </w:div>
    <w:div w:id="1637685362">
      <w:marLeft w:val="0"/>
      <w:marRight w:val="0"/>
      <w:marTop w:val="0"/>
      <w:marBottom w:val="240"/>
      <w:divBdr>
        <w:top w:val="none" w:sz="0" w:space="0" w:color="auto"/>
        <w:left w:val="none" w:sz="0" w:space="0" w:color="auto"/>
        <w:bottom w:val="none" w:sz="0" w:space="0" w:color="auto"/>
        <w:right w:val="none" w:sz="0" w:space="0" w:color="auto"/>
      </w:divBdr>
    </w:div>
    <w:div w:id="1638490721">
      <w:marLeft w:val="0"/>
      <w:marRight w:val="0"/>
      <w:marTop w:val="0"/>
      <w:marBottom w:val="0"/>
      <w:divBdr>
        <w:top w:val="none" w:sz="0" w:space="0" w:color="auto"/>
        <w:left w:val="none" w:sz="0" w:space="0" w:color="auto"/>
        <w:bottom w:val="none" w:sz="0" w:space="0" w:color="auto"/>
        <w:right w:val="none" w:sz="0" w:space="0" w:color="auto"/>
      </w:divBdr>
    </w:div>
    <w:div w:id="1640302790">
      <w:marLeft w:val="0"/>
      <w:marRight w:val="0"/>
      <w:marTop w:val="0"/>
      <w:marBottom w:val="180"/>
      <w:divBdr>
        <w:top w:val="none" w:sz="0" w:space="0" w:color="auto"/>
        <w:left w:val="none" w:sz="0" w:space="0" w:color="auto"/>
        <w:bottom w:val="none" w:sz="0" w:space="0" w:color="auto"/>
        <w:right w:val="none" w:sz="0" w:space="0" w:color="auto"/>
      </w:divBdr>
    </w:div>
    <w:div w:id="1640766527">
      <w:marLeft w:val="0"/>
      <w:marRight w:val="0"/>
      <w:marTop w:val="0"/>
      <w:marBottom w:val="180"/>
      <w:divBdr>
        <w:top w:val="none" w:sz="0" w:space="0" w:color="auto"/>
        <w:left w:val="none" w:sz="0" w:space="0" w:color="auto"/>
        <w:bottom w:val="none" w:sz="0" w:space="0" w:color="auto"/>
        <w:right w:val="none" w:sz="0" w:space="0" w:color="auto"/>
      </w:divBdr>
    </w:div>
    <w:div w:id="1641613251">
      <w:marLeft w:val="0"/>
      <w:marRight w:val="0"/>
      <w:marTop w:val="120"/>
      <w:marBottom w:val="120"/>
      <w:divBdr>
        <w:top w:val="none" w:sz="0" w:space="0" w:color="auto"/>
        <w:left w:val="none" w:sz="0" w:space="0" w:color="auto"/>
        <w:bottom w:val="none" w:sz="0" w:space="0" w:color="auto"/>
        <w:right w:val="none" w:sz="0" w:space="0" w:color="auto"/>
      </w:divBdr>
    </w:div>
    <w:div w:id="1643583534">
      <w:marLeft w:val="0"/>
      <w:marRight w:val="0"/>
      <w:marTop w:val="0"/>
      <w:marBottom w:val="240"/>
      <w:divBdr>
        <w:top w:val="none" w:sz="0" w:space="0" w:color="auto"/>
        <w:left w:val="none" w:sz="0" w:space="0" w:color="auto"/>
        <w:bottom w:val="none" w:sz="0" w:space="0" w:color="auto"/>
        <w:right w:val="none" w:sz="0" w:space="0" w:color="auto"/>
      </w:divBdr>
    </w:div>
    <w:div w:id="1644652073">
      <w:marLeft w:val="0"/>
      <w:marRight w:val="0"/>
      <w:marTop w:val="0"/>
      <w:marBottom w:val="0"/>
      <w:divBdr>
        <w:top w:val="none" w:sz="0" w:space="0" w:color="auto"/>
        <w:left w:val="none" w:sz="0" w:space="0" w:color="auto"/>
        <w:bottom w:val="none" w:sz="0" w:space="0" w:color="auto"/>
        <w:right w:val="none" w:sz="0" w:space="0" w:color="auto"/>
      </w:divBdr>
    </w:div>
    <w:div w:id="1644891180">
      <w:marLeft w:val="0"/>
      <w:marRight w:val="0"/>
      <w:marTop w:val="0"/>
      <w:marBottom w:val="0"/>
      <w:divBdr>
        <w:top w:val="none" w:sz="0" w:space="0" w:color="auto"/>
        <w:left w:val="none" w:sz="0" w:space="0" w:color="auto"/>
        <w:bottom w:val="none" w:sz="0" w:space="0" w:color="auto"/>
        <w:right w:val="none" w:sz="0" w:space="0" w:color="auto"/>
      </w:divBdr>
      <w:divsChild>
        <w:div w:id="1030640982">
          <w:marLeft w:val="0"/>
          <w:marRight w:val="0"/>
          <w:marTop w:val="0"/>
          <w:marBottom w:val="0"/>
          <w:divBdr>
            <w:top w:val="none" w:sz="0" w:space="0" w:color="auto"/>
            <w:left w:val="none" w:sz="0" w:space="0" w:color="auto"/>
            <w:bottom w:val="none" w:sz="0" w:space="0" w:color="auto"/>
            <w:right w:val="none" w:sz="0" w:space="0" w:color="auto"/>
          </w:divBdr>
        </w:div>
      </w:divsChild>
    </w:div>
    <w:div w:id="1646928947">
      <w:marLeft w:val="0"/>
      <w:marRight w:val="0"/>
      <w:marTop w:val="180"/>
      <w:marBottom w:val="180"/>
      <w:divBdr>
        <w:top w:val="none" w:sz="0" w:space="0" w:color="auto"/>
        <w:left w:val="none" w:sz="0" w:space="0" w:color="auto"/>
        <w:bottom w:val="none" w:sz="0" w:space="0" w:color="auto"/>
        <w:right w:val="none" w:sz="0" w:space="0" w:color="auto"/>
      </w:divBdr>
    </w:div>
    <w:div w:id="1648364192">
      <w:marLeft w:val="0"/>
      <w:marRight w:val="0"/>
      <w:marTop w:val="180"/>
      <w:marBottom w:val="180"/>
      <w:divBdr>
        <w:top w:val="none" w:sz="0" w:space="0" w:color="auto"/>
        <w:left w:val="none" w:sz="0" w:space="0" w:color="auto"/>
        <w:bottom w:val="none" w:sz="0" w:space="0" w:color="auto"/>
        <w:right w:val="none" w:sz="0" w:space="0" w:color="auto"/>
      </w:divBdr>
    </w:div>
    <w:div w:id="1652901281">
      <w:marLeft w:val="0"/>
      <w:marRight w:val="0"/>
      <w:marTop w:val="0"/>
      <w:marBottom w:val="0"/>
      <w:divBdr>
        <w:top w:val="none" w:sz="0" w:space="0" w:color="auto"/>
        <w:left w:val="none" w:sz="0" w:space="0" w:color="auto"/>
        <w:bottom w:val="none" w:sz="0" w:space="0" w:color="auto"/>
        <w:right w:val="none" w:sz="0" w:space="0" w:color="auto"/>
      </w:divBdr>
    </w:div>
    <w:div w:id="1653409739">
      <w:marLeft w:val="0"/>
      <w:marRight w:val="0"/>
      <w:marTop w:val="0"/>
      <w:marBottom w:val="0"/>
      <w:divBdr>
        <w:top w:val="none" w:sz="0" w:space="0" w:color="auto"/>
        <w:left w:val="none" w:sz="0" w:space="0" w:color="auto"/>
        <w:bottom w:val="none" w:sz="0" w:space="0" w:color="auto"/>
        <w:right w:val="none" w:sz="0" w:space="0" w:color="auto"/>
      </w:divBdr>
    </w:div>
    <w:div w:id="1653480067">
      <w:marLeft w:val="0"/>
      <w:marRight w:val="0"/>
      <w:marTop w:val="0"/>
      <w:marBottom w:val="0"/>
      <w:divBdr>
        <w:top w:val="none" w:sz="0" w:space="0" w:color="auto"/>
        <w:left w:val="none" w:sz="0" w:space="0" w:color="auto"/>
        <w:bottom w:val="none" w:sz="0" w:space="0" w:color="auto"/>
        <w:right w:val="none" w:sz="0" w:space="0" w:color="auto"/>
      </w:divBdr>
      <w:divsChild>
        <w:div w:id="170991217">
          <w:marLeft w:val="0"/>
          <w:marRight w:val="0"/>
          <w:marTop w:val="0"/>
          <w:marBottom w:val="0"/>
          <w:divBdr>
            <w:top w:val="none" w:sz="0" w:space="0" w:color="auto"/>
            <w:left w:val="none" w:sz="0" w:space="0" w:color="auto"/>
            <w:bottom w:val="none" w:sz="0" w:space="0" w:color="auto"/>
            <w:right w:val="none" w:sz="0" w:space="0" w:color="auto"/>
          </w:divBdr>
        </w:div>
      </w:divsChild>
    </w:div>
    <w:div w:id="1654288400">
      <w:marLeft w:val="0"/>
      <w:marRight w:val="0"/>
      <w:marTop w:val="0"/>
      <w:marBottom w:val="0"/>
      <w:divBdr>
        <w:top w:val="none" w:sz="0" w:space="0" w:color="auto"/>
        <w:left w:val="none" w:sz="0" w:space="0" w:color="auto"/>
        <w:bottom w:val="none" w:sz="0" w:space="0" w:color="auto"/>
        <w:right w:val="none" w:sz="0" w:space="0" w:color="auto"/>
      </w:divBdr>
    </w:div>
    <w:div w:id="1654523742">
      <w:marLeft w:val="0"/>
      <w:marRight w:val="0"/>
      <w:marTop w:val="100"/>
      <w:marBottom w:val="100"/>
      <w:divBdr>
        <w:top w:val="none" w:sz="0" w:space="0" w:color="auto"/>
        <w:left w:val="none" w:sz="0" w:space="0" w:color="auto"/>
        <w:bottom w:val="none" w:sz="0" w:space="0" w:color="auto"/>
        <w:right w:val="none" w:sz="0" w:space="0" w:color="auto"/>
      </w:divBdr>
    </w:div>
    <w:div w:id="1656374617">
      <w:marLeft w:val="0"/>
      <w:marRight w:val="0"/>
      <w:marTop w:val="100"/>
      <w:marBottom w:val="100"/>
      <w:divBdr>
        <w:top w:val="none" w:sz="0" w:space="0" w:color="auto"/>
        <w:left w:val="none" w:sz="0" w:space="0" w:color="auto"/>
        <w:bottom w:val="none" w:sz="0" w:space="0" w:color="auto"/>
        <w:right w:val="none" w:sz="0" w:space="0" w:color="auto"/>
      </w:divBdr>
    </w:div>
    <w:div w:id="1659573858">
      <w:marLeft w:val="0"/>
      <w:marRight w:val="0"/>
      <w:marTop w:val="0"/>
      <w:marBottom w:val="180"/>
      <w:divBdr>
        <w:top w:val="none" w:sz="0" w:space="0" w:color="auto"/>
        <w:left w:val="none" w:sz="0" w:space="0" w:color="auto"/>
        <w:bottom w:val="none" w:sz="0" w:space="0" w:color="auto"/>
        <w:right w:val="none" w:sz="0" w:space="0" w:color="auto"/>
      </w:divBdr>
    </w:div>
    <w:div w:id="1660964993">
      <w:marLeft w:val="0"/>
      <w:marRight w:val="0"/>
      <w:marTop w:val="0"/>
      <w:marBottom w:val="240"/>
      <w:divBdr>
        <w:top w:val="none" w:sz="0" w:space="0" w:color="auto"/>
        <w:left w:val="none" w:sz="0" w:space="0" w:color="auto"/>
        <w:bottom w:val="none" w:sz="0" w:space="0" w:color="auto"/>
        <w:right w:val="none" w:sz="0" w:space="0" w:color="auto"/>
      </w:divBdr>
    </w:div>
    <w:div w:id="1662149393">
      <w:marLeft w:val="0"/>
      <w:marRight w:val="0"/>
      <w:marTop w:val="120"/>
      <w:marBottom w:val="180"/>
      <w:divBdr>
        <w:top w:val="none" w:sz="0" w:space="0" w:color="auto"/>
        <w:left w:val="none" w:sz="0" w:space="0" w:color="auto"/>
        <w:bottom w:val="none" w:sz="0" w:space="0" w:color="auto"/>
        <w:right w:val="none" w:sz="0" w:space="0" w:color="auto"/>
      </w:divBdr>
    </w:div>
    <w:div w:id="1662731246">
      <w:marLeft w:val="0"/>
      <w:marRight w:val="0"/>
      <w:marTop w:val="0"/>
      <w:marBottom w:val="0"/>
      <w:divBdr>
        <w:top w:val="none" w:sz="0" w:space="0" w:color="auto"/>
        <w:left w:val="none" w:sz="0" w:space="0" w:color="auto"/>
        <w:bottom w:val="none" w:sz="0" w:space="0" w:color="auto"/>
        <w:right w:val="none" w:sz="0" w:space="0" w:color="auto"/>
      </w:divBdr>
      <w:divsChild>
        <w:div w:id="80806561">
          <w:marLeft w:val="0"/>
          <w:marRight w:val="0"/>
          <w:marTop w:val="0"/>
          <w:marBottom w:val="0"/>
          <w:divBdr>
            <w:top w:val="none" w:sz="0" w:space="0" w:color="auto"/>
            <w:left w:val="none" w:sz="0" w:space="0" w:color="auto"/>
            <w:bottom w:val="none" w:sz="0" w:space="0" w:color="auto"/>
            <w:right w:val="none" w:sz="0" w:space="0" w:color="auto"/>
          </w:divBdr>
        </w:div>
      </w:divsChild>
    </w:div>
    <w:div w:id="1662807160">
      <w:marLeft w:val="0"/>
      <w:marRight w:val="0"/>
      <w:marTop w:val="0"/>
      <w:marBottom w:val="60"/>
      <w:divBdr>
        <w:top w:val="none" w:sz="0" w:space="0" w:color="auto"/>
        <w:left w:val="none" w:sz="0" w:space="0" w:color="auto"/>
        <w:bottom w:val="none" w:sz="0" w:space="0" w:color="auto"/>
        <w:right w:val="none" w:sz="0" w:space="0" w:color="auto"/>
      </w:divBdr>
    </w:div>
    <w:div w:id="1663660836">
      <w:marLeft w:val="0"/>
      <w:marRight w:val="0"/>
      <w:marTop w:val="0"/>
      <w:marBottom w:val="240"/>
      <w:divBdr>
        <w:top w:val="none" w:sz="0" w:space="0" w:color="auto"/>
        <w:left w:val="none" w:sz="0" w:space="0" w:color="auto"/>
        <w:bottom w:val="none" w:sz="0" w:space="0" w:color="auto"/>
        <w:right w:val="none" w:sz="0" w:space="0" w:color="auto"/>
      </w:divBdr>
    </w:div>
    <w:div w:id="1665204528">
      <w:marLeft w:val="0"/>
      <w:marRight w:val="0"/>
      <w:marTop w:val="0"/>
      <w:marBottom w:val="180"/>
      <w:divBdr>
        <w:top w:val="none" w:sz="0" w:space="0" w:color="auto"/>
        <w:left w:val="none" w:sz="0" w:space="0" w:color="auto"/>
        <w:bottom w:val="none" w:sz="0" w:space="0" w:color="auto"/>
        <w:right w:val="none" w:sz="0" w:space="0" w:color="auto"/>
      </w:divBdr>
    </w:div>
    <w:div w:id="1666471919">
      <w:marLeft w:val="0"/>
      <w:marRight w:val="0"/>
      <w:marTop w:val="0"/>
      <w:marBottom w:val="240"/>
      <w:divBdr>
        <w:top w:val="none" w:sz="0" w:space="0" w:color="auto"/>
        <w:left w:val="none" w:sz="0" w:space="0" w:color="auto"/>
        <w:bottom w:val="none" w:sz="0" w:space="0" w:color="auto"/>
        <w:right w:val="none" w:sz="0" w:space="0" w:color="auto"/>
      </w:divBdr>
    </w:div>
    <w:div w:id="1666863725">
      <w:marLeft w:val="0"/>
      <w:marRight w:val="0"/>
      <w:marTop w:val="100"/>
      <w:marBottom w:val="100"/>
      <w:divBdr>
        <w:top w:val="none" w:sz="0" w:space="0" w:color="auto"/>
        <w:left w:val="none" w:sz="0" w:space="0" w:color="auto"/>
        <w:bottom w:val="none" w:sz="0" w:space="0" w:color="auto"/>
        <w:right w:val="none" w:sz="0" w:space="0" w:color="auto"/>
      </w:divBdr>
    </w:div>
    <w:div w:id="1666937898">
      <w:marLeft w:val="0"/>
      <w:marRight w:val="0"/>
      <w:marTop w:val="0"/>
      <w:marBottom w:val="180"/>
      <w:divBdr>
        <w:top w:val="none" w:sz="0" w:space="0" w:color="auto"/>
        <w:left w:val="none" w:sz="0" w:space="0" w:color="auto"/>
        <w:bottom w:val="none" w:sz="0" w:space="0" w:color="auto"/>
        <w:right w:val="none" w:sz="0" w:space="0" w:color="auto"/>
      </w:divBdr>
    </w:div>
    <w:div w:id="1667052220">
      <w:marLeft w:val="0"/>
      <w:marRight w:val="0"/>
      <w:marTop w:val="0"/>
      <w:marBottom w:val="180"/>
      <w:divBdr>
        <w:top w:val="none" w:sz="0" w:space="0" w:color="auto"/>
        <w:left w:val="none" w:sz="0" w:space="0" w:color="auto"/>
        <w:bottom w:val="none" w:sz="0" w:space="0" w:color="auto"/>
        <w:right w:val="none" w:sz="0" w:space="0" w:color="auto"/>
      </w:divBdr>
    </w:div>
    <w:div w:id="1668970973">
      <w:marLeft w:val="0"/>
      <w:marRight w:val="0"/>
      <w:marTop w:val="0"/>
      <w:marBottom w:val="0"/>
      <w:divBdr>
        <w:top w:val="none" w:sz="0" w:space="0" w:color="auto"/>
        <w:left w:val="none" w:sz="0" w:space="0" w:color="auto"/>
        <w:bottom w:val="none" w:sz="0" w:space="0" w:color="auto"/>
        <w:right w:val="none" w:sz="0" w:space="0" w:color="auto"/>
      </w:divBdr>
    </w:div>
    <w:div w:id="1669599300">
      <w:marLeft w:val="0"/>
      <w:marRight w:val="0"/>
      <w:marTop w:val="180"/>
      <w:marBottom w:val="180"/>
      <w:divBdr>
        <w:top w:val="none" w:sz="0" w:space="0" w:color="auto"/>
        <w:left w:val="none" w:sz="0" w:space="0" w:color="auto"/>
        <w:bottom w:val="none" w:sz="0" w:space="0" w:color="auto"/>
        <w:right w:val="none" w:sz="0" w:space="0" w:color="auto"/>
      </w:divBdr>
    </w:div>
    <w:div w:id="1670139255">
      <w:marLeft w:val="0"/>
      <w:marRight w:val="0"/>
      <w:marTop w:val="180"/>
      <w:marBottom w:val="180"/>
      <w:divBdr>
        <w:top w:val="none" w:sz="0" w:space="0" w:color="auto"/>
        <w:left w:val="none" w:sz="0" w:space="0" w:color="auto"/>
        <w:bottom w:val="none" w:sz="0" w:space="0" w:color="auto"/>
        <w:right w:val="none" w:sz="0" w:space="0" w:color="auto"/>
      </w:divBdr>
    </w:div>
    <w:div w:id="1671636279">
      <w:marLeft w:val="0"/>
      <w:marRight w:val="0"/>
      <w:marTop w:val="0"/>
      <w:marBottom w:val="240"/>
      <w:divBdr>
        <w:top w:val="none" w:sz="0" w:space="0" w:color="auto"/>
        <w:left w:val="none" w:sz="0" w:space="0" w:color="auto"/>
        <w:bottom w:val="none" w:sz="0" w:space="0" w:color="auto"/>
        <w:right w:val="none" w:sz="0" w:space="0" w:color="auto"/>
      </w:divBdr>
    </w:div>
    <w:div w:id="1674145124">
      <w:marLeft w:val="0"/>
      <w:marRight w:val="0"/>
      <w:marTop w:val="0"/>
      <w:marBottom w:val="0"/>
      <w:divBdr>
        <w:top w:val="none" w:sz="0" w:space="0" w:color="auto"/>
        <w:left w:val="none" w:sz="0" w:space="0" w:color="auto"/>
        <w:bottom w:val="none" w:sz="0" w:space="0" w:color="auto"/>
        <w:right w:val="none" w:sz="0" w:space="0" w:color="auto"/>
      </w:divBdr>
    </w:div>
    <w:div w:id="1676179402">
      <w:marLeft w:val="0"/>
      <w:marRight w:val="0"/>
      <w:marTop w:val="0"/>
      <w:marBottom w:val="0"/>
      <w:divBdr>
        <w:top w:val="none" w:sz="0" w:space="0" w:color="auto"/>
        <w:left w:val="none" w:sz="0" w:space="0" w:color="auto"/>
        <w:bottom w:val="none" w:sz="0" w:space="0" w:color="auto"/>
        <w:right w:val="none" w:sz="0" w:space="0" w:color="auto"/>
      </w:divBdr>
      <w:divsChild>
        <w:div w:id="627050345">
          <w:marLeft w:val="0"/>
          <w:marRight w:val="0"/>
          <w:marTop w:val="0"/>
          <w:marBottom w:val="0"/>
          <w:divBdr>
            <w:top w:val="none" w:sz="0" w:space="0" w:color="auto"/>
            <w:left w:val="none" w:sz="0" w:space="0" w:color="auto"/>
            <w:bottom w:val="none" w:sz="0" w:space="0" w:color="auto"/>
            <w:right w:val="none" w:sz="0" w:space="0" w:color="auto"/>
          </w:divBdr>
        </w:div>
      </w:divsChild>
    </w:div>
    <w:div w:id="1676347502">
      <w:marLeft w:val="0"/>
      <w:marRight w:val="0"/>
      <w:marTop w:val="0"/>
      <w:marBottom w:val="240"/>
      <w:divBdr>
        <w:top w:val="none" w:sz="0" w:space="0" w:color="auto"/>
        <w:left w:val="none" w:sz="0" w:space="0" w:color="auto"/>
        <w:bottom w:val="none" w:sz="0" w:space="0" w:color="auto"/>
        <w:right w:val="none" w:sz="0" w:space="0" w:color="auto"/>
      </w:divBdr>
    </w:div>
    <w:div w:id="1676609510">
      <w:marLeft w:val="0"/>
      <w:marRight w:val="0"/>
      <w:marTop w:val="0"/>
      <w:marBottom w:val="240"/>
      <w:divBdr>
        <w:top w:val="none" w:sz="0" w:space="0" w:color="auto"/>
        <w:left w:val="none" w:sz="0" w:space="0" w:color="auto"/>
        <w:bottom w:val="none" w:sz="0" w:space="0" w:color="auto"/>
        <w:right w:val="none" w:sz="0" w:space="0" w:color="auto"/>
      </w:divBdr>
    </w:div>
    <w:div w:id="1677339582">
      <w:marLeft w:val="0"/>
      <w:marRight w:val="0"/>
      <w:marTop w:val="0"/>
      <w:marBottom w:val="0"/>
      <w:divBdr>
        <w:top w:val="none" w:sz="0" w:space="0" w:color="auto"/>
        <w:left w:val="none" w:sz="0" w:space="0" w:color="auto"/>
        <w:bottom w:val="none" w:sz="0" w:space="0" w:color="auto"/>
        <w:right w:val="none" w:sz="0" w:space="0" w:color="auto"/>
      </w:divBdr>
      <w:divsChild>
        <w:div w:id="649599414">
          <w:marLeft w:val="0"/>
          <w:marRight w:val="0"/>
          <w:marTop w:val="0"/>
          <w:marBottom w:val="0"/>
          <w:divBdr>
            <w:top w:val="none" w:sz="0" w:space="0" w:color="auto"/>
            <w:left w:val="none" w:sz="0" w:space="0" w:color="auto"/>
            <w:bottom w:val="none" w:sz="0" w:space="0" w:color="auto"/>
            <w:right w:val="none" w:sz="0" w:space="0" w:color="auto"/>
          </w:divBdr>
        </w:div>
      </w:divsChild>
    </w:div>
    <w:div w:id="1682121145">
      <w:marLeft w:val="0"/>
      <w:marRight w:val="0"/>
      <w:marTop w:val="0"/>
      <w:marBottom w:val="180"/>
      <w:divBdr>
        <w:top w:val="none" w:sz="0" w:space="0" w:color="auto"/>
        <w:left w:val="none" w:sz="0" w:space="0" w:color="auto"/>
        <w:bottom w:val="none" w:sz="0" w:space="0" w:color="auto"/>
        <w:right w:val="none" w:sz="0" w:space="0" w:color="auto"/>
      </w:divBdr>
    </w:div>
    <w:div w:id="1683237209">
      <w:marLeft w:val="0"/>
      <w:marRight w:val="0"/>
      <w:marTop w:val="0"/>
      <w:marBottom w:val="240"/>
      <w:divBdr>
        <w:top w:val="none" w:sz="0" w:space="0" w:color="auto"/>
        <w:left w:val="none" w:sz="0" w:space="0" w:color="auto"/>
        <w:bottom w:val="none" w:sz="0" w:space="0" w:color="auto"/>
        <w:right w:val="none" w:sz="0" w:space="0" w:color="auto"/>
      </w:divBdr>
    </w:div>
    <w:div w:id="1684091865">
      <w:marLeft w:val="0"/>
      <w:marRight w:val="0"/>
      <w:marTop w:val="0"/>
      <w:marBottom w:val="180"/>
      <w:divBdr>
        <w:top w:val="none" w:sz="0" w:space="0" w:color="auto"/>
        <w:left w:val="none" w:sz="0" w:space="0" w:color="auto"/>
        <w:bottom w:val="none" w:sz="0" w:space="0" w:color="auto"/>
        <w:right w:val="none" w:sz="0" w:space="0" w:color="auto"/>
      </w:divBdr>
    </w:div>
    <w:div w:id="1684476391">
      <w:marLeft w:val="0"/>
      <w:marRight w:val="0"/>
      <w:marTop w:val="0"/>
      <w:marBottom w:val="0"/>
      <w:divBdr>
        <w:top w:val="none" w:sz="0" w:space="0" w:color="auto"/>
        <w:left w:val="none" w:sz="0" w:space="0" w:color="auto"/>
        <w:bottom w:val="none" w:sz="0" w:space="0" w:color="auto"/>
        <w:right w:val="none" w:sz="0" w:space="0" w:color="auto"/>
      </w:divBdr>
      <w:divsChild>
        <w:div w:id="826676471">
          <w:marLeft w:val="0"/>
          <w:marRight w:val="0"/>
          <w:marTop w:val="0"/>
          <w:marBottom w:val="0"/>
          <w:divBdr>
            <w:top w:val="none" w:sz="0" w:space="0" w:color="auto"/>
            <w:left w:val="none" w:sz="0" w:space="0" w:color="auto"/>
            <w:bottom w:val="none" w:sz="0" w:space="0" w:color="auto"/>
            <w:right w:val="none" w:sz="0" w:space="0" w:color="auto"/>
          </w:divBdr>
        </w:div>
      </w:divsChild>
    </w:div>
    <w:div w:id="1686635823">
      <w:marLeft w:val="0"/>
      <w:marRight w:val="0"/>
      <w:marTop w:val="120"/>
      <w:marBottom w:val="180"/>
      <w:divBdr>
        <w:top w:val="none" w:sz="0" w:space="0" w:color="auto"/>
        <w:left w:val="none" w:sz="0" w:space="0" w:color="auto"/>
        <w:bottom w:val="none" w:sz="0" w:space="0" w:color="auto"/>
        <w:right w:val="none" w:sz="0" w:space="0" w:color="auto"/>
      </w:divBdr>
    </w:div>
    <w:div w:id="1687780071">
      <w:marLeft w:val="0"/>
      <w:marRight w:val="0"/>
      <w:marTop w:val="100"/>
      <w:marBottom w:val="100"/>
      <w:divBdr>
        <w:top w:val="none" w:sz="0" w:space="0" w:color="auto"/>
        <w:left w:val="none" w:sz="0" w:space="0" w:color="auto"/>
        <w:bottom w:val="none" w:sz="0" w:space="0" w:color="auto"/>
        <w:right w:val="none" w:sz="0" w:space="0" w:color="auto"/>
      </w:divBdr>
    </w:div>
    <w:div w:id="1692148299">
      <w:marLeft w:val="0"/>
      <w:marRight w:val="0"/>
      <w:marTop w:val="0"/>
      <w:marBottom w:val="180"/>
      <w:divBdr>
        <w:top w:val="none" w:sz="0" w:space="0" w:color="auto"/>
        <w:left w:val="none" w:sz="0" w:space="0" w:color="auto"/>
        <w:bottom w:val="none" w:sz="0" w:space="0" w:color="auto"/>
        <w:right w:val="none" w:sz="0" w:space="0" w:color="auto"/>
      </w:divBdr>
    </w:div>
    <w:div w:id="1694844531">
      <w:marLeft w:val="0"/>
      <w:marRight w:val="0"/>
      <w:marTop w:val="180"/>
      <w:marBottom w:val="180"/>
      <w:divBdr>
        <w:top w:val="none" w:sz="0" w:space="0" w:color="auto"/>
        <w:left w:val="none" w:sz="0" w:space="0" w:color="auto"/>
        <w:bottom w:val="none" w:sz="0" w:space="0" w:color="auto"/>
        <w:right w:val="none" w:sz="0" w:space="0" w:color="auto"/>
      </w:divBdr>
    </w:div>
    <w:div w:id="1695842283">
      <w:marLeft w:val="0"/>
      <w:marRight w:val="0"/>
      <w:marTop w:val="0"/>
      <w:marBottom w:val="240"/>
      <w:divBdr>
        <w:top w:val="none" w:sz="0" w:space="0" w:color="auto"/>
        <w:left w:val="none" w:sz="0" w:space="0" w:color="auto"/>
        <w:bottom w:val="none" w:sz="0" w:space="0" w:color="auto"/>
        <w:right w:val="none" w:sz="0" w:space="0" w:color="auto"/>
      </w:divBdr>
    </w:div>
    <w:div w:id="1696617860">
      <w:marLeft w:val="0"/>
      <w:marRight w:val="0"/>
      <w:marTop w:val="100"/>
      <w:marBottom w:val="100"/>
      <w:divBdr>
        <w:top w:val="none" w:sz="0" w:space="0" w:color="auto"/>
        <w:left w:val="none" w:sz="0" w:space="0" w:color="auto"/>
        <w:bottom w:val="none" w:sz="0" w:space="0" w:color="auto"/>
        <w:right w:val="none" w:sz="0" w:space="0" w:color="auto"/>
      </w:divBdr>
    </w:div>
    <w:div w:id="1698851939">
      <w:marLeft w:val="0"/>
      <w:marRight w:val="0"/>
      <w:marTop w:val="0"/>
      <w:marBottom w:val="180"/>
      <w:divBdr>
        <w:top w:val="none" w:sz="0" w:space="0" w:color="auto"/>
        <w:left w:val="none" w:sz="0" w:space="0" w:color="auto"/>
        <w:bottom w:val="none" w:sz="0" w:space="0" w:color="auto"/>
        <w:right w:val="none" w:sz="0" w:space="0" w:color="auto"/>
      </w:divBdr>
    </w:div>
    <w:div w:id="1698963441">
      <w:marLeft w:val="0"/>
      <w:marRight w:val="0"/>
      <w:marTop w:val="180"/>
      <w:marBottom w:val="180"/>
      <w:divBdr>
        <w:top w:val="none" w:sz="0" w:space="0" w:color="auto"/>
        <w:left w:val="none" w:sz="0" w:space="0" w:color="auto"/>
        <w:bottom w:val="none" w:sz="0" w:space="0" w:color="auto"/>
        <w:right w:val="none" w:sz="0" w:space="0" w:color="auto"/>
      </w:divBdr>
    </w:div>
    <w:div w:id="1700087332">
      <w:marLeft w:val="0"/>
      <w:marRight w:val="0"/>
      <w:marTop w:val="0"/>
      <w:marBottom w:val="240"/>
      <w:divBdr>
        <w:top w:val="none" w:sz="0" w:space="0" w:color="auto"/>
        <w:left w:val="none" w:sz="0" w:space="0" w:color="auto"/>
        <w:bottom w:val="none" w:sz="0" w:space="0" w:color="auto"/>
        <w:right w:val="none" w:sz="0" w:space="0" w:color="auto"/>
      </w:divBdr>
    </w:div>
    <w:div w:id="1700667231">
      <w:marLeft w:val="0"/>
      <w:marRight w:val="0"/>
      <w:marTop w:val="0"/>
      <w:marBottom w:val="0"/>
      <w:divBdr>
        <w:top w:val="none" w:sz="0" w:space="0" w:color="auto"/>
        <w:left w:val="none" w:sz="0" w:space="0" w:color="auto"/>
        <w:bottom w:val="none" w:sz="0" w:space="0" w:color="auto"/>
        <w:right w:val="none" w:sz="0" w:space="0" w:color="auto"/>
      </w:divBdr>
    </w:div>
    <w:div w:id="1701587943">
      <w:marLeft w:val="0"/>
      <w:marRight w:val="0"/>
      <w:marTop w:val="0"/>
      <w:marBottom w:val="120"/>
      <w:divBdr>
        <w:top w:val="none" w:sz="0" w:space="0" w:color="auto"/>
        <w:left w:val="none" w:sz="0" w:space="0" w:color="auto"/>
        <w:bottom w:val="none" w:sz="0" w:space="0" w:color="auto"/>
        <w:right w:val="none" w:sz="0" w:space="0" w:color="auto"/>
      </w:divBdr>
    </w:div>
    <w:div w:id="1702439179">
      <w:marLeft w:val="0"/>
      <w:marRight w:val="0"/>
      <w:marTop w:val="120"/>
      <w:marBottom w:val="120"/>
      <w:divBdr>
        <w:top w:val="none" w:sz="0" w:space="0" w:color="auto"/>
        <w:left w:val="none" w:sz="0" w:space="0" w:color="auto"/>
        <w:bottom w:val="none" w:sz="0" w:space="0" w:color="auto"/>
        <w:right w:val="none" w:sz="0" w:space="0" w:color="auto"/>
      </w:divBdr>
    </w:div>
    <w:div w:id="1702628543">
      <w:marLeft w:val="0"/>
      <w:marRight w:val="0"/>
      <w:marTop w:val="0"/>
      <w:marBottom w:val="240"/>
      <w:divBdr>
        <w:top w:val="none" w:sz="0" w:space="0" w:color="auto"/>
        <w:left w:val="none" w:sz="0" w:space="0" w:color="auto"/>
        <w:bottom w:val="none" w:sz="0" w:space="0" w:color="auto"/>
        <w:right w:val="none" w:sz="0" w:space="0" w:color="auto"/>
      </w:divBdr>
    </w:div>
    <w:div w:id="1703357637">
      <w:marLeft w:val="0"/>
      <w:marRight w:val="0"/>
      <w:marTop w:val="0"/>
      <w:marBottom w:val="0"/>
      <w:divBdr>
        <w:top w:val="none" w:sz="0" w:space="0" w:color="auto"/>
        <w:left w:val="none" w:sz="0" w:space="0" w:color="auto"/>
        <w:bottom w:val="none" w:sz="0" w:space="0" w:color="auto"/>
        <w:right w:val="none" w:sz="0" w:space="0" w:color="auto"/>
      </w:divBdr>
      <w:divsChild>
        <w:div w:id="646711102">
          <w:marLeft w:val="0"/>
          <w:marRight w:val="0"/>
          <w:marTop w:val="0"/>
          <w:marBottom w:val="0"/>
          <w:divBdr>
            <w:top w:val="none" w:sz="0" w:space="0" w:color="auto"/>
            <w:left w:val="none" w:sz="0" w:space="0" w:color="auto"/>
            <w:bottom w:val="none" w:sz="0" w:space="0" w:color="auto"/>
            <w:right w:val="none" w:sz="0" w:space="0" w:color="auto"/>
          </w:divBdr>
        </w:div>
      </w:divsChild>
    </w:div>
    <w:div w:id="1704480437">
      <w:marLeft w:val="0"/>
      <w:marRight w:val="0"/>
      <w:marTop w:val="180"/>
      <w:marBottom w:val="180"/>
      <w:divBdr>
        <w:top w:val="none" w:sz="0" w:space="0" w:color="auto"/>
        <w:left w:val="none" w:sz="0" w:space="0" w:color="auto"/>
        <w:bottom w:val="none" w:sz="0" w:space="0" w:color="auto"/>
        <w:right w:val="none" w:sz="0" w:space="0" w:color="auto"/>
      </w:divBdr>
    </w:div>
    <w:div w:id="1704750096">
      <w:marLeft w:val="0"/>
      <w:marRight w:val="0"/>
      <w:marTop w:val="0"/>
      <w:marBottom w:val="240"/>
      <w:divBdr>
        <w:top w:val="none" w:sz="0" w:space="0" w:color="auto"/>
        <w:left w:val="none" w:sz="0" w:space="0" w:color="auto"/>
        <w:bottom w:val="none" w:sz="0" w:space="0" w:color="auto"/>
        <w:right w:val="none" w:sz="0" w:space="0" w:color="auto"/>
      </w:divBdr>
    </w:div>
    <w:div w:id="1705016903">
      <w:marLeft w:val="0"/>
      <w:marRight w:val="0"/>
      <w:marTop w:val="0"/>
      <w:marBottom w:val="180"/>
      <w:divBdr>
        <w:top w:val="none" w:sz="0" w:space="0" w:color="auto"/>
        <w:left w:val="none" w:sz="0" w:space="0" w:color="auto"/>
        <w:bottom w:val="none" w:sz="0" w:space="0" w:color="auto"/>
        <w:right w:val="none" w:sz="0" w:space="0" w:color="auto"/>
      </w:divBdr>
    </w:div>
    <w:div w:id="1706099522">
      <w:marLeft w:val="0"/>
      <w:marRight w:val="0"/>
      <w:marTop w:val="180"/>
      <w:marBottom w:val="180"/>
      <w:divBdr>
        <w:top w:val="none" w:sz="0" w:space="0" w:color="auto"/>
        <w:left w:val="none" w:sz="0" w:space="0" w:color="auto"/>
        <w:bottom w:val="none" w:sz="0" w:space="0" w:color="auto"/>
        <w:right w:val="none" w:sz="0" w:space="0" w:color="auto"/>
      </w:divBdr>
    </w:div>
    <w:div w:id="1707946931">
      <w:marLeft w:val="0"/>
      <w:marRight w:val="0"/>
      <w:marTop w:val="0"/>
      <w:marBottom w:val="180"/>
      <w:divBdr>
        <w:top w:val="none" w:sz="0" w:space="0" w:color="auto"/>
        <w:left w:val="none" w:sz="0" w:space="0" w:color="auto"/>
        <w:bottom w:val="none" w:sz="0" w:space="0" w:color="auto"/>
        <w:right w:val="none" w:sz="0" w:space="0" w:color="auto"/>
      </w:divBdr>
    </w:div>
    <w:div w:id="1708529119">
      <w:marLeft w:val="0"/>
      <w:marRight w:val="0"/>
      <w:marTop w:val="0"/>
      <w:marBottom w:val="240"/>
      <w:divBdr>
        <w:top w:val="none" w:sz="0" w:space="0" w:color="auto"/>
        <w:left w:val="none" w:sz="0" w:space="0" w:color="auto"/>
        <w:bottom w:val="none" w:sz="0" w:space="0" w:color="auto"/>
        <w:right w:val="none" w:sz="0" w:space="0" w:color="auto"/>
      </w:divBdr>
    </w:div>
    <w:div w:id="1710569597">
      <w:marLeft w:val="0"/>
      <w:marRight w:val="0"/>
      <w:marTop w:val="120"/>
      <w:marBottom w:val="120"/>
      <w:divBdr>
        <w:top w:val="none" w:sz="0" w:space="0" w:color="auto"/>
        <w:left w:val="none" w:sz="0" w:space="0" w:color="auto"/>
        <w:bottom w:val="none" w:sz="0" w:space="0" w:color="auto"/>
        <w:right w:val="none" w:sz="0" w:space="0" w:color="auto"/>
      </w:divBdr>
    </w:div>
    <w:div w:id="1712026303">
      <w:marLeft w:val="0"/>
      <w:marRight w:val="0"/>
      <w:marTop w:val="0"/>
      <w:marBottom w:val="240"/>
      <w:divBdr>
        <w:top w:val="none" w:sz="0" w:space="0" w:color="auto"/>
        <w:left w:val="none" w:sz="0" w:space="0" w:color="auto"/>
        <w:bottom w:val="none" w:sz="0" w:space="0" w:color="auto"/>
        <w:right w:val="none" w:sz="0" w:space="0" w:color="auto"/>
      </w:divBdr>
    </w:div>
    <w:div w:id="1717730043">
      <w:marLeft w:val="0"/>
      <w:marRight w:val="0"/>
      <w:marTop w:val="0"/>
      <w:marBottom w:val="0"/>
      <w:divBdr>
        <w:top w:val="none" w:sz="0" w:space="0" w:color="auto"/>
        <w:left w:val="none" w:sz="0" w:space="0" w:color="auto"/>
        <w:bottom w:val="none" w:sz="0" w:space="0" w:color="auto"/>
        <w:right w:val="none" w:sz="0" w:space="0" w:color="auto"/>
      </w:divBdr>
    </w:div>
    <w:div w:id="1717973687">
      <w:marLeft w:val="0"/>
      <w:marRight w:val="0"/>
      <w:marTop w:val="0"/>
      <w:marBottom w:val="180"/>
      <w:divBdr>
        <w:top w:val="none" w:sz="0" w:space="0" w:color="auto"/>
        <w:left w:val="none" w:sz="0" w:space="0" w:color="auto"/>
        <w:bottom w:val="none" w:sz="0" w:space="0" w:color="auto"/>
        <w:right w:val="none" w:sz="0" w:space="0" w:color="auto"/>
      </w:divBdr>
    </w:div>
    <w:div w:id="1719166376">
      <w:marLeft w:val="0"/>
      <w:marRight w:val="0"/>
      <w:marTop w:val="0"/>
      <w:marBottom w:val="0"/>
      <w:divBdr>
        <w:top w:val="none" w:sz="0" w:space="0" w:color="auto"/>
        <w:left w:val="none" w:sz="0" w:space="0" w:color="auto"/>
        <w:bottom w:val="none" w:sz="0" w:space="0" w:color="auto"/>
        <w:right w:val="none" w:sz="0" w:space="0" w:color="auto"/>
      </w:divBdr>
      <w:divsChild>
        <w:div w:id="893614201">
          <w:marLeft w:val="0"/>
          <w:marRight w:val="0"/>
          <w:marTop w:val="0"/>
          <w:marBottom w:val="0"/>
          <w:divBdr>
            <w:top w:val="none" w:sz="0" w:space="0" w:color="auto"/>
            <w:left w:val="none" w:sz="0" w:space="0" w:color="auto"/>
            <w:bottom w:val="none" w:sz="0" w:space="0" w:color="auto"/>
            <w:right w:val="none" w:sz="0" w:space="0" w:color="auto"/>
          </w:divBdr>
        </w:div>
      </w:divsChild>
    </w:div>
    <w:div w:id="1719234705">
      <w:marLeft w:val="0"/>
      <w:marRight w:val="0"/>
      <w:marTop w:val="0"/>
      <w:marBottom w:val="180"/>
      <w:divBdr>
        <w:top w:val="none" w:sz="0" w:space="0" w:color="auto"/>
        <w:left w:val="none" w:sz="0" w:space="0" w:color="auto"/>
        <w:bottom w:val="none" w:sz="0" w:space="0" w:color="auto"/>
        <w:right w:val="none" w:sz="0" w:space="0" w:color="auto"/>
      </w:divBdr>
    </w:div>
    <w:div w:id="1719744299">
      <w:marLeft w:val="0"/>
      <w:marRight w:val="0"/>
      <w:marTop w:val="120"/>
      <w:marBottom w:val="240"/>
      <w:divBdr>
        <w:top w:val="none" w:sz="0" w:space="0" w:color="auto"/>
        <w:left w:val="none" w:sz="0" w:space="0" w:color="auto"/>
        <w:bottom w:val="none" w:sz="0" w:space="0" w:color="auto"/>
        <w:right w:val="none" w:sz="0" w:space="0" w:color="auto"/>
      </w:divBdr>
    </w:div>
    <w:div w:id="1723216440">
      <w:marLeft w:val="0"/>
      <w:marRight w:val="0"/>
      <w:marTop w:val="0"/>
      <w:marBottom w:val="240"/>
      <w:divBdr>
        <w:top w:val="none" w:sz="0" w:space="0" w:color="auto"/>
        <w:left w:val="none" w:sz="0" w:space="0" w:color="auto"/>
        <w:bottom w:val="none" w:sz="0" w:space="0" w:color="auto"/>
        <w:right w:val="none" w:sz="0" w:space="0" w:color="auto"/>
      </w:divBdr>
    </w:div>
    <w:div w:id="1723751324">
      <w:marLeft w:val="0"/>
      <w:marRight w:val="0"/>
      <w:marTop w:val="0"/>
      <w:marBottom w:val="0"/>
      <w:divBdr>
        <w:top w:val="none" w:sz="0" w:space="0" w:color="auto"/>
        <w:left w:val="none" w:sz="0" w:space="0" w:color="auto"/>
        <w:bottom w:val="none" w:sz="0" w:space="0" w:color="auto"/>
        <w:right w:val="none" w:sz="0" w:space="0" w:color="auto"/>
      </w:divBdr>
    </w:div>
    <w:div w:id="1724519828">
      <w:marLeft w:val="0"/>
      <w:marRight w:val="0"/>
      <w:marTop w:val="180"/>
      <w:marBottom w:val="180"/>
      <w:divBdr>
        <w:top w:val="none" w:sz="0" w:space="0" w:color="auto"/>
        <w:left w:val="none" w:sz="0" w:space="0" w:color="auto"/>
        <w:bottom w:val="none" w:sz="0" w:space="0" w:color="auto"/>
        <w:right w:val="none" w:sz="0" w:space="0" w:color="auto"/>
      </w:divBdr>
    </w:div>
    <w:div w:id="1730885422">
      <w:marLeft w:val="0"/>
      <w:marRight w:val="0"/>
      <w:marTop w:val="0"/>
      <w:marBottom w:val="60"/>
      <w:divBdr>
        <w:top w:val="none" w:sz="0" w:space="0" w:color="auto"/>
        <w:left w:val="none" w:sz="0" w:space="0" w:color="auto"/>
        <w:bottom w:val="none" w:sz="0" w:space="0" w:color="auto"/>
        <w:right w:val="none" w:sz="0" w:space="0" w:color="auto"/>
      </w:divBdr>
    </w:div>
    <w:div w:id="1731805449">
      <w:marLeft w:val="0"/>
      <w:marRight w:val="0"/>
      <w:marTop w:val="100"/>
      <w:marBottom w:val="100"/>
      <w:divBdr>
        <w:top w:val="none" w:sz="0" w:space="0" w:color="auto"/>
        <w:left w:val="none" w:sz="0" w:space="0" w:color="auto"/>
        <w:bottom w:val="none" w:sz="0" w:space="0" w:color="auto"/>
        <w:right w:val="none" w:sz="0" w:space="0" w:color="auto"/>
      </w:divBdr>
    </w:div>
    <w:div w:id="1736976496">
      <w:marLeft w:val="0"/>
      <w:marRight w:val="0"/>
      <w:marTop w:val="0"/>
      <w:marBottom w:val="0"/>
      <w:divBdr>
        <w:top w:val="none" w:sz="0" w:space="0" w:color="auto"/>
        <w:left w:val="none" w:sz="0" w:space="0" w:color="auto"/>
        <w:bottom w:val="none" w:sz="0" w:space="0" w:color="auto"/>
        <w:right w:val="none" w:sz="0" w:space="0" w:color="auto"/>
      </w:divBdr>
    </w:div>
    <w:div w:id="1737821681">
      <w:marLeft w:val="0"/>
      <w:marRight w:val="0"/>
      <w:marTop w:val="0"/>
      <w:marBottom w:val="180"/>
      <w:divBdr>
        <w:top w:val="none" w:sz="0" w:space="0" w:color="auto"/>
        <w:left w:val="none" w:sz="0" w:space="0" w:color="auto"/>
        <w:bottom w:val="none" w:sz="0" w:space="0" w:color="auto"/>
        <w:right w:val="none" w:sz="0" w:space="0" w:color="auto"/>
      </w:divBdr>
    </w:div>
    <w:div w:id="1737849159">
      <w:marLeft w:val="0"/>
      <w:marRight w:val="0"/>
      <w:marTop w:val="0"/>
      <w:marBottom w:val="0"/>
      <w:divBdr>
        <w:top w:val="none" w:sz="0" w:space="0" w:color="auto"/>
        <w:left w:val="none" w:sz="0" w:space="0" w:color="auto"/>
        <w:bottom w:val="none" w:sz="0" w:space="0" w:color="auto"/>
        <w:right w:val="none" w:sz="0" w:space="0" w:color="auto"/>
      </w:divBdr>
    </w:div>
    <w:div w:id="1738089525">
      <w:marLeft w:val="0"/>
      <w:marRight w:val="0"/>
      <w:marTop w:val="0"/>
      <w:marBottom w:val="0"/>
      <w:divBdr>
        <w:top w:val="none" w:sz="0" w:space="0" w:color="auto"/>
        <w:left w:val="none" w:sz="0" w:space="0" w:color="auto"/>
        <w:bottom w:val="none" w:sz="0" w:space="0" w:color="auto"/>
        <w:right w:val="none" w:sz="0" w:space="0" w:color="auto"/>
      </w:divBdr>
    </w:div>
    <w:div w:id="1739211579">
      <w:marLeft w:val="0"/>
      <w:marRight w:val="0"/>
      <w:marTop w:val="0"/>
      <w:marBottom w:val="180"/>
      <w:divBdr>
        <w:top w:val="none" w:sz="0" w:space="0" w:color="auto"/>
        <w:left w:val="none" w:sz="0" w:space="0" w:color="auto"/>
        <w:bottom w:val="none" w:sz="0" w:space="0" w:color="auto"/>
        <w:right w:val="none" w:sz="0" w:space="0" w:color="auto"/>
      </w:divBdr>
    </w:div>
    <w:div w:id="1739357610">
      <w:marLeft w:val="0"/>
      <w:marRight w:val="0"/>
      <w:marTop w:val="0"/>
      <w:marBottom w:val="0"/>
      <w:divBdr>
        <w:top w:val="none" w:sz="0" w:space="0" w:color="auto"/>
        <w:left w:val="none" w:sz="0" w:space="0" w:color="auto"/>
        <w:bottom w:val="none" w:sz="0" w:space="0" w:color="auto"/>
        <w:right w:val="none" w:sz="0" w:space="0" w:color="auto"/>
      </w:divBdr>
      <w:divsChild>
        <w:div w:id="1727560465">
          <w:marLeft w:val="0"/>
          <w:marRight w:val="0"/>
          <w:marTop w:val="0"/>
          <w:marBottom w:val="0"/>
          <w:divBdr>
            <w:top w:val="none" w:sz="0" w:space="0" w:color="auto"/>
            <w:left w:val="none" w:sz="0" w:space="0" w:color="auto"/>
            <w:bottom w:val="none" w:sz="0" w:space="0" w:color="auto"/>
            <w:right w:val="none" w:sz="0" w:space="0" w:color="auto"/>
          </w:divBdr>
        </w:div>
      </w:divsChild>
    </w:div>
    <w:div w:id="1739791039">
      <w:marLeft w:val="0"/>
      <w:marRight w:val="0"/>
      <w:marTop w:val="120"/>
      <w:marBottom w:val="120"/>
      <w:divBdr>
        <w:top w:val="none" w:sz="0" w:space="0" w:color="auto"/>
        <w:left w:val="none" w:sz="0" w:space="0" w:color="auto"/>
        <w:bottom w:val="none" w:sz="0" w:space="0" w:color="auto"/>
        <w:right w:val="none" w:sz="0" w:space="0" w:color="auto"/>
      </w:divBdr>
    </w:div>
    <w:div w:id="1743407299">
      <w:marLeft w:val="0"/>
      <w:marRight w:val="0"/>
      <w:marTop w:val="0"/>
      <w:marBottom w:val="240"/>
      <w:divBdr>
        <w:top w:val="none" w:sz="0" w:space="0" w:color="auto"/>
        <w:left w:val="none" w:sz="0" w:space="0" w:color="auto"/>
        <w:bottom w:val="none" w:sz="0" w:space="0" w:color="auto"/>
        <w:right w:val="none" w:sz="0" w:space="0" w:color="auto"/>
      </w:divBdr>
    </w:div>
    <w:div w:id="1744720749">
      <w:marLeft w:val="0"/>
      <w:marRight w:val="0"/>
      <w:marTop w:val="180"/>
      <w:marBottom w:val="180"/>
      <w:divBdr>
        <w:top w:val="none" w:sz="0" w:space="0" w:color="auto"/>
        <w:left w:val="none" w:sz="0" w:space="0" w:color="auto"/>
        <w:bottom w:val="none" w:sz="0" w:space="0" w:color="auto"/>
        <w:right w:val="none" w:sz="0" w:space="0" w:color="auto"/>
      </w:divBdr>
    </w:div>
    <w:div w:id="1745028311">
      <w:marLeft w:val="0"/>
      <w:marRight w:val="0"/>
      <w:marTop w:val="0"/>
      <w:marBottom w:val="180"/>
      <w:divBdr>
        <w:top w:val="none" w:sz="0" w:space="0" w:color="auto"/>
        <w:left w:val="none" w:sz="0" w:space="0" w:color="auto"/>
        <w:bottom w:val="none" w:sz="0" w:space="0" w:color="auto"/>
        <w:right w:val="none" w:sz="0" w:space="0" w:color="auto"/>
      </w:divBdr>
    </w:div>
    <w:div w:id="1745566391">
      <w:marLeft w:val="0"/>
      <w:marRight w:val="0"/>
      <w:marTop w:val="100"/>
      <w:marBottom w:val="100"/>
      <w:divBdr>
        <w:top w:val="none" w:sz="0" w:space="0" w:color="auto"/>
        <w:left w:val="none" w:sz="0" w:space="0" w:color="auto"/>
        <w:bottom w:val="none" w:sz="0" w:space="0" w:color="auto"/>
        <w:right w:val="none" w:sz="0" w:space="0" w:color="auto"/>
      </w:divBdr>
      <w:divsChild>
        <w:div w:id="900867121">
          <w:marLeft w:val="0"/>
          <w:marRight w:val="0"/>
          <w:marTop w:val="0"/>
          <w:marBottom w:val="180"/>
          <w:divBdr>
            <w:top w:val="none" w:sz="0" w:space="0" w:color="auto"/>
            <w:left w:val="none" w:sz="0" w:space="0" w:color="auto"/>
            <w:bottom w:val="none" w:sz="0" w:space="0" w:color="auto"/>
            <w:right w:val="none" w:sz="0" w:space="0" w:color="auto"/>
          </w:divBdr>
        </w:div>
      </w:divsChild>
    </w:div>
    <w:div w:id="1747609874">
      <w:marLeft w:val="0"/>
      <w:marRight w:val="0"/>
      <w:marTop w:val="0"/>
      <w:marBottom w:val="180"/>
      <w:divBdr>
        <w:top w:val="none" w:sz="0" w:space="0" w:color="auto"/>
        <w:left w:val="none" w:sz="0" w:space="0" w:color="auto"/>
        <w:bottom w:val="none" w:sz="0" w:space="0" w:color="auto"/>
        <w:right w:val="none" w:sz="0" w:space="0" w:color="auto"/>
      </w:divBdr>
    </w:div>
    <w:div w:id="1749031340">
      <w:marLeft w:val="0"/>
      <w:marRight w:val="0"/>
      <w:marTop w:val="100"/>
      <w:marBottom w:val="100"/>
      <w:divBdr>
        <w:top w:val="none" w:sz="0" w:space="0" w:color="auto"/>
        <w:left w:val="none" w:sz="0" w:space="0" w:color="auto"/>
        <w:bottom w:val="none" w:sz="0" w:space="0" w:color="auto"/>
        <w:right w:val="none" w:sz="0" w:space="0" w:color="auto"/>
      </w:divBdr>
    </w:div>
    <w:div w:id="1751075431">
      <w:marLeft w:val="0"/>
      <w:marRight w:val="0"/>
      <w:marTop w:val="180"/>
      <w:marBottom w:val="180"/>
      <w:divBdr>
        <w:top w:val="none" w:sz="0" w:space="0" w:color="auto"/>
        <w:left w:val="none" w:sz="0" w:space="0" w:color="auto"/>
        <w:bottom w:val="none" w:sz="0" w:space="0" w:color="auto"/>
        <w:right w:val="none" w:sz="0" w:space="0" w:color="auto"/>
      </w:divBdr>
    </w:div>
    <w:div w:id="1751585164">
      <w:marLeft w:val="0"/>
      <w:marRight w:val="0"/>
      <w:marTop w:val="100"/>
      <w:marBottom w:val="100"/>
      <w:divBdr>
        <w:top w:val="none" w:sz="0" w:space="0" w:color="auto"/>
        <w:left w:val="none" w:sz="0" w:space="0" w:color="auto"/>
        <w:bottom w:val="none" w:sz="0" w:space="0" w:color="auto"/>
        <w:right w:val="none" w:sz="0" w:space="0" w:color="auto"/>
      </w:divBdr>
    </w:div>
    <w:div w:id="1753505861">
      <w:marLeft w:val="0"/>
      <w:marRight w:val="0"/>
      <w:marTop w:val="120"/>
      <w:marBottom w:val="180"/>
      <w:divBdr>
        <w:top w:val="none" w:sz="0" w:space="0" w:color="auto"/>
        <w:left w:val="none" w:sz="0" w:space="0" w:color="auto"/>
        <w:bottom w:val="none" w:sz="0" w:space="0" w:color="auto"/>
        <w:right w:val="none" w:sz="0" w:space="0" w:color="auto"/>
      </w:divBdr>
    </w:div>
    <w:div w:id="1756510261">
      <w:marLeft w:val="0"/>
      <w:marRight w:val="0"/>
      <w:marTop w:val="0"/>
      <w:marBottom w:val="0"/>
      <w:divBdr>
        <w:top w:val="none" w:sz="0" w:space="0" w:color="auto"/>
        <w:left w:val="none" w:sz="0" w:space="0" w:color="auto"/>
        <w:bottom w:val="none" w:sz="0" w:space="0" w:color="auto"/>
        <w:right w:val="none" w:sz="0" w:space="0" w:color="auto"/>
      </w:divBdr>
    </w:div>
    <w:div w:id="1757091243">
      <w:marLeft w:val="0"/>
      <w:marRight w:val="0"/>
      <w:marTop w:val="180"/>
      <w:marBottom w:val="180"/>
      <w:divBdr>
        <w:top w:val="none" w:sz="0" w:space="0" w:color="auto"/>
        <w:left w:val="none" w:sz="0" w:space="0" w:color="auto"/>
        <w:bottom w:val="none" w:sz="0" w:space="0" w:color="auto"/>
        <w:right w:val="none" w:sz="0" w:space="0" w:color="auto"/>
      </w:divBdr>
    </w:div>
    <w:div w:id="1758596219">
      <w:marLeft w:val="0"/>
      <w:marRight w:val="0"/>
      <w:marTop w:val="180"/>
      <w:marBottom w:val="180"/>
      <w:divBdr>
        <w:top w:val="none" w:sz="0" w:space="0" w:color="auto"/>
        <w:left w:val="none" w:sz="0" w:space="0" w:color="auto"/>
        <w:bottom w:val="none" w:sz="0" w:space="0" w:color="auto"/>
        <w:right w:val="none" w:sz="0" w:space="0" w:color="auto"/>
      </w:divBdr>
    </w:div>
    <w:div w:id="1759597608">
      <w:marLeft w:val="0"/>
      <w:marRight w:val="0"/>
      <w:marTop w:val="0"/>
      <w:marBottom w:val="60"/>
      <w:divBdr>
        <w:top w:val="none" w:sz="0" w:space="0" w:color="auto"/>
        <w:left w:val="none" w:sz="0" w:space="0" w:color="auto"/>
        <w:bottom w:val="none" w:sz="0" w:space="0" w:color="auto"/>
        <w:right w:val="none" w:sz="0" w:space="0" w:color="auto"/>
      </w:divBdr>
    </w:div>
    <w:div w:id="1760176164">
      <w:marLeft w:val="0"/>
      <w:marRight w:val="0"/>
      <w:marTop w:val="100"/>
      <w:marBottom w:val="100"/>
      <w:divBdr>
        <w:top w:val="none" w:sz="0" w:space="0" w:color="auto"/>
        <w:left w:val="none" w:sz="0" w:space="0" w:color="auto"/>
        <w:bottom w:val="none" w:sz="0" w:space="0" w:color="auto"/>
        <w:right w:val="none" w:sz="0" w:space="0" w:color="auto"/>
      </w:divBdr>
      <w:divsChild>
        <w:div w:id="929195011">
          <w:marLeft w:val="0"/>
          <w:marRight w:val="0"/>
          <w:marTop w:val="0"/>
          <w:marBottom w:val="0"/>
          <w:divBdr>
            <w:top w:val="none" w:sz="0" w:space="0" w:color="auto"/>
            <w:left w:val="none" w:sz="0" w:space="0" w:color="auto"/>
            <w:bottom w:val="none" w:sz="0" w:space="0" w:color="auto"/>
            <w:right w:val="none" w:sz="0" w:space="0" w:color="auto"/>
          </w:divBdr>
        </w:div>
        <w:div w:id="1789424162">
          <w:marLeft w:val="0"/>
          <w:marRight w:val="0"/>
          <w:marTop w:val="0"/>
          <w:marBottom w:val="0"/>
          <w:divBdr>
            <w:top w:val="none" w:sz="0" w:space="0" w:color="auto"/>
            <w:left w:val="none" w:sz="0" w:space="0" w:color="auto"/>
            <w:bottom w:val="none" w:sz="0" w:space="0" w:color="auto"/>
            <w:right w:val="none" w:sz="0" w:space="0" w:color="auto"/>
          </w:divBdr>
        </w:div>
        <w:div w:id="503670145">
          <w:marLeft w:val="0"/>
          <w:marRight w:val="0"/>
          <w:marTop w:val="0"/>
          <w:marBottom w:val="0"/>
          <w:divBdr>
            <w:top w:val="none" w:sz="0" w:space="0" w:color="auto"/>
            <w:left w:val="none" w:sz="0" w:space="0" w:color="auto"/>
            <w:bottom w:val="none" w:sz="0" w:space="0" w:color="auto"/>
            <w:right w:val="none" w:sz="0" w:space="0" w:color="auto"/>
          </w:divBdr>
        </w:div>
        <w:div w:id="476806693">
          <w:marLeft w:val="0"/>
          <w:marRight w:val="0"/>
          <w:marTop w:val="0"/>
          <w:marBottom w:val="0"/>
          <w:divBdr>
            <w:top w:val="none" w:sz="0" w:space="0" w:color="auto"/>
            <w:left w:val="none" w:sz="0" w:space="0" w:color="auto"/>
            <w:bottom w:val="none" w:sz="0" w:space="0" w:color="auto"/>
            <w:right w:val="none" w:sz="0" w:space="0" w:color="auto"/>
          </w:divBdr>
        </w:div>
      </w:divsChild>
    </w:div>
    <w:div w:id="1763457031">
      <w:marLeft w:val="0"/>
      <w:marRight w:val="0"/>
      <w:marTop w:val="100"/>
      <w:marBottom w:val="100"/>
      <w:divBdr>
        <w:top w:val="none" w:sz="0" w:space="0" w:color="auto"/>
        <w:left w:val="none" w:sz="0" w:space="0" w:color="auto"/>
        <w:bottom w:val="none" w:sz="0" w:space="0" w:color="auto"/>
        <w:right w:val="none" w:sz="0" w:space="0" w:color="auto"/>
      </w:divBdr>
      <w:divsChild>
        <w:div w:id="103692144">
          <w:marLeft w:val="0"/>
          <w:marRight w:val="0"/>
          <w:marTop w:val="0"/>
          <w:marBottom w:val="0"/>
          <w:divBdr>
            <w:top w:val="none" w:sz="0" w:space="0" w:color="auto"/>
            <w:left w:val="none" w:sz="0" w:space="0" w:color="auto"/>
            <w:bottom w:val="none" w:sz="0" w:space="0" w:color="auto"/>
            <w:right w:val="none" w:sz="0" w:space="0" w:color="auto"/>
          </w:divBdr>
        </w:div>
        <w:div w:id="1602489805">
          <w:marLeft w:val="0"/>
          <w:marRight w:val="0"/>
          <w:marTop w:val="0"/>
          <w:marBottom w:val="0"/>
          <w:divBdr>
            <w:top w:val="none" w:sz="0" w:space="0" w:color="auto"/>
            <w:left w:val="none" w:sz="0" w:space="0" w:color="auto"/>
            <w:bottom w:val="none" w:sz="0" w:space="0" w:color="auto"/>
            <w:right w:val="none" w:sz="0" w:space="0" w:color="auto"/>
          </w:divBdr>
        </w:div>
        <w:div w:id="32729092">
          <w:marLeft w:val="0"/>
          <w:marRight w:val="0"/>
          <w:marTop w:val="0"/>
          <w:marBottom w:val="0"/>
          <w:divBdr>
            <w:top w:val="none" w:sz="0" w:space="0" w:color="auto"/>
            <w:left w:val="none" w:sz="0" w:space="0" w:color="auto"/>
            <w:bottom w:val="none" w:sz="0" w:space="0" w:color="auto"/>
            <w:right w:val="none" w:sz="0" w:space="0" w:color="auto"/>
          </w:divBdr>
        </w:div>
        <w:div w:id="424807854">
          <w:marLeft w:val="0"/>
          <w:marRight w:val="0"/>
          <w:marTop w:val="0"/>
          <w:marBottom w:val="0"/>
          <w:divBdr>
            <w:top w:val="none" w:sz="0" w:space="0" w:color="auto"/>
            <w:left w:val="none" w:sz="0" w:space="0" w:color="auto"/>
            <w:bottom w:val="none" w:sz="0" w:space="0" w:color="auto"/>
            <w:right w:val="none" w:sz="0" w:space="0" w:color="auto"/>
          </w:divBdr>
        </w:div>
        <w:div w:id="1743789796">
          <w:marLeft w:val="0"/>
          <w:marRight w:val="0"/>
          <w:marTop w:val="0"/>
          <w:marBottom w:val="0"/>
          <w:divBdr>
            <w:top w:val="none" w:sz="0" w:space="0" w:color="auto"/>
            <w:left w:val="none" w:sz="0" w:space="0" w:color="auto"/>
            <w:bottom w:val="none" w:sz="0" w:space="0" w:color="auto"/>
            <w:right w:val="none" w:sz="0" w:space="0" w:color="auto"/>
          </w:divBdr>
        </w:div>
        <w:div w:id="254559709">
          <w:marLeft w:val="0"/>
          <w:marRight w:val="0"/>
          <w:marTop w:val="0"/>
          <w:marBottom w:val="0"/>
          <w:divBdr>
            <w:top w:val="none" w:sz="0" w:space="0" w:color="auto"/>
            <w:left w:val="none" w:sz="0" w:space="0" w:color="auto"/>
            <w:bottom w:val="none" w:sz="0" w:space="0" w:color="auto"/>
            <w:right w:val="none" w:sz="0" w:space="0" w:color="auto"/>
          </w:divBdr>
        </w:div>
        <w:div w:id="1260259979">
          <w:marLeft w:val="0"/>
          <w:marRight w:val="0"/>
          <w:marTop w:val="0"/>
          <w:marBottom w:val="0"/>
          <w:divBdr>
            <w:top w:val="none" w:sz="0" w:space="0" w:color="auto"/>
            <w:left w:val="none" w:sz="0" w:space="0" w:color="auto"/>
            <w:bottom w:val="none" w:sz="0" w:space="0" w:color="auto"/>
            <w:right w:val="none" w:sz="0" w:space="0" w:color="auto"/>
          </w:divBdr>
        </w:div>
        <w:div w:id="2076658573">
          <w:marLeft w:val="0"/>
          <w:marRight w:val="0"/>
          <w:marTop w:val="0"/>
          <w:marBottom w:val="0"/>
          <w:divBdr>
            <w:top w:val="none" w:sz="0" w:space="0" w:color="auto"/>
            <w:left w:val="none" w:sz="0" w:space="0" w:color="auto"/>
            <w:bottom w:val="none" w:sz="0" w:space="0" w:color="auto"/>
            <w:right w:val="none" w:sz="0" w:space="0" w:color="auto"/>
          </w:divBdr>
        </w:div>
        <w:div w:id="217284511">
          <w:marLeft w:val="0"/>
          <w:marRight w:val="0"/>
          <w:marTop w:val="0"/>
          <w:marBottom w:val="0"/>
          <w:divBdr>
            <w:top w:val="none" w:sz="0" w:space="0" w:color="auto"/>
            <w:left w:val="none" w:sz="0" w:space="0" w:color="auto"/>
            <w:bottom w:val="none" w:sz="0" w:space="0" w:color="auto"/>
            <w:right w:val="none" w:sz="0" w:space="0" w:color="auto"/>
          </w:divBdr>
        </w:div>
        <w:div w:id="698549049">
          <w:marLeft w:val="0"/>
          <w:marRight w:val="0"/>
          <w:marTop w:val="0"/>
          <w:marBottom w:val="0"/>
          <w:divBdr>
            <w:top w:val="none" w:sz="0" w:space="0" w:color="auto"/>
            <w:left w:val="none" w:sz="0" w:space="0" w:color="auto"/>
            <w:bottom w:val="none" w:sz="0" w:space="0" w:color="auto"/>
            <w:right w:val="none" w:sz="0" w:space="0" w:color="auto"/>
          </w:divBdr>
        </w:div>
        <w:div w:id="395082047">
          <w:marLeft w:val="0"/>
          <w:marRight w:val="0"/>
          <w:marTop w:val="0"/>
          <w:marBottom w:val="0"/>
          <w:divBdr>
            <w:top w:val="none" w:sz="0" w:space="0" w:color="auto"/>
            <w:left w:val="none" w:sz="0" w:space="0" w:color="auto"/>
            <w:bottom w:val="none" w:sz="0" w:space="0" w:color="auto"/>
            <w:right w:val="none" w:sz="0" w:space="0" w:color="auto"/>
          </w:divBdr>
        </w:div>
        <w:div w:id="301614359">
          <w:marLeft w:val="0"/>
          <w:marRight w:val="0"/>
          <w:marTop w:val="0"/>
          <w:marBottom w:val="0"/>
          <w:divBdr>
            <w:top w:val="none" w:sz="0" w:space="0" w:color="auto"/>
            <w:left w:val="none" w:sz="0" w:space="0" w:color="auto"/>
            <w:bottom w:val="none" w:sz="0" w:space="0" w:color="auto"/>
            <w:right w:val="none" w:sz="0" w:space="0" w:color="auto"/>
          </w:divBdr>
        </w:div>
        <w:div w:id="697893807">
          <w:marLeft w:val="0"/>
          <w:marRight w:val="0"/>
          <w:marTop w:val="0"/>
          <w:marBottom w:val="160"/>
          <w:divBdr>
            <w:top w:val="none" w:sz="0" w:space="0" w:color="auto"/>
            <w:left w:val="none" w:sz="0" w:space="0" w:color="auto"/>
            <w:bottom w:val="none" w:sz="0" w:space="0" w:color="auto"/>
            <w:right w:val="none" w:sz="0" w:space="0" w:color="auto"/>
          </w:divBdr>
        </w:div>
        <w:div w:id="1496187587">
          <w:marLeft w:val="0"/>
          <w:marRight w:val="0"/>
          <w:marTop w:val="0"/>
          <w:marBottom w:val="0"/>
          <w:divBdr>
            <w:top w:val="none" w:sz="0" w:space="0" w:color="auto"/>
            <w:left w:val="none" w:sz="0" w:space="0" w:color="auto"/>
            <w:bottom w:val="none" w:sz="0" w:space="0" w:color="auto"/>
            <w:right w:val="none" w:sz="0" w:space="0" w:color="auto"/>
          </w:divBdr>
        </w:div>
      </w:divsChild>
    </w:div>
    <w:div w:id="1767338306">
      <w:marLeft w:val="0"/>
      <w:marRight w:val="0"/>
      <w:marTop w:val="100"/>
      <w:marBottom w:val="100"/>
      <w:divBdr>
        <w:top w:val="none" w:sz="0" w:space="0" w:color="auto"/>
        <w:left w:val="none" w:sz="0" w:space="0" w:color="auto"/>
        <w:bottom w:val="none" w:sz="0" w:space="0" w:color="auto"/>
        <w:right w:val="none" w:sz="0" w:space="0" w:color="auto"/>
      </w:divBdr>
    </w:div>
    <w:div w:id="1770080246">
      <w:marLeft w:val="0"/>
      <w:marRight w:val="0"/>
      <w:marTop w:val="0"/>
      <w:marBottom w:val="0"/>
      <w:divBdr>
        <w:top w:val="none" w:sz="0" w:space="0" w:color="auto"/>
        <w:left w:val="none" w:sz="0" w:space="0" w:color="auto"/>
        <w:bottom w:val="none" w:sz="0" w:space="0" w:color="auto"/>
        <w:right w:val="none" w:sz="0" w:space="0" w:color="auto"/>
      </w:divBdr>
    </w:div>
    <w:div w:id="1771313618">
      <w:marLeft w:val="0"/>
      <w:marRight w:val="0"/>
      <w:marTop w:val="0"/>
      <w:marBottom w:val="0"/>
      <w:divBdr>
        <w:top w:val="none" w:sz="0" w:space="0" w:color="auto"/>
        <w:left w:val="none" w:sz="0" w:space="0" w:color="auto"/>
        <w:bottom w:val="none" w:sz="0" w:space="0" w:color="auto"/>
        <w:right w:val="none" w:sz="0" w:space="0" w:color="auto"/>
      </w:divBdr>
      <w:divsChild>
        <w:div w:id="1482893444">
          <w:marLeft w:val="0"/>
          <w:marRight w:val="0"/>
          <w:marTop w:val="0"/>
          <w:marBottom w:val="0"/>
          <w:divBdr>
            <w:top w:val="none" w:sz="0" w:space="0" w:color="auto"/>
            <w:left w:val="none" w:sz="0" w:space="0" w:color="auto"/>
            <w:bottom w:val="none" w:sz="0" w:space="0" w:color="auto"/>
            <w:right w:val="none" w:sz="0" w:space="0" w:color="auto"/>
          </w:divBdr>
        </w:div>
      </w:divsChild>
    </w:div>
    <w:div w:id="1772041290">
      <w:marLeft w:val="0"/>
      <w:marRight w:val="0"/>
      <w:marTop w:val="120"/>
      <w:marBottom w:val="240"/>
      <w:divBdr>
        <w:top w:val="none" w:sz="0" w:space="0" w:color="auto"/>
        <w:left w:val="none" w:sz="0" w:space="0" w:color="auto"/>
        <w:bottom w:val="none" w:sz="0" w:space="0" w:color="auto"/>
        <w:right w:val="none" w:sz="0" w:space="0" w:color="auto"/>
      </w:divBdr>
    </w:div>
    <w:div w:id="1772505985">
      <w:marLeft w:val="0"/>
      <w:marRight w:val="0"/>
      <w:marTop w:val="0"/>
      <w:marBottom w:val="180"/>
      <w:divBdr>
        <w:top w:val="none" w:sz="0" w:space="0" w:color="auto"/>
        <w:left w:val="none" w:sz="0" w:space="0" w:color="auto"/>
        <w:bottom w:val="none" w:sz="0" w:space="0" w:color="auto"/>
        <w:right w:val="none" w:sz="0" w:space="0" w:color="auto"/>
      </w:divBdr>
    </w:div>
    <w:div w:id="1773745867">
      <w:marLeft w:val="0"/>
      <w:marRight w:val="0"/>
      <w:marTop w:val="0"/>
      <w:marBottom w:val="180"/>
      <w:divBdr>
        <w:top w:val="none" w:sz="0" w:space="0" w:color="auto"/>
        <w:left w:val="none" w:sz="0" w:space="0" w:color="auto"/>
        <w:bottom w:val="none" w:sz="0" w:space="0" w:color="auto"/>
        <w:right w:val="none" w:sz="0" w:space="0" w:color="auto"/>
      </w:divBdr>
    </w:div>
    <w:div w:id="1773894381">
      <w:marLeft w:val="0"/>
      <w:marRight w:val="0"/>
      <w:marTop w:val="0"/>
      <w:marBottom w:val="240"/>
      <w:divBdr>
        <w:top w:val="none" w:sz="0" w:space="0" w:color="auto"/>
        <w:left w:val="none" w:sz="0" w:space="0" w:color="auto"/>
        <w:bottom w:val="none" w:sz="0" w:space="0" w:color="auto"/>
        <w:right w:val="none" w:sz="0" w:space="0" w:color="auto"/>
      </w:divBdr>
    </w:div>
    <w:div w:id="1777554658">
      <w:marLeft w:val="0"/>
      <w:marRight w:val="0"/>
      <w:marTop w:val="120"/>
      <w:marBottom w:val="120"/>
      <w:divBdr>
        <w:top w:val="none" w:sz="0" w:space="0" w:color="auto"/>
        <w:left w:val="none" w:sz="0" w:space="0" w:color="auto"/>
        <w:bottom w:val="none" w:sz="0" w:space="0" w:color="auto"/>
        <w:right w:val="none" w:sz="0" w:space="0" w:color="auto"/>
      </w:divBdr>
    </w:div>
    <w:div w:id="1777753172">
      <w:marLeft w:val="0"/>
      <w:marRight w:val="0"/>
      <w:marTop w:val="120"/>
      <w:marBottom w:val="120"/>
      <w:divBdr>
        <w:top w:val="none" w:sz="0" w:space="0" w:color="auto"/>
        <w:left w:val="none" w:sz="0" w:space="0" w:color="auto"/>
        <w:bottom w:val="none" w:sz="0" w:space="0" w:color="auto"/>
        <w:right w:val="none" w:sz="0" w:space="0" w:color="auto"/>
      </w:divBdr>
    </w:div>
    <w:div w:id="1780710772">
      <w:marLeft w:val="0"/>
      <w:marRight w:val="0"/>
      <w:marTop w:val="0"/>
      <w:marBottom w:val="0"/>
      <w:divBdr>
        <w:top w:val="none" w:sz="0" w:space="0" w:color="auto"/>
        <w:left w:val="none" w:sz="0" w:space="0" w:color="auto"/>
        <w:bottom w:val="none" w:sz="0" w:space="0" w:color="auto"/>
        <w:right w:val="none" w:sz="0" w:space="0" w:color="auto"/>
      </w:divBdr>
      <w:divsChild>
        <w:div w:id="23481018">
          <w:marLeft w:val="0"/>
          <w:marRight w:val="0"/>
          <w:marTop w:val="0"/>
          <w:marBottom w:val="0"/>
          <w:divBdr>
            <w:top w:val="none" w:sz="0" w:space="0" w:color="auto"/>
            <w:left w:val="none" w:sz="0" w:space="0" w:color="auto"/>
            <w:bottom w:val="none" w:sz="0" w:space="0" w:color="auto"/>
            <w:right w:val="none" w:sz="0" w:space="0" w:color="auto"/>
          </w:divBdr>
        </w:div>
      </w:divsChild>
    </w:div>
    <w:div w:id="1784570003">
      <w:marLeft w:val="0"/>
      <w:marRight w:val="0"/>
      <w:marTop w:val="120"/>
      <w:marBottom w:val="120"/>
      <w:divBdr>
        <w:top w:val="none" w:sz="0" w:space="0" w:color="auto"/>
        <w:left w:val="none" w:sz="0" w:space="0" w:color="auto"/>
        <w:bottom w:val="none" w:sz="0" w:space="0" w:color="auto"/>
        <w:right w:val="none" w:sz="0" w:space="0" w:color="auto"/>
      </w:divBdr>
    </w:div>
    <w:div w:id="1785997320">
      <w:marLeft w:val="0"/>
      <w:marRight w:val="0"/>
      <w:marTop w:val="0"/>
      <w:marBottom w:val="240"/>
      <w:divBdr>
        <w:top w:val="none" w:sz="0" w:space="0" w:color="auto"/>
        <w:left w:val="none" w:sz="0" w:space="0" w:color="auto"/>
        <w:bottom w:val="none" w:sz="0" w:space="0" w:color="auto"/>
        <w:right w:val="none" w:sz="0" w:space="0" w:color="auto"/>
      </w:divBdr>
    </w:div>
    <w:div w:id="1787312091">
      <w:marLeft w:val="0"/>
      <w:marRight w:val="0"/>
      <w:marTop w:val="0"/>
      <w:marBottom w:val="240"/>
      <w:divBdr>
        <w:top w:val="none" w:sz="0" w:space="0" w:color="auto"/>
        <w:left w:val="none" w:sz="0" w:space="0" w:color="auto"/>
        <w:bottom w:val="none" w:sz="0" w:space="0" w:color="auto"/>
        <w:right w:val="none" w:sz="0" w:space="0" w:color="auto"/>
      </w:divBdr>
    </w:div>
    <w:div w:id="1788503824">
      <w:marLeft w:val="0"/>
      <w:marRight w:val="0"/>
      <w:marTop w:val="0"/>
      <w:marBottom w:val="180"/>
      <w:divBdr>
        <w:top w:val="none" w:sz="0" w:space="0" w:color="auto"/>
        <w:left w:val="none" w:sz="0" w:space="0" w:color="auto"/>
        <w:bottom w:val="none" w:sz="0" w:space="0" w:color="auto"/>
        <w:right w:val="none" w:sz="0" w:space="0" w:color="auto"/>
      </w:divBdr>
    </w:div>
    <w:div w:id="1788691628">
      <w:marLeft w:val="0"/>
      <w:marRight w:val="0"/>
      <w:marTop w:val="0"/>
      <w:marBottom w:val="240"/>
      <w:divBdr>
        <w:top w:val="none" w:sz="0" w:space="0" w:color="auto"/>
        <w:left w:val="none" w:sz="0" w:space="0" w:color="auto"/>
        <w:bottom w:val="none" w:sz="0" w:space="0" w:color="auto"/>
        <w:right w:val="none" w:sz="0" w:space="0" w:color="auto"/>
      </w:divBdr>
    </w:div>
    <w:div w:id="1789547855">
      <w:marLeft w:val="0"/>
      <w:marRight w:val="0"/>
      <w:marTop w:val="0"/>
      <w:marBottom w:val="0"/>
      <w:divBdr>
        <w:top w:val="none" w:sz="0" w:space="0" w:color="auto"/>
        <w:left w:val="none" w:sz="0" w:space="0" w:color="auto"/>
        <w:bottom w:val="none" w:sz="0" w:space="0" w:color="auto"/>
        <w:right w:val="none" w:sz="0" w:space="0" w:color="auto"/>
      </w:divBdr>
      <w:divsChild>
        <w:div w:id="787822856">
          <w:marLeft w:val="0"/>
          <w:marRight w:val="0"/>
          <w:marTop w:val="0"/>
          <w:marBottom w:val="0"/>
          <w:divBdr>
            <w:top w:val="none" w:sz="0" w:space="0" w:color="auto"/>
            <w:left w:val="none" w:sz="0" w:space="0" w:color="auto"/>
            <w:bottom w:val="none" w:sz="0" w:space="0" w:color="auto"/>
            <w:right w:val="none" w:sz="0" w:space="0" w:color="auto"/>
          </w:divBdr>
        </w:div>
      </w:divsChild>
    </w:div>
    <w:div w:id="1791048950">
      <w:marLeft w:val="0"/>
      <w:marRight w:val="0"/>
      <w:marTop w:val="120"/>
      <w:marBottom w:val="180"/>
      <w:divBdr>
        <w:top w:val="none" w:sz="0" w:space="0" w:color="auto"/>
        <w:left w:val="none" w:sz="0" w:space="0" w:color="auto"/>
        <w:bottom w:val="none" w:sz="0" w:space="0" w:color="auto"/>
        <w:right w:val="none" w:sz="0" w:space="0" w:color="auto"/>
      </w:divBdr>
    </w:div>
    <w:div w:id="1791779015">
      <w:marLeft w:val="0"/>
      <w:marRight w:val="0"/>
      <w:marTop w:val="0"/>
      <w:marBottom w:val="240"/>
      <w:divBdr>
        <w:top w:val="none" w:sz="0" w:space="0" w:color="auto"/>
        <w:left w:val="none" w:sz="0" w:space="0" w:color="auto"/>
        <w:bottom w:val="none" w:sz="0" w:space="0" w:color="auto"/>
        <w:right w:val="none" w:sz="0" w:space="0" w:color="auto"/>
      </w:divBdr>
    </w:div>
    <w:div w:id="1792162678">
      <w:marLeft w:val="0"/>
      <w:marRight w:val="0"/>
      <w:marTop w:val="120"/>
      <w:marBottom w:val="120"/>
      <w:divBdr>
        <w:top w:val="none" w:sz="0" w:space="0" w:color="auto"/>
        <w:left w:val="none" w:sz="0" w:space="0" w:color="auto"/>
        <w:bottom w:val="none" w:sz="0" w:space="0" w:color="auto"/>
        <w:right w:val="none" w:sz="0" w:space="0" w:color="auto"/>
      </w:divBdr>
    </w:div>
    <w:div w:id="1795169466">
      <w:marLeft w:val="0"/>
      <w:marRight w:val="0"/>
      <w:marTop w:val="0"/>
      <w:marBottom w:val="240"/>
      <w:divBdr>
        <w:top w:val="none" w:sz="0" w:space="0" w:color="auto"/>
        <w:left w:val="none" w:sz="0" w:space="0" w:color="auto"/>
        <w:bottom w:val="none" w:sz="0" w:space="0" w:color="auto"/>
        <w:right w:val="none" w:sz="0" w:space="0" w:color="auto"/>
      </w:divBdr>
    </w:div>
    <w:div w:id="1798138996">
      <w:marLeft w:val="0"/>
      <w:marRight w:val="0"/>
      <w:marTop w:val="180"/>
      <w:marBottom w:val="180"/>
      <w:divBdr>
        <w:top w:val="none" w:sz="0" w:space="0" w:color="auto"/>
        <w:left w:val="none" w:sz="0" w:space="0" w:color="auto"/>
        <w:bottom w:val="none" w:sz="0" w:space="0" w:color="auto"/>
        <w:right w:val="none" w:sz="0" w:space="0" w:color="auto"/>
      </w:divBdr>
    </w:div>
    <w:div w:id="1800538026">
      <w:marLeft w:val="0"/>
      <w:marRight w:val="0"/>
      <w:marTop w:val="100"/>
      <w:marBottom w:val="100"/>
      <w:divBdr>
        <w:top w:val="none" w:sz="0" w:space="0" w:color="auto"/>
        <w:left w:val="none" w:sz="0" w:space="0" w:color="auto"/>
        <w:bottom w:val="none" w:sz="0" w:space="0" w:color="auto"/>
        <w:right w:val="none" w:sz="0" w:space="0" w:color="auto"/>
      </w:divBdr>
    </w:div>
    <w:div w:id="1800756266">
      <w:marLeft w:val="0"/>
      <w:marRight w:val="0"/>
      <w:marTop w:val="120"/>
      <w:marBottom w:val="120"/>
      <w:divBdr>
        <w:top w:val="none" w:sz="0" w:space="0" w:color="auto"/>
        <w:left w:val="none" w:sz="0" w:space="0" w:color="auto"/>
        <w:bottom w:val="none" w:sz="0" w:space="0" w:color="auto"/>
        <w:right w:val="none" w:sz="0" w:space="0" w:color="auto"/>
      </w:divBdr>
    </w:div>
    <w:div w:id="1801535646">
      <w:marLeft w:val="0"/>
      <w:marRight w:val="0"/>
      <w:marTop w:val="0"/>
      <w:marBottom w:val="0"/>
      <w:divBdr>
        <w:top w:val="none" w:sz="0" w:space="0" w:color="auto"/>
        <w:left w:val="none" w:sz="0" w:space="0" w:color="auto"/>
        <w:bottom w:val="none" w:sz="0" w:space="0" w:color="auto"/>
        <w:right w:val="none" w:sz="0" w:space="0" w:color="auto"/>
      </w:divBdr>
      <w:divsChild>
        <w:div w:id="1399479799">
          <w:marLeft w:val="0"/>
          <w:marRight w:val="0"/>
          <w:marTop w:val="0"/>
          <w:marBottom w:val="0"/>
          <w:divBdr>
            <w:top w:val="none" w:sz="0" w:space="0" w:color="auto"/>
            <w:left w:val="none" w:sz="0" w:space="0" w:color="auto"/>
            <w:bottom w:val="none" w:sz="0" w:space="0" w:color="auto"/>
            <w:right w:val="none" w:sz="0" w:space="0" w:color="auto"/>
          </w:divBdr>
        </w:div>
      </w:divsChild>
    </w:div>
    <w:div w:id="1802260321">
      <w:marLeft w:val="0"/>
      <w:marRight w:val="0"/>
      <w:marTop w:val="180"/>
      <w:marBottom w:val="180"/>
      <w:divBdr>
        <w:top w:val="none" w:sz="0" w:space="0" w:color="auto"/>
        <w:left w:val="none" w:sz="0" w:space="0" w:color="auto"/>
        <w:bottom w:val="none" w:sz="0" w:space="0" w:color="auto"/>
        <w:right w:val="none" w:sz="0" w:space="0" w:color="auto"/>
      </w:divBdr>
    </w:div>
    <w:div w:id="1803427077">
      <w:marLeft w:val="0"/>
      <w:marRight w:val="0"/>
      <w:marTop w:val="0"/>
      <w:marBottom w:val="0"/>
      <w:divBdr>
        <w:top w:val="none" w:sz="0" w:space="0" w:color="auto"/>
        <w:left w:val="none" w:sz="0" w:space="0" w:color="auto"/>
        <w:bottom w:val="none" w:sz="0" w:space="0" w:color="auto"/>
        <w:right w:val="none" w:sz="0" w:space="0" w:color="auto"/>
      </w:divBdr>
    </w:div>
    <w:div w:id="1803883079">
      <w:marLeft w:val="0"/>
      <w:marRight w:val="0"/>
      <w:marTop w:val="0"/>
      <w:marBottom w:val="0"/>
      <w:divBdr>
        <w:top w:val="none" w:sz="0" w:space="0" w:color="auto"/>
        <w:left w:val="none" w:sz="0" w:space="0" w:color="auto"/>
        <w:bottom w:val="none" w:sz="0" w:space="0" w:color="auto"/>
        <w:right w:val="none" w:sz="0" w:space="0" w:color="auto"/>
      </w:divBdr>
    </w:div>
    <w:div w:id="1804733894">
      <w:marLeft w:val="0"/>
      <w:marRight w:val="0"/>
      <w:marTop w:val="0"/>
      <w:marBottom w:val="240"/>
      <w:divBdr>
        <w:top w:val="none" w:sz="0" w:space="0" w:color="auto"/>
        <w:left w:val="none" w:sz="0" w:space="0" w:color="auto"/>
        <w:bottom w:val="none" w:sz="0" w:space="0" w:color="auto"/>
        <w:right w:val="none" w:sz="0" w:space="0" w:color="auto"/>
      </w:divBdr>
    </w:div>
    <w:div w:id="1806505679">
      <w:marLeft w:val="0"/>
      <w:marRight w:val="0"/>
      <w:marTop w:val="0"/>
      <w:marBottom w:val="0"/>
      <w:divBdr>
        <w:top w:val="none" w:sz="0" w:space="0" w:color="auto"/>
        <w:left w:val="none" w:sz="0" w:space="0" w:color="auto"/>
        <w:bottom w:val="none" w:sz="0" w:space="0" w:color="auto"/>
        <w:right w:val="none" w:sz="0" w:space="0" w:color="auto"/>
      </w:divBdr>
    </w:div>
    <w:div w:id="1812360599">
      <w:marLeft w:val="0"/>
      <w:marRight w:val="0"/>
      <w:marTop w:val="0"/>
      <w:marBottom w:val="180"/>
      <w:divBdr>
        <w:top w:val="none" w:sz="0" w:space="0" w:color="auto"/>
        <w:left w:val="none" w:sz="0" w:space="0" w:color="auto"/>
        <w:bottom w:val="none" w:sz="0" w:space="0" w:color="auto"/>
        <w:right w:val="none" w:sz="0" w:space="0" w:color="auto"/>
      </w:divBdr>
    </w:div>
    <w:div w:id="1815371139">
      <w:marLeft w:val="0"/>
      <w:marRight w:val="0"/>
      <w:marTop w:val="0"/>
      <w:marBottom w:val="0"/>
      <w:divBdr>
        <w:top w:val="none" w:sz="0" w:space="0" w:color="auto"/>
        <w:left w:val="none" w:sz="0" w:space="0" w:color="auto"/>
        <w:bottom w:val="none" w:sz="0" w:space="0" w:color="auto"/>
        <w:right w:val="none" w:sz="0" w:space="0" w:color="auto"/>
      </w:divBdr>
    </w:div>
    <w:div w:id="1815751893">
      <w:marLeft w:val="0"/>
      <w:marRight w:val="0"/>
      <w:marTop w:val="0"/>
      <w:marBottom w:val="0"/>
      <w:divBdr>
        <w:top w:val="none" w:sz="0" w:space="0" w:color="auto"/>
        <w:left w:val="none" w:sz="0" w:space="0" w:color="auto"/>
        <w:bottom w:val="none" w:sz="0" w:space="0" w:color="auto"/>
        <w:right w:val="none" w:sz="0" w:space="0" w:color="auto"/>
      </w:divBdr>
      <w:divsChild>
        <w:div w:id="948464500">
          <w:marLeft w:val="0"/>
          <w:marRight w:val="0"/>
          <w:marTop w:val="0"/>
          <w:marBottom w:val="0"/>
          <w:divBdr>
            <w:top w:val="none" w:sz="0" w:space="0" w:color="auto"/>
            <w:left w:val="none" w:sz="0" w:space="0" w:color="auto"/>
            <w:bottom w:val="none" w:sz="0" w:space="0" w:color="auto"/>
            <w:right w:val="none" w:sz="0" w:space="0" w:color="auto"/>
          </w:divBdr>
        </w:div>
      </w:divsChild>
    </w:div>
    <w:div w:id="1816294101">
      <w:marLeft w:val="0"/>
      <w:marRight w:val="0"/>
      <w:marTop w:val="0"/>
      <w:marBottom w:val="180"/>
      <w:divBdr>
        <w:top w:val="none" w:sz="0" w:space="0" w:color="auto"/>
        <w:left w:val="none" w:sz="0" w:space="0" w:color="auto"/>
        <w:bottom w:val="none" w:sz="0" w:space="0" w:color="auto"/>
        <w:right w:val="none" w:sz="0" w:space="0" w:color="auto"/>
      </w:divBdr>
    </w:div>
    <w:div w:id="1817406163">
      <w:marLeft w:val="0"/>
      <w:marRight w:val="0"/>
      <w:marTop w:val="0"/>
      <w:marBottom w:val="120"/>
      <w:divBdr>
        <w:top w:val="none" w:sz="0" w:space="0" w:color="auto"/>
        <w:left w:val="none" w:sz="0" w:space="0" w:color="auto"/>
        <w:bottom w:val="none" w:sz="0" w:space="0" w:color="auto"/>
        <w:right w:val="none" w:sz="0" w:space="0" w:color="auto"/>
      </w:divBdr>
    </w:div>
    <w:div w:id="1818300967">
      <w:marLeft w:val="0"/>
      <w:marRight w:val="0"/>
      <w:marTop w:val="0"/>
      <w:marBottom w:val="180"/>
      <w:divBdr>
        <w:top w:val="none" w:sz="0" w:space="0" w:color="auto"/>
        <w:left w:val="none" w:sz="0" w:space="0" w:color="auto"/>
        <w:bottom w:val="none" w:sz="0" w:space="0" w:color="auto"/>
        <w:right w:val="none" w:sz="0" w:space="0" w:color="auto"/>
      </w:divBdr>
    </w:div>
    <w:div w:id="1822848769">
      <w:marLeft w:val="0"/>
      <w:marRight w:val="0"/>
      <w:marTop w:val="0"/>
      <w:marBottom w:val="180"/>
      <w:divBdr>
        <w:top w:val="none" w:sz="0" w:space="0" w:color="auto"/>
        <w:left w:val="none" w:sz="0" w:space="0" w:color="auto"/>
        <w:bottom w:val="none" w:sz="0" w:space="0" w:color="auto"/>
        <w:right w:val="none" w:sz="0" w:space="0" w:color="auto"/>
      </w:divBdr>
    </w:div>
    <w:div w:id="1824615650">
      <w:marLeft w:val="0"/>
      <w:marRight w:val="0"/>
      <w:marTop w:val="0"/>
      <w:marBottom w:val="180"/>
      <w:divBdr>
        <w:top w:val="none" w:sz="0" w:space="0" w:color="auto"/>
        <w:left w:val="none" w:sz="0" w:space="0" w:color="auto"/>
        <w:bottom w:val="none" w:sz="0" w:space="0" w:color="auto"/>
        <w:right w:val="none" w:sz="0" w:space="0" w:color="auto"/>
      </w:divBdr>
    </w:div>
    <w:div w:id="1826119415">
      <w:marLeft w:val="0"/>
      <w:marRight w:val="0"/>
      <w:marTop w:val="0"/>
      <w:marBottom w:val="0"/>
      <w:divBdr>
        <w:top w:val="none" w:sz="0" w:space="0" w:color="auto"/>
        <w:left w:val="none" w:sz="0" w:space="0" w:color="auto"/>
        <w:bottom w:val="none" w:sz="0" w:space="0" w:color="auto"/>
        <w:right w:val="none" w:sz="0" w:space="0" w:color="auto"/>
      </w:divBdr>
    </w:div>
    <w:div w:id="1826627632">
      <w:marLeft w:val="0"/>
      <w:marRight w:val="0"/>
      <w:marTop w:val="100"/>
      <w:marBottom w:val="100"/>
      <w:divBdr>
        <w:top w:val="none" w:sz="0" w:space="0" w:color="auto"/>
        <w:left w:val="none" w:sz="0" w:space="0" w:color="auto"/>
        <w:bottom w:val="none" w:sz="0" w:space="0" w:color="auto"/>
        <w:right w:val="none" w:sz="0" w:space="0" w:color="auto"/>
      </w:divBdr>
    </w:div>
    <w:div w:id="1827628811">
      <w:marLeft w:val="0"/>
      <w:marRight w:val="0"/>
      <w:marTop w:val="0"/>
      <w:marBottom w:val="0"/>
      <w:divBdr>
        <w:top w:val="none" w:sz="0" w:space="0" w:color="auto"/>
        <w:left w:val="none" w:sz="0" w:space="0" w:color="auto"/>
        <w:bottom w:val="none" w:sz="0" w:space="0" w:color="auto"/>
        <w:right w:val="none" w:sz="0" w:space="0" w:color="auto"/>
      </w:divBdr>
    </w:div>
    <w:div w:id="1834108028">
      <w:marLeft w:val="0"/>
      <w:marRight w:val="0"/>
      <w:marTop w:val="0"/>
      <w:marBottom w:val="0"/>
      <w:divBdr>
        <w:top w:val="none" w:sz="0" w:space="0" w:color="auto"/>
        <w:left w:val="none" w:sz="0" w:space="0" w:color="auto"/>
        <w:bottom w:val="none" w:sz="0" w:space="0" w:color="auto"/>
        <w:right w:val="none" w:sz="0" w:space="0" w:color="auto"/>
      </w:divBdr>
      <w:divsChild>
        <w:div w:id="1044981295">
          <w:marLeft w:val="0"/>
          <w:marRight w:val="0"/>
          <w:marTop w:val="0"/>
          <w:marBottom w:val="0"/>
          <w:divBdr>
            <w:top w:val="none" w:sz="0" w:space="0" w:color="auto"/>
            <w:left w:val="none" w:sz="0" w:space="0" w:color="auto"/>
            <w:bottom w:val="none" w:sz="0" w:space="0" w:color="auto"/>
            <w:right w:val="none" w:sz="0" w:space="0" w:color="auto"/>
          </w:divBdr>
        </w:div>
      </w:divsChild>
    </w:div>
    <w:div w:id="1834566591">
      <w:marLeft w:val="0"/>
      <w:marRight w:val="0"/>
      <w:marTop w:val="0"/>
      <w:marBottom w:val="0"/>
      <w:divBdr>
        <w:top w:val="none" w:sz="0" w:space="0" w:color="auto"/>
        <w:left w:val="none" w:sz="0" w:space="0" w:color="auto"/>
        <w:bottom w:val="none" w:sz="0" w:space="0" w:color="auto"/>
        <w:right w:val="none" w:sz="0" w:space="0" w:color="auto"/>
      </w:divBdr>
    </w:div>
    <w:div w:id="1835559691">
      <w:marLeft w:val="0"/>
      <w:marRight w:val="0"/>
      <w:marTop w:val="0"/>
      <w:marBottom w:val="180"/>
      <w:divBdr>
        <w:top w:val="none" w:sz="0" w:space="0" w:color="auto"/>
        <w:left w:val="none" w:sz="0" w:space="0" w:color="auto"/>
        <w:bottom w:val="none" w:sz="0" w:space="0" w:color="auto"/>
        <w:right w:val="none" w:sz="0" w:space="0" w:color="auto"/>
      </w:divBdr>
    </w:div>
    <w:div w:id="1835755150">
      <w:marLeft w:val="0"/>
      <w:marRight w:val="0"/>
      <w:marTop w:val="100"/>
      <w:marBottom w:val="100"/>
      <w:divBdr>
        <w:top w:val="none" w:sz="0" w:space="0" w:color="auto"/>
        <w:left w:val="none" w:sz="0" w:space="0" w:color="auto"/>
        <w:bottom w:val="none" w:sz="0" w:space="0" w:color="auto"/>
        <w:right w:val="none" w:sz="0" w:space="0" w:color="auto"/>
      </w:divBdr>
      <w:divsChild>
        <w:div w:id="156266714">
          <w:marLeft w:val="0"/>
          <w:marRight w:val="0"/>
          <w:marTop w:val="0"/>
          <w:marBottom w:val="0"/>
          <w:divBdr>
            <w:top w:val="none" w:sz="0" w:space="0" w:color="auto"/>
            <w:left w:val="none" w:sz="0" w:space="0" w:color="auto"/>
            <w:bottom w:val="none" w:sz="0" w:space="0" w:color="auto"/>
            <w:right w:val="none" w:sz="0" w:space="0" w:color="auto"/>
          </w:divBdr>
        </w:div>
      </w:divsChild>
    </w:div>
    <w:div w:id="1838496794">
      <w:marLeft w:val="0"/>
      <w:marRight w:val="0"/>
      <w:marTop w:val="120"/>
      <w:marBottom w:val="120"/>
      <w:divBdr>
        <w:top w:val="none" w:sz="0" w:space="0" w:color="auto"/>
        <w:left w:val="none" w:sz="0" w:space="0" w:color="auto"/>
        <w:bottom w:val="none" w:sz="0" w:space="0" w:color="auto"/>
        <w:right w:val="none" w:sz="0" w:space="0" w:color="auto"/>
      </w:divBdr>
    </w:div>
    <w:div w:id="1842114979">
      <w:marLeft w:val="0"/>
      <w:marRight w:val="0"/>
      <w:marTop w:val="0"/>
      <w:marBottom w:val="0"/>
      <w:divBdr>
        <w:top w:val="none" w:sz="0" w:space="0" w:color="auto"/>
        <w:left w:val="none" w:sz="0" w:space="0" w:color="auto"/>
        <w:bottom w:val="none" w:sz="0" w:space="0" w:color="auto"/>
        <w:right w:val="none" w:sz="0" w:space="0" w:color="auto"/>
      </w:divBdr>
      <w:divsChild>
        <w:div w:id="1528177669">
          <w:marLeft w:val="0"/>
          <w:marRight w:val="0"/>
          <w:marTop w:val="0"/>
          <w:marBottom w:val="0"/>
          <w:divBdr>
            <w:top w:val="none" w:sz="0" w:space="0" w:color="auto"/>
            <w:left w:val="none" w:sz="0" w:space="0" w:color="auto"/>
            <w:bottom w:val="none" w:sz="0" w:space="0" w:color="auto"/>
            <w:right w:val="none" w:sz="0" w:space="0" w:color="auto"/>
          </w:divBdr>
        </w:div>
      </w:divsChild>
    </w:div>
    <w:div w:id="1842159189">
      <w:marLeft w:val="0"/>
      <w:marRight w:val="0"/>
      <w:marTop w:val="0"/>
      <w:marBottom w:val="240"/>
      <w:divBdr>
        <w:top w:val="none" w:sz="0" w:space="0" w:color="auto"/>
        <w:left w:val="none" w:sz="0" w:space="0" w:color="auto"/>
        <w:bottom w:val="none" w:sz="0" w:space="0" w:color="auto"/>
        <w:right w:val="none" w:sz="0" w:space="0" w:color="auto"/>
      </w:divBdr>
    </w:div>
    <w:div w:id="1844004755">
      <w:marLeft w:val="0"/>
      <w:marRight w:val="0"/>
      <w:marTop w:val="0"/>
      <w:marBottom w:val="0"/>
      <w:divBdr>
        <w:top w:val="none" w:sz="0" w:space="0" w:color="auto"/>
        <w:left w:val="none" w:sz="0" w:space="0" w:color="auto"/>
        <w:bottom w:val="none" w:sz="0" w:space="0" w:color="auto"/>
        <w:right w:val="none" w:sz="0" w:space="0" w:color="auto"/>
      </w:divBdr>
      <w:divsChild>
        <w:div w:id="1237285002">
          <w:marLeft w:val="0"/>
          <w:marRight w:val="0"/>
          <w:marTop w:val="0"/>
          <w:marBottom w:val="0"/>
          <w:divBdr>
            <w:top w:val="none" w:sz="0" w:space="0" w:color="auto"/>
            <w:left w:val="none" w:sz="0" w:space="0" w:color="auto"/>
            <w:bottom w:val="none" w:sz="0" w:space="0" w:color="auto"/>
            <w:right w:val="none" w:sz="0" w:space="0" w:color="auto"/>
          </w:divBdr>
        </w:div>
      </w:divsChild>
    </w:div>
    <w:div w:id="1848009989">
      <w:marLeft w:val="0"/>
      <w:marRight w:val="0"/>
      <w:marTop w:val="0"/>
      <w:marBottom w:val="0"/>
      <w:divBdr>
        <w:top w:val="none" w:sz="0" w:space="0" w:color="auto"/>
        <w:left w:val="none" w:sz="0" w:space="0" w:color="auto"/>
        <w:bottom w:val="none" w:sz="0" w:space="0" w:color="auto"/>
        <w:right w:val="none" w:sz="0" w:space="0" w:color="auto"/>
      </w:divBdr>
    </w:div>
    <w:div w:id="1851680373">
      <w:marLeft w:val="0"/>
      <w:marRight w:val="0"/>
      <w:marTop w:val="120"/>
      <w:marBottom w:val="120"/>
      <w:divBdr>
        <w:top w:val="none" w:sz="0" w:space="0" w:color="auto"/>
        <w:left w:val="none" w:sz="0" w:space="0" w:color="auto"/>
        <w:bottom w:val="none" w:sz="0" w:space="0" w:color="auto"/>
        <w:right w:val="none" w:sz="0" w:space="0" w:color="auto"/>
      </w:divBdr>
    </w:div>
    <w:div w:id="1856114845">
      <w:marLeft w:val="0"/>
      <w:marRight w:val="0"/>
      <w:marTop w:val="0"/>
      <w:marBottom w:val="180"/>
      <w:divBdr>
        <w:top w:val="none" w:sz="0" w:space="0" w:color="auto"/>
        <w:left w:val="none" w:sz="0" w:space="0" w:color="auto"/>
        <w:bottom w:val="none" w:sz="0" w:space="0" w:color="auto"/>
        <w:right w:val="none" w:sz="0" w:space="0" w:color="auto"/>
      </w:divBdr>
    </w:div>
    <w:div w:id="1856266933">
      <w:marLeft w:val="0"/>
      <w:marRight w:val="0"/>
      <w:marTop w:val="0"/>
      <w:marBottom w:val="240"/>
      <w:divBdr>
        <w:top w:val="none" w:sz="0" w:space="0" w:color="auto"/>
        <w:left w:val="none" w:sz="0" w:space="0" w:color="auto"/>
        <w:bottom w:val="none" w:sz="0" w:space="0" w:color="auto"/>
        <w:right w:val="none" w:sz="0" w:space="0" w:color="auto"/>
      </w:divBdr>
    </w:div>
    <w:div w:id="1856919333">
      <w:marLeft w:val="0"/>
      <w:marRight w:val="0"/>
      <w:marTop w:val="100"/>
      <w:marBottom w:val="100"/>
      <w:divBdr>
        <w:top w:val="none" w:sz="0" w:space="0" w:color="auto"/>
        <w:left w:val="none" w:sz="0" w:space="0" w:color="auto"/>
        <w:bottom w:val="none" w:sz="0" w:space="0" w:color="auto"/>
        <w:right w:val="none" w:sz="0" w:space="0" w:color="auto"/>
      </w:divBdr>
      <w:divsChild>
        <w:div w:id="1179152197">
          <w:marLeft w:val="0"/>
          <w:marRight w:val="0"/>
          <w:marTop w:val="0"/>
          <w:marBottom w:val="0"/>
          <w:divBdr>
            <w:top w:val="none" w:sz="0" w:space="0" w:color="auto"/>
            <w:left w:val="none" w:sz="0" w:space="0" w:color="auto"/>
            <w:bottom w:val="none" w:sz="0" w:space="0" w:color="auto"/>
            <w:right w:val="none" w:sz="0" w:space="0" w:color="auto"/>
          </w:divBdr>
        </w:div>
        <w:div w:id="1522157583">
          <w:marLeft w:val="0"/>
          <w:marRight w:val="0"/>
          <w:marTop w:val="0"/>
          <w:marBottom w:val="0"/>
          <w:divBdr>
            <w:top w:val="none" w:sz="0" w:space="0" w:color="auto"/>
            <w:left w:val="none" w:sz="0" w:space="0" w:color="auto"/>
            <w:bottom w:val="none" w:sz="0" w:space="0" w:color="auto"/>
            <w:right w:val="none" w:sz="0" w:space="0" w:color="auto"/>
          </w:divBdr>
        </w:div>
        <w:div w:id="2139567789">
          <w:marLeft w:val="0"/>
          <w:marRight w:val="0"/>
          <w:marTop w:val="0"/>
          <w:marBottom w:val="0"/>
          <w:divBdr>
            <w:top w:val="none" w:sz="0" w:space="0" w:color="auto"/>
            <w:left w:val="none" w:sz="0" w:space="0" w:color="auto"/>
            <w:bottom w:val="none" w:sz="0" w:space="0" w:color="auto"/>
            <w:right w:val="none" w:sz="0" w:space="0" w:color="auto"/>
          </w:divBdr>
        </w:div>
        <w:div w:id="764305452">
          <w:marLeft w:val="0"/>
          <w:marRight w:val="0"/>
          <w:marTop w:val="0"/>
          <w:marBottom w:val="0"/>
          <w:divBdr>
            <w:top w:val="none" w:sz="0" w:space="0" w:color="auto"/>
            <w:left w:val="none" w:sz="0" w:space="0" w:color="auto"/>
            <w:bottom w:val="none" w:sz="0" w:space="0" w:color="auto"/>
            <w:right w:val="none" w:sz="0" w:space="0" w:color="auto"/>
          </w:divBdr>
        </w:div>
        <w:div w:id="652874095">
          <w:marLeft w:val="0"/>
          <w:marRight w:val="0"/>
          <w:marTop w:val="0"/>
          <w:marBottom w:val="0"/>
          <w:divBdr>
            <w:top w:val="none" w:sz="0" w:space="0" w:color="auto"/>
            <w:left w:val="none" w:sz="0" w:space="0" w:color="auto"/>
            <w:bottom w:val="none" w:sz="0" w:space="0" w:color="auto"/>
            <w:right w:val="none" w:sz="0" w:space="0" w:color="auto"/>
          </w:divBdr>
        </w:div>
        <w:div w:id="1283346804">
          <w:marLeft w:val="0"/>
          <w:marRight w:val="0"/>
          <w:marTop w:val="0"/>
          <w:marBottom w:val="0"/>
          <w:divBdr>
            <w:top w:val="none" w:sz="0" w:space="0" w:color="auto"/>
            <w:left w:val="none" w:sz="0" w:space="0" w:color="auto"/>
            <w:bottom w:val="none" w:sz="0" w:space="0" w:color="auto"/>
            <w:right w:val="none" w:sz="0" w:space="0" w:color="auto"/>
          </w:divBdr>
        </w:div>
      </w:divsChild>
    </w:div>
    <w:div w:id="1857233330">
      <w:marLeft w:val="0"/>
      <w:marRight w:val="0"/>
      <w:marTop w:val="0"/>
      <w:marBottom w:val="0"/>
      <w:divBdr>
        <w:top w:val="none" w:sz="0" w:space="0" w:color="auto"/>
        <w:left w:val="none" w:sz="0" w:space="0" w:color="auto"/>
        <w:bottom w:val="none" w:sz="0" w:space="0" w:color="auto"/>
        <w:right w:val="none" w:sz="0" w:space="0" w:color="auto"/>
      </w:divBdr>
      <w:divsChild>
        <w:div w:id="2028368807">
          <w:marLeft w:val="0"/>
          <w:marRight w:val="0"/>
          <w:marTop w:val="0"/>
          <w:marBottom w:val="0"/>
          <w:divBdr>
            <w:top w:val="none" w:sz="0" w:space="0" w:color="auto"/>
            <w:left w:val="none" w:sz="0" w:space="0" w:color="auto"/>
            <w:bottom w:val="none" w:sz="0" w:space="0" w:color="auto"/>
            <w:right w:val="none" w:sz="0" w:space="0" w:color="auto"/>
          </w:divBdr>
        </w:div>
      </w:divsChild>
    </w:div>
    <w:div w:id="1857496089">
      <w:marLeft w:val="0"/>
      <w:marRight w:val="0"/>
      <w:marTop w:val="0"/>
      <w:marBottom w:val="240"/>
      <w:divBdr>
        <w:top w:val="none" w:sz="0" w:space="0" w:color="auto"/>
        <w:left w:val="none" w:sz="0" w:space="0" w:color="auto"/>
        <w:bottom w:val="none" w:sz="0" w:space="0" w:color="auto"/>
        <w:right w:val="none" w:sz="0" w:space="0" w:color="auto"/>
      </w:divBdr>
    </w:div>
    <w:div w:id="1857502185">
      <w:marLeft w:val="0"/>
      <w:marRight w:val="0"/>
      <w:marTop w:val="180"/>
      <w:marBottom w:val="180"/>
      <w:divBdr>
        <w:top w:val="none" w:sz="0" w:space="0" w:color="auto"/>
        <w:left w:val="none" w:sz="0" w:space="0" w:color="auto"/>
        <w:bottom w:val="none" w:sz="0" w:space="0" w:color="auto"/>
        <w:right w:val="none" w:sz="0" w:space="0" w:color="auto"/>
      </w:divBdr>
    </w:div>
    <w:div w:id="1859811575">
      <w:marLeft w:val="0"/>
      <w:marRight w:val="0"/>
      <w:marTop w:val="0"/>
      <w:marBottom w:val="0"/>
      <w:divBdr>
        <w:top w:val="none" w:sz="0" w:space="0" w:color="auto"/>
        <w:left w:val="none" w:sz="0" w:space="0" w:color="auto"/>
        <w:bottom w:val="none" w:sz="0" w:space="0" w:color="auto"/>
        <w:right w:val="none" w:sz="0" w:space="0" w:color="auto"/>
      </w:divBdr>
      <w:divsChild>
        <w:div w:id="318382629">
          <w:marLeft w:val="0"/>
          <w:marRight w:val="0"/>
          <w:marTop w:val="0"/>
          <w:marBottom w:val="0"/>
          <w:divBdr>
            <w:top w:val="none" w:sz="0" w:space="0" w:color="auto"/>
            <w:left w:val="none" w:sz="0" w:space="0" w:color="auto"/>
            <w:bottom w:val="none" w:sz="0" w:space="0" w:color="auto"/>
            <w:right w:val="none" w:sz="0" w:space="0" w:color="auto"/>
          </w:divBdr>
        </w:div>
      </w:divsChild>
    </w:div>
    <w:div w:id="1861427826">
      <w:marLeft w:val="0"/>
      <w:marRight w:val="0"/>
      <w:marTop w:val="240"/>
      <w:marBottom w:val="240"/>
      <w:divBdr>
        <w:top w:val="none" w:sz="0" w:space="0" w:color="auto"/>
        <w:left w:val="none" w:sz="0" w:space="0" w:color="auto"/>
        <w:bottom w:val="none" w:sz="0" w:space="0" w:color="auto"/>
        <w:right w:val="none" w:sz="0" w:space="0" w:color="auto"/>
      </w:divBdr>
    </w:div>
    <w:div w:id="1862012620">
      <w:marLeft w:val="0"/>
      <w:marRight w:val="0"/>
      <w:marTop w:val="0"/>
      <w:marBottom w:val="0"/>
      <w:divBdr>
        <w:top w:val="none" w:sz="0" w:space="0" w:color="auto"/>
        <w:left w:val="none" w:sz="0" w:space="0" w:color="auto"/>
        <w:bottom w:val="none" w:sz="0" w:space="0" w:color="auto"/>
        <w:right w:val="none" w:sz="0" w:space="0" w:color="auto"/>
      </w:divBdr>
      <w:divsChild>
        <w:div w:id="1035934631">
          <w:marLeft w:val="0"/>
          <w:marRight w:val="0"/>
          <w:marTop w:val="0"/>
          <w:marBottom w:val="0"/>
          <w:divBdr>
            <w:top w:val="none" w:sz="0" w:space="0" w:color="auto"/>
            <w:left w:val="none" w:sz="0" w:space="0" w:color="auto"/>
            <w:bottom w:val="none" w:sz="0" w:space="0" w:color="auto"/>
            <w:right w:val="none" w:sz="0" w:space="0" w:color="auto"/>
          </w:divBdr>
        </w:div>
      </w:divsChild>
    </w:div>
    <w:div w:id="1862433233">
      <w:marLeft w:val="0"/>
      <w:marRight w:val="0"/>
      <w:marTop w:val="180"/>
      <w:marBottom w:val="180"/>
      <w:divBdr>
        <w:top w:val="none" w:sz="0" w:space="0" w:color="auto"/>
        <w:left w:val="none" w:sz="0" w:space="0" w:color="auto"/>
        <w:bottom w:val="none" w:sz="0" w:space="0" w:color="auto"/>
        <w:right w:val="none" w:sz="0" w:space="0" w:color="auto"/>
      </w:divBdr>
    </w:div>
    <w:div w:id="1862696313">
      <w:marLeft w:val="0"/>
      <w:marRight w:val="0"/>
      <w:marTop w:val="120"/>
      <w:marBottom w:val="120"/>
      <w:divBdr>
        <w:top w:val="none" w:sz="0" w:space="0" w:color="auto"/>
        <w:left w:val="none" w:sz="0" w:space="0" w:color="auto"/>
        <w:bottom w:val="none" w:sz="0" w:space="0" w:color="auto"/>
        <w:right w:val="none" w:sz="0" w:space="0" w:color="auto"/>
      </w:divBdr>
    </w:div>
    <w:div w:id="1863397544">
      <w:marLeft w:val="0"/>
      <w:marRight w:val="0"/>
      <w:marTop w:val="0"/>
      <w:marBottom w:val="0"/>
      <w:divBdr>
        <w:top w:val="none" w:sz="0" w:space="0" w:color="auto"/>
        <w:left w:val="none" w:sz="0" w:space="0" w:color="auto"/>
        <w:bottom w:val="none" w:sz="0" w:space="0" w:color="auto"/>
        <w:right w:val="none" w:sz="0" w:space="0" w:color="auto"/>
      </w:divBdr>
      <w:divsChild>
        <w:div w:id="1777869863">
          <w:marLeft w:val="0"/>
          <w:marRight w:val="0"/>
          <w:marTop w:val="0"/>
          <w:marBottom w:val="0"/>
          <w:divBdr>
            <w:top w:val="none" w:sz="0" w:space="0" w:color="auto"/>
            <w:left w:val="none" w:sz="0" w:space="0" w:color="auto"/>
            <w:bottom w:val="none" w:sz="0" w:space="0" w:color="auto"/>
            <w:right w:val="none" w:sz="0" w:space="0" w:color="auto"/>
          </w:divBdr>
        </w:div>
      </w:divsChild>
    </w:div>
    <w:div w:id="1864005216">
      <w:marLeft w:val="0"/>
      <w:marRight w:val="0"/>
      <w:marTop w:val="0"/>
      <w:marBottom w:val="180"/>
      <w:divBdr>
        <w:top w:val="none" w:sz="0" w:space="0" w:color="auto"/>
        <w:left w:val="none" w:sz="0" w:space="0" w:color="auto"/>
        <w:bottom w:val="none" w:sz="0" w:space="0" w:color="auto"/>
        <w:right w:val="none" w:sz="0" w:space="0" w:color="auto"/>
      </w:divBdr>
    </w:div>
    <w:div w:id="1867332645">
      <w:marLeft w:val="0"/>
      <w:marRight w:val="0"/>
      <w:marTop w:val="0"/>
      <w:marBottom w:val="240"/>
      <w:divBdr>
        <w:top w:val="none" w:sz="0" w:space="0" w:color="auto"/>
        <w:left w:val="none" w:sz="0" w:space="0" w:color="auto"/>
        <w:bottom w:val="none" w:sz="0" w:space="0" w:color="auto"/>
        <w:right w:val="none" w:sz="0" w:space="0" w:color="auto"/>
      </w:divBdr>
    </w:div>
    <w:div w:id="1868835601">
      <w:marLeft w:val="0"/>
      <w:marRight w:val="0"/>
      <w:marTop w:val="0"/>
      <w:marBottom w:val="0"/>
      <w:divBdr>
        <w:top w:val="none" w:sz="0" w:space="0" w:color="auto"/>
        <w:left w:val="none" w:sz="0" w:space="0" w:color="auto"/>
        <w:bottom w:val="none" w:sz="0" w:space="0" w:color="auto"/>
        <w:right w:val="none" w:sz="0" w:space="0" w:color="auto"/>
      </w:divBdr>
    </w:div>
    <w:div w:id="1869295742">
      <w:marLeft w:val="0"/>
      <w:marRight w:val="0"/>
      <w:marTop w:val="120"/>
      <w:marBottom w:val="120"/>
      <w:divBdr>
        <w:top w:val="none" w:sz="0" w:space="0" w:color="auto"/>
        <w:left w:val="none" w:sz="0" w:space="0" w:color="auto"/>
        <w:bottom w:val="none" w:sz="0" w:space="0" w:color="auto"/>
        <w:right w:val="none" w:sz="0" w:space="0" w:color="auto"/>
      </w:divBdr>
    </w:div>
    <w:div w:id="1869445373">
      <w:marLeft w:val="0"/>
      <w:marRight w:val="0"/>
      <w:marTop w:val="0"/>
      <w:marBottom w:val="240"/>
      <w:divBdr>
        <w:top w:val="none" w:sz="0" w:space="0" w:color="auto"/>
        <w:left w:val="none" w:sz="0" w:space="0" w:color="auto"/>
        <w:bottom w:val="none" w:sz="0" w:space="0" w:color="auto"/>
        <w:right w:val="none" w:sz="0" w:space="0" w:color="auto"/>
      </w:divBdr>
    </w:div>
    <w:div w:id="1872836299">
      <w:marLeft w:val="0"/>
      <w:marRight w:val="0"/>
      <w:marTop w:val="0"/>
      <w:marBottom w:val="180"/>
      <w:divBdr>
        <w:top w:val="none" w:sz="0" w:space="0" w:color="auto"/>
        <w:left w:val="none" w:sz="0" w:space="0" w:color="auto"/>
        <w:bottom w:val="none" w:sz="0" w:space="0" w:color="auto"/>
        <w:right w:val="none" w:sz="0" w:space="0" w:color="auto"/>
      </w:divBdr>
    </w:div>
    <w:div w:id="1872959541">
      <w:marLeft w:val="0"/>
      <w:marRight w:val="0"/>
      <w:marTop w:val="0"/>
      <w:marBottom w:val="0"/>
      <w:divBdr>
        <w:top w:val="none" w:sz="0" w:space="0" w:color="auto"/>
        <w:left w:val="none" w:sz="0" w:space="0" w:color="auto"/>
        <w:bottom w:val="none" w:sz="0" w:space="0" w:color="auto"/>
        <w:right w:val="none" w:sz="0" w:space="0" w:color="auto"/>
      </w:divBdr>
    </w:div>
    <w:div w:id="1875071851">
      <w:marLeft w:val="0"/>
      <w:marRight w:val="0"/>
      <w:marTop w:val="0"/>
      <w:marBottom w:val="0"/>
      <w:divBdr>
        <w:top w:val="none" w:sz="0" w:space="0" w:color="auto"/>
        <w:left w:val="none" w:sz="0" w:space="0" w:color="auto"/>
        <w:bottom w:val="none" w:sz="0" w:space="0" w:color="auto"/>
        <w:right w:val="none" w:sz="0" w:space="0" w:color="auto"/>
      </w:divBdr>
    </w:div>
    <w:div w:id="1877888487">
      <w:marLeft w:val="0"/>
      <w:marRight w:val="0"/>
      <w:marTop w:val="100"/>
      <w:marBottom w:val="240"/>
      <w:divBdr>
        <w:top w:val="none" w:sz="0" w:space="0" w:color="auto"/>
        <w:left w:val="none" w:sz="0" w:space="0" w:color="auto"/>
        <w:bottom w:val="none" w:sz="0" w:space="0" w:color="auto"/>
        <w:right w:val="none" w:sz="0" w:space="0" w:color="auto"/>
      </w:divBdr>
    </w:div>
    <w:div w:id="1878198600">
      <w:marLeft w:val="0"/>
      <w:marRight w:val="0"/>
      <w:marTop w:val="0"/>
      <w:marBottom w:val="0"/>
      <w:divBdr>
        <w:top w:val="none" w:sz="0" w:space="0" w:color="auto"/>
        <w:left w:val="none" w:sz="0" w:space="0" w:color="auto"/>
        <w:bottom w:val="none" w:sz="0" w:space="0" w:color="auto"/>
        <w:right w:val="none" w:sz="0" w:space="0" w:color="auto"/>
      </w:divBdr>
    </w:div>
    <w:div w:id="1882130332">
      <w:marLeft w:val="0"/>
      <w:marRight w:val="0"/>
      <w:marTop w:val="0"/>
      <w:marBottom w:val="0"/>
      <w:divBdr>
        <w:top w:val="none" w:sz="0" w:space="0" w:color="auto"/>
        <w:left w:val="none" w:sz="0" w:space="0" w:color="auto"/>
        <w:bottom w:val="none" w:sz="0" w:space="0" w:color="auto"/>
        <w:right w:val="none" w:sz="0" w:space="0" w:color="auto"/>
      </w:divBdr>
    </w:div>
    <w:div w:id="1882743910">
      <w:marLeft w:val="0"/>
      <w:marRight w:val="0"/>
      <w:marTop w:val="0"/>
      <w:marBottom w:val="0"/>
      <w:divBdr>
        <w:top w:val="none" w:sz="0" w:space="0" w:color="auto"/>
        <w:left w:val="none" w:sz="0" w:space="0" w:color="auto"/>
        <w:bottom w:val="none" w:sz="0" w:space="0" w:color="auto"/>
        <w:right w:val="none" w:sz="0" w:space="0" w:color="auto"/>
      </w:divBdr>
    </w:div>
    <w:div w:id="1884629453">
      <w:marLeft w:val="0"/>
      <w:marRight w:val="0"/>
      <w:marTop w:val="0"/>
      <w:marBottom w:val="0"/>
      <w:divBdr>
        <w:top w:val="none" w:sz="0" w:space="0" w:color="auto"/>
        <w:left w:val="none" w:sz="0" w:space="0" w:color="auto"/>
        <w:bottom w:val="none" w:sz="0" w:space="0" w:color="auto"/>
        <w:right w:val="none" w:sz="0" w:space="0" w:color="auto"/>
      </w:divBdr>
      <w:divsChild>
        <w:div w:id="1786650939">
          <w:marLeft w:val="0"/>
          <w:marRight w:val="0"/>
          <w:marTop w:val="0"/>
          <w:marBottom w:val="0"/>
          <w:divBdr>
            <w:top w:val="none" w:sz="0" w:space="0" w:color="auto"/>
            <w:left w:val="none" w:sz="0" w:space="0" w:color="auto"/>
            <w:bottom w:val="none" w:sz="0" w:space="0" w:color="auto"/>
            <w:right w:val="none" w:sz="0" w:space="0" w:color="auto"/>
          </w:divBdr>
        </w:div>
      </w:divsChild>
    </w:div>
    <w:div w:id="1885215656">
      <w:marLeft w:val="0"/>
      <w:marRight w:val="0"/>
      <w:marTop w:val="0"/>
      <w:marBottom w:val="240"/>
      <w:divBdr>
        <w:top w:val="none" w:sz="0" w:space="0" w:color="auto"/>
        <w:left w:val="none" w:sz="0" w:space="0" w:color="auto"/>
        <w:bottom w:val="none" w:sz="0" w:space="0" w:color="auto"/>
        <w:right w:val="none" w:sz="0" w:space="0" w:color="auto"/>
      </w:divBdr>
    </w:div>
    <w:div w:id="1888880203">
      <w:marLeft w:val="0"/>
      <w:marRight w:val="0"/>
      <w:marTop w:val="0"/>
      <w:marBottom w:val="0"/>
      <w:divBdr>
        <w:top w:val="none" w:sz="0" w:space="0" w:color="auto"/>
        <w:left w:val="none" w:sz="0" w:space="0" w:color="auto"/>
        <w:bottom w:val="none" w:sz="0" w:space="0" w:color="auto"/>
        <w:right w:val="none" w:sz="0" w:space="0" w:color="auto"/>
      </w:divBdr>
    </w:div>
    <w:div w:id="1888881218">
      <w:marLeft w:val="0"/>
      <w:marRight w:val="0"/>
      <w:marTop w:val="120"/>
      <w:marBottom w:val="120"/>
      <w:divBdr>
        <w:top w:val="none" w:sz="0" w:space="0" w:color="auto"/>
        <w:left w:val="none" w:sz="0" w:space="0" w:color="auto"/>
        <w:bottom w:val="none" w:sz="0" w:space="0" w:color="auto"/>
        <w:right w:val="none" w:sz="0" w:space="0" w:color="auto"/>
      </w:divBdr>
    </w:div>
    <w:div w:id="1891529483">
      <w:marLeft w:val="0"/>
      <w:marRight w:val="0"/>
      <w:marTop w:val="0"/>
      <w:marBottom w:val="0"/>
      <w:divBdr>
        <w:top w:val="none" w:sz="0" w:space="0" w:color="auto"/>
        <w:left w:val="none" w:sz="0" w:space="0" w:color="auto"/>
        <w:bottom w:val="none" w:sz="0" w:space="0" w:color="auto"/>
        <w:right w:val="none" w:sz="0" w:space="0" w:color="auto"/>
      </w:divBdr>
    </w:div>
    <w:div w:id="1893803912">
      <w:marLeft w:val="0"/>
      <w:marRight w:val="0"/>
      <w:marTop w:val="0"/>
      <w:marBottom w:val="240"/>
      <w:divBdr>
        <w:top w:val="none" w:sz="0" w:space="0" w:color="auto"/>
        <w:left w:val="none" w:sz="0" w:space="0" w:color="auto"/>
        <w:bottom w:val="none" w:sz="0" w:space="0" w:color="auto"/>
        <w:right w:val="none" w:sz="0" w:space="0" w:color="auto"/>
      </w:divBdr>
    </w:div>
    <w:div w:id="1898777034">
      <w:marLeft w:val="0"/>
      <w:marRight w:val="0"/>
      <w:marTop w:val="120"/>
      <w:marBottom w:val="120"/>
      <w:divBdr>
        <w:top w:val="none" w:sz="0" w:space="0" w:color="auto"/>
        <w:left w:val="none" w:sz="0" w:space="0" w:color="auto"/>
        <w:bottom w:val="none" w:sz="0" w:space="0" w:color="auto"/>
        <w:right w:val="none" w:sz="0" w:space="0" w:color="auto"/>
      </w:divBdr>
    </w:div>
    <w:div w:id="1899434592">
      <w:marLeft w:val="0"/>
      <w:marRight w:val="0"/>
      <w:marTop w:val="180"/>
      <w:marBottom w:val="180"/>
      <w:divBdr>
        <w:top w:val="none" w:sz="0" w:space="0" w:color="auto"/>
        <w:left w:val="none" w:sz="0" w:space="0" w:color="auto"/>
        <w:bottom w:val="none" w:sz="0" w:space="0" w:color="auto"/>
        <w:right w:val="none" w:sz="0" w:space="0" w:color="auto"/>
      </w:divBdr>
    </w:div>
    <w:div w:id="1900246606">
      <w:marLeft w:val="0"/>
      <w:marRight w:val="0"/>
      <w:marTop w:val="0"/>
      <w:marBottom w:val="240"/>
      <w:divBdr>
        <w:top w:val="none" w:sz="0" w:space="0" w:color="auto"/>
        <w:left w:val="none" w:sz="0" w:space="0" w:color="auto"/>
        <w:bottom w:val="none" w:sz="0" w:space="0" w:color="auto"/>
        <w:right w:val="none" w:sz="0" w:space="0" w:color="auto"/>
      </w:divBdr>
    </w:div>
    <w:div w:id="1901018389">
      <w:marLeft w:val="0"/>
      <w:marRight w:val="0"/>
      <w:marTop w:val="180"/>
      <w:marBottom w:val="180"/>
      <w:divBdr>
        <w:top w:val="none" w:sz="0" w:space="0" w:color="auto"/>
        <w:left w:val="none" w:sz="0" w:space="0" w:color="auto"/>
        <w:bottom w:val="none" w:sz="0" w:space="0" w:color="auto"/>
        <w:right w:val="none" w:sz="0" w:space="0" w:color="auto"/>
      </w:divBdr>
    </w:div>
    <w:div w:id="1901094604">
      <w:marLeft w:val="0"/>
      <w:marRight w:val="0"/>
      <w:marTop w:val="180"/>
      <w:marBottom w:val="180"/>
      <w:divBdr>
        <w:top w:val="none" w:sz="0" w:space="0" w:color="auto"/>
        <w:left w:val="none" w:sz="0" w:space="0" w:color="auto"/>
        <w:bottom w:val="none" w:sz="0" w:space="0" w:color="auto"/>
        <w:right w:val="none" w:sz="0" w:space="0" w:color="auto"/>
      </w:divBdr>
    </w:div>
    <w:div w:id="1905675926">
      <w:marLeft w:val="0"/>
      <w:marRight w:val="0"/>
      <w:marTop w:val="0"/>
      <w:marBottom w:val="240"/>
      <w:divBdr>
        <w:top w:val="none" w:sz="0" w:space="0" w:color="auto"/>
        <w:left w:val="none" w:sz="0" w:space="0" w:color="auto"/>
        <w:bottom w:val="none" w:sz="0" w:space="0" w:color="auto"/>
        <w:right w:val="none" w:sz="0" w:space="0" w:color="auto"/>
      </w:divBdr>
    </w:div>
    <w:div w:id="1908030272">
      <w:marLeft w:val="0"/>
      <w:marRight w:val="0"/>
      <w:marTop w:val="0"/>
      <w:marBottom w:val="180"/>
      <w:divBdr>
        <w:top w:val="none" w:sz="0" w:space="0" w:color="auto"/>
        <w:left w:val="none" w:sz="0" w:space="0" w:color="auto"/>
        <w:bottom w:val="none" w:sz="0" w:space="0" w:color="auto"/>
        <w:right w:val="none" w:sz="0" w:space="0" w:color="auto"/>
      </w:divBdr>
    </w:div>
    <w:div w:id="1909148178">
      <w:marLeft w:val="0"/>
      <w:marRight w:val="0"/>
      <w:marTop w:val="180"/>
      <w:marBottom w:val="180"/>
      <w:divBdr>
        <w:top w:val="none" w:sz="0" w:space="0" w:color="auto"/>
        <w:left w:val="none" w:sz="0" w:space="0" w:color="auto"/>
        <w:bottom w:val="none" w:sz="0" w:space="0" w:color="auto"/>
        <w:right w:val="none" w:sz="0" w:space="0" w:color="auto"/>
      </w:divBdr>
    </w:div>
    <w:div w:id="1909728581">
      <w:marLeft w:val="0"/>
      <w:marRight w:val="0"/>
      <w:marTop w:val="180"/>
      <w:marBottom w:val="180"/>
      <w:divBdr>
        <w:top w:val="none" w:sz="0" w:space="0" w:color="auto"/>
        <w:left w:val="none" w:sz="0" w:space="0" w:color="auto"/>
        <w:bottom w:val="none" w:sz="0" w:space="0" w:color="auto"/>
        <w:right w:val="none" w:sz="0" w:space="0" w:color="auto"/>
      </w:divBdr>
    </w:div>
    <w:div w:id="1909994454">
      <w:marLeft w:val="0"/>
      <w:marRight w:val="0"/>
      <w:marTop w:val="0"/>
      <w:marBottom w:val="0"/>
      <w:divBdr>
        <w:top w:val="none" w:sz="0" w:space="0" w:color="auto"/>
        <w:left w:val="none" w:sz="0" w:space="0" w:color="auto"/>
        <w:bottom w:val="none" w:sz="0" w:space="0" w:color="auto"/>
        <w:right w:val="none" w:sz="0" w:space="0" w:color="auto"/>
      </w:divBdr>
      <w:divsChild>
        <w:div w:id="30762905">
          <w:marLeft w:val="0"/>
          <w:marRight w:val="0"/>
          <w:marTop w:val="0"/>
          <w:marBottom w:val="0"/>
          <w:divBdr>
            <w:top w:val="none" w:sz="0" w:space="0" w:color="auto"/>
            <w:left w:val="none" w:sz="0" w:space="0" w:color="auto"/>
            <w:bottom w:val="none" w:sz="0" w:space="0" w:color="auto"/>
            <w:right w:val="none" w:sz="0" w:space="0" w:color="auto"/>
          </w:divBdr>
        </w:div>
      </w:divsChild>
    </w:div>
    <w:div w:id="1911499170">
      <w:marLeft w:val="0"/>
      <w:marRight w:val="0"/>
      <w:marTop w:val="0"/>
      <w:marBottom w:val="0"/>
      <w:divBdr>
        <w:top w:val="none" w:sz="0" w:space="0" w:color="auto"/>
        <w:left w:val="none" w:sz="0" w:space="0" w:color="auto"/>
        <w:bottom w:val="none" w:sz="0" w:space="0" w:color="auto"/>
        <w:right w:val="none" w:sz="0" w:space="0" w:color="auto"/>
      </w:divBdr>
      <w:divsChild>
        <w:div w:id="2035619614">
          <w:marLeft w:val="0"/>
          <w:marRight w:val="0"/>
          <w:marTop w:val="0"/>
          <w:marBottom w:val="0"/>
          <w:divBdr>
            <w:top w:val="none" w:sz="0" w:space="0" w:color="auto"/>
            <w:left w:val="none" w:sz="0" w:space="0" w:color="auto"/>
            <w:bottom w:val="none" w:sz="0" w:space="0" w:color="auto"/>
            <w:right w:val="none" w:sz="0" w:space="0" w:color="auto"/>
          </w:divBdr>
        </w:div>
      </w:divsChild>
    </w:div>
    <w:div w:id="1911503868">
      <w:marLeft w:val="0"/>
      <w:marRight w:val="0"/>
      <w:marTop w:val="120"/>
      <w:marBottom w:val="180"/>
      <w:divBdr>
        <w:top w:val="none" w:sz="0" w:space="0" w:color="auto"/>
        <w:left w:val="none" w:sz="0" w:space="0" w:color="auto"/>
        <w:bottom w:val="none" w:sz="0" w:space="0" w:color="auto"/>
        <w:right w:val="none" w:sz="0" w:space="0" w:color="auto"/>
      </w:divBdr>
    </w:div>
    <w:div w:id="1914849595">
      <w:marLeft w:val="0"/>
      <w:marRight w:val="0"/>
      <w:marTop w:val="100"/>
      <w:marBottom w:val="100"/>
      <w:divBdr>
        <w:top w:val="none" w:sz="0" w:space="0" w:color="auto"/>
        <w:left w:val="none" w:sz="0" w:space="0" w:color="auto"/>
        <w:bottom w:val="none" w:sz="0" w:space="0" w:color="auto"/>
        <w:right w:val="none" w:sz="0" w:space="0" w:color="auto"/>
      </w:divBdr>
    </w:div>
    <w:div w:id="1915159262">
      <w:marLeft w:val="0"/>
      <w:marRight w:val="0"/>
      <w:marTop w:val="0"/>
      <w:marBottom w:val="0"/>
      <w:divBdr>
        <w:top w:val="none" w:sz="0" w:space="0" w:color="auto"/>
        <w:left w:val="none" w:sz="0" w:space="0" w:color="auto"/>
        <w:bottom w:val="none" w:sz="0" w:space="0" w:color="auto"/>
        <w:right w:val="none" w:sz="0" w:space="0" w:color="auto"/>
      </w:divBdr>
    </w:div>
    <w:div w:id="1915241532">
      <w:marLeft w:val="0"/>
      <w:marRight w:val="0"/>
      <w:marTop w:val="0"/>
      <w:marBottom w:val="240"/>
      <w:divBdr>
        <w:top w:val="none" w:sz="0" w:space="0" w:color="auto"/>
        <w:left w:val="none" w:sz="0" w:space="0" w:color="auto"/>
        <w:bottom w:val="none" w:sz="0" w:space="0" w:color="auto"/>
        <w:right w:val="none" w:sz="0" w:space="0" w:color="auto"/>
      </w:divBdr>
    </w:div>
    <w:div w:id="1919753506">
      <w:marLeft w:val="0"/>
      <w:marRight w:val="0"/>
      <w:marTop w:val="0"/>
      <w:marBottom w:val="240"/>
      <w:divBdr>
        <w:top w:val="none" w:sz="0" w:space="0" w:color="auto"/>
        <w:left w:val="none" w:sz="0" w:space="0" w:color="auto"/>
        <w:bottom w:val="none" w:sz="0" w:space="0" w:color="auto"/>
        <w:right w:val="none" w:sz="0" w:space="0" w:color="auto"/>
      </w:divBdr>
    </w:div>
    <w:div w:id="1920603357">
      <w:marLeft w:val="0"/>
      <w:marRight w:val="0"/>
      <w:marTop w:val="0"/>
      <w:marBottom w:val="240"/>
      <w:divBdr>
        <w:top w:val="none" w:sz="0" w:space="0" w:color="auto"/>
        <w:left w:val="none" w:sz="0" w:space="0" w:color="auto"/>
        <w:bottom w:val="none" w:sz="0" w:space="0" w:color="auto"/>
        <w:right w:val="none" w:sz="0" w:space="0" w:color="auto"/>
      </w:divBdr>
    </w:div>
    <w:div w:id="1921016191">
      <w:marLeft w:val="0"/>
      <w:marRight w:val="0"/>
      <w:marTop w:val="120"/>
      <w:marBottom w:val="120"/>
      <w:divBdr>
        <w:top w:val="none" w:sz="0" w:space="0" w:color="auto"/>
        <w:left w:val="none" w:sz="0" w:space="0" w:color="auto"/>
        <w:bottom w:val="none" w:sz="0" w:space="0" w:color="auto"/>
        <w:right w:val="none" w:sz="0" w:space="0" w:color="auto"/>
      </w:divBdr>
    </w:div>
    <w:div w:id="1923028194">
      <w:marLeft w:val="0"/>
      <w:marRight w:val="0"/>
      <w:marTop w:val="0"/>
      <w:marBottom w:val="120"/>
      <w:divBdr>
        <w:top w:val="none" w:sz="0" w:space="0" w:color="auto"/>
        <w:left w:val="none" w:sz="0" w:space="0" w:color="auto"/>
        <w:bottom w:val="none" w:sz="0" w:space="0" w:color="auto"/>
        <w:right w:val="none" w:sz="0" w:space="0" w:color="auto"/>
      </w:divBdr>
    </w:div>
    <w:div w:id="1924681140">
      <w:marLeft w:val="0"/>
      <w:marRight w:val="0"/>
      <w:marTop w:val="100"/>
      <w:marBottom w:val="100"/>
      <w:divBdr>
        <w:top w:val="none" w:sz="0" w:space="0" w:color="auto"/>
        <w:left w:val="none" w:sz="0" w:space="0" w:color="auto"/>
        <w:bottom w:val="none" w:sz="0" w:space="0" w:color="auto"/>
        <w:right w:val="none" w:sz="0" w:space="0" w:color="auto"/>
      </w:divBdr>
    </w:div>
    <w:div w:id="1926374108">
      <w:marLeft w:val="0"/>
      <w:marRight w:val="0"/>
      <w:marTop w:val="0"/>
      <w:marBottom w:val="180"/>
      <w:divBdr>
        <w:top w:val="none" w:sz="0" w:space="0" w:color="auto"/>
        <w:left w:val="none" w:sz="0" w:space="0" w:color="auto"/>
        <w:bottom w:val="none" w:sz="0" w:space="0" w:color="auto"/>
        <w:right w:val="none" w:sz="0" w:space="0" w:color="auto"/>
      </w:divBdr>
    </w:div>
    <w:div w:id="1931280399">
      <w:marLeft w:val="0"/>
      <w:marRight w:val="0"/>
      <w:marTop w:val="120"/>
      <w:marBottom w:val="120"/>
      <w:divBdr>
        <w:top w:val="none" w:sz="0" w:space="0" w:color="auto"/>
        <w:left w:val="none" w:sz="0" w:space="0" w:color="auto"/>
        <w:bottom w:val="none" w:sz="0" w:space="0" w:color="auto"/>
        <w:right w:val="none" w:sz="0" w:space="0" w:color="auto"/>
      </w:divBdr>
    </w:div>
    <w:div w:id="1932154880">
      <w:marLeft w:val="0"/>
      <w:marRight w:val="0"/>
      <w:marTop w:val="0"/>
      <w:marBottom w:val="240"/>
      <w:divBdr>
        <w:top w:val="none" w:sz="0" w:space="0" w:color="auto"/>
        <w:left w:val="none" w:sz="0" w:space="0" w:color="auto"/>
        <w:bottom w:val="none" w:sz="0" w:space="0" w:color="auto"/>
        <w:right w:val="none" w:sz="0" w:space="0" w:color="auto"/>
      </w:divBdr>
    </w:div>
    <w:div w:id="1932617777">
      <w:marLeft w:val="0"/>
      <w:marRight w:val="0"/>
      <w:marTop w:val="0"/>
      <w:marBottom w:val="0"/>
      <w:divBdr>
        <w:top w:val="none" w:sz="0" w:space="0" w:color="auto"/>
        <w:left w:val="none" w:sz="0" w:space="0" w:color="auto"/>
        <w:bottom w:val="none" w:sz="0" w:space="0" w:color="auto"/>
        <w:right w:val="none" w:sz="0" w:space="0" w:color="auto"/>
      </w:divBdr>
    </w:div>
    <w:div w:id="1936091506">
      <w:marLeft w:val="0"/>
      <w:marRight w:val="0"/>
      <w:marTop w:val="0"/>
      <w:marBottom w:val="0"/>
      <w:divBdr>
        <w:top w:val="none" w:sz="0" w:space="0" w:color="auto"/>
        <w:left w:val="none" w:sz="0" w:space="0" w:color="auto"/>
        <w:bottom w:val="none" w:sz="0" w:space="0" w:color="auto"/>
        <w:right w:val="none" w:sz="0" w:space="0" w:color="auto"/>
      </w:divBdr>
    </w:div>
    <w:div w:id="1937398102">
      <w:marLeft w:val="0"/>
      <w:marRight w:val="0"/>
      <w:marTop w:val="180"/>
      <w:marBottom w:val="180"/>
      <w:divBdr>
        <w:top w:val="none" w:sz="0" w:space="0" w:color="auto"/>
        <w:left w:val="none" w:sz="0" w:space="0" w:color="auto"/>
        <w:bottom w:val="none" w:sz="0" w:space="0" w:color="auto"/>
        <w:right w:val="none" w:sz="0" w:space="0" w:color="auto"/>
      </w:divBdr>
    </w:div>
    <w:div w:id="1940290052">
      <w:marLeft w:val="0"/>
      <w:marRight w:val="0"/>
      <w:marTop w:val="120"/>
      <w:marBottom w:val="120"/>
      <w:divBdr>
        <w:top w:val="none" w:sz="0" w:space="0" w:color="auto"/>
        <w:left w:val="none" w:sz="0" w:space="0" w:color="auto"/>
        <w:bottom w:val="none" w:sz="0" w:space="0" w:color="auto"/>
        <w:right w:val="none" w:sz="0" w:space="0" w:color="auto"/>
      </w:divBdr>
    </w:div>
    <w:div w:id="1940748106">
      <w:marLeft w:val="0"/>
      <w:marRight w:val="0"/>
      <w:marTop w:val="0"/>
      <w:marBottom w:val="0"/>
      <w:divBdr>
        <w:top w:val="none" w:sz="0" w:space="0" w:color="auto"/>
        <w:left w:val="none" w:sz="0" w:space="0" w:color="auto"/>
        <w:bottom w:val="none" w:sz="0" w:space="0" w:color="auto"/>
        <w:right w:val="none" w:sz="0" w:space="0" w:color="auto"/>
      </w:divBdr>
      <w:divsChild>
        <w:div w:id="1219174095">
          <w:marLeft w:val="0"/>
          <w:marRight w:val="0"/>
          <w:marTop w:val="0"/>
          <w:marBottom w:val="0"/>
          <w:divBdr>
            <w:top w:val="none" w:sz="0" w:space="0" w:color="auto"/>
            <w:left w:val="none" w:sz="0" w:space="0" w:color="auto"/>
            <w:bottom w:val="none" w:sz="0" w:space="0" w:color="auto"/>
            <w:right w:val="none" w:sz="0" w:space="0" w:color="auto"/>
          </w:divBdr>
        </w:div>
      </w:divsChild>
    </w:div>
    <w:div w:id="1941062345">
      <w:marLeft w:val="0"/>
      <w:marRight w:val="0"/>
      <w:marTop w:val="180"/>
      <w:marBottom w:val="180"/>
      <w:divBdr>
        <w:top w:val="none" w:sz="0" w:space="0" w:color="auto"/>
        <w:left w:val="none" w:sz="0" w:space="0" w:color="auto"/>
        <w:bottom w:val="none" w:sz="0" w:space="0" w:color="auto"/>
        <w:right w:val="none" w:sz="0" w:space="0" w:color="auto"/>
      </w:divBdr>
    </w:div>
    <w:div w:id="1941597756">
      <w:marLeft w:val="0"/>
      <w:marRight w:val="0"/>
      <w:marTop w:val="0"/>
      <w:marBottom w:val="0"/>
      <w:divBdr>
        <w:top w:val="none" w:sz="0" w:space="0" w:color="auto"/>
        <w:left w:val="none" w:sz="0" w:space="0" w:color="auto"/>
        <w:bottom w:val="none" w:sz="0" w:space="0" w:color="auto"/>
        <w:right w:val="none" w:sz="0" w:space="0" w:color="auto"/>
      </w:divBdr>
    </w:div>
    <w:div w:id="1941909397">
      <w:marLeft w:val="0"/>
      <w:marRight w:val="0"/>
      <w:marTop w:val="0"/>
      <w:marBottom w:val="180"/>
      <w:divBdr>
        <w:top w:val="none" w:sz="0" w:space="0" w:color="auto"/>
        <w:left w:val="none" w:sz="0" w:space="0" w:color="auto"/>
        <w:bottom w:val="none" w:sz="0" w:space="0" w:color="auto"/>
        <w:right w:val="none" w:sz="0" w:space="0" w:color="auto"/>
      </w:divBdr>
    </w:div>
    <w:div w:id="1942487355">
      <w:marLeft w:val="0"/>
      <w:marRight w:val="0"/>
      <w:marTop w:val="0"/>
      <w:marBottom w:val="180"/>
      <w:divBdr>
        <w:top w:val="none" w:sz="0" w:space="0" w:color="auto"/>
        <w:left w:val="none" w:sz="0" w:space="0" w:color="auto"/>
        <w:bottom w:val="none" w:sz="0" w:space="0" w:color="auto"/>
        <w:right w:val="none" w:sz="0" w:space="0" w:color="auto"/>
      </w:divBdr>
    </w:div>
    <w:div w:id="1942493357">
      <w:marLeft w:val="0"/>
      <w:marRight w:val="0"/>
      <w:marTop w:val="120"/>
      <w:marBottom w:val="120"/>
      <w:divBdr>
        <w:top w:val="none" w:sz="0" w:space="0" w:color="auto"/>
        <w:left w:val="none" w:sz="0" w:space="0" w:color="auto"/>
        <w:bottom w:val="none" w:sz="0" w:space="0" w:color="auto"/>
        <w:right w:val="none" w:sz="0" w:space="0" w:color="auto"/>
      </w:divBdr>
    </w:div>
    <w:div w:id="1944410649">
      <w:marLeft w:val="0"/>
      <w:marRight w:val="0"/>
      <w:marTop w:val="0"/>
      <w:marBottom w:val="0"/>
      <w:divBdr>
        <w:top w:val="none" w:sz="0" w:space="0" w:color="auto"/>
        <w:left w:val="none" w:sz="0" w:space="0" w:color="auto"/>
        <w:bottom w:val="none" w:sz="0" w:space="0" w:color="auto"/>
        <w:right w:val="none" w:sz="0" w:space="0" w:color="auto"/>
      </w:divBdr>
    </w:div>
    <w:div w:id="1947348218">
      <w:marLeft w:val="0"/>
      <w:marRight w:val="0"/>
      <w:marTop w:val="100"/>
      <w:marBottom w:val="100"/>
      <w:divBdr>
        <w:top w:val="none" w:sz="0" w:space="0" w:color="auto"/>
        <w:left w:val="none" w:sz="0" w:space="0" w:color="auto"/>
        <w:bottom w:val="none" w:sz="0" w:space="0" w:color="auto"/>
        <w:right w:val="none" w:sz="0" w:space="0" w:color="auto"/>
      </w:divBdr>
      <w:divsChild>
        <w:div w:id="1885629289">
          <w:marLeft w:val="0"/>
          <w:marRight w:val="0"/>
          <w:marTop w:val="0"/>
          <w:marBottom w:val="0"/>
          <w:divBdr>
            <w:top w:val="none" w:sz="0" w:space="0" w:color="auto"/>
            <w:left w:val="none" w:sz="0" w:space="0" w:color="auto"/>
            <w:bottom w:val="none" w:sz="0" w:space="0" w:color="auto"/>
            <w:right w:val="none" w:sz="0" w:space="0" w:color="auto"/>
          </w:divBdr>
        </w:div>
        <w:div w:id="1297835695">
          <w:marLeft w:val="0"/>
          <w:marRight w:val="0"/>
          <w:marTop w:val="0"/>
          <w:marBottom w:val="0"/>
          <w:divBdr>
            <w:top w:val="none" w:sz="0" w:space="0" w:color="auto"/>
            <w:left w:val="none" w:sz="0" w:space="0" w:color="auto"/>
            <w:bottom w:val="none" w:sz="0" w:space="0" w:color="auto"/>
            <w:right w:val="none" w:sz="0" w:space="0" w:color="auto"/>
          </w:divBdr>
        </w:div>
      </w:divsChild>
    </w:div>
    <w:div w:id="1948542075">
      <w:marLeft w:val="0"/>
      <w:marRight w:val="0"/>
      <w:marTop w:val="0"/>
      <w:marBottom w:val="240"/>
      <w:divBdr>
        <w:top w:val="none" w:sz="0" w:space="0" w:color="auto"/>
        <w:left w:val="none" w:sz="0" w:space="0" w:color="auto"/>
        <w:bottom w:val="none" w:sz="0" w:space="0" w:color="auto"/>
        <w:right w:val="none" w:sz="0" w:space="0" w:color="auto"/>
      </w:divBdr>
    </w:div>
    <w:div w:id="1949581882">
      <w:marLeft w:val="0"/>
      <w:marRight w:val="0"/>
      <w:marTop w:val="0"/>
      <w:marBottom w:val="180"/>
      <w:divBdr>
        <w:top w:val="none" w:sz="0" w:space="0" w:color="auto"/>
        <w:left w:val="none" w:sz="0" w:space="0" w:color="auto"/>
        <w:bottom w:val="none" w:sz="0" w:space="0" w:color="auto"/>
        <w:right w:val="none" w:sz="0" w:space="0" w:color="auto"/>
      </w:divBdr>
    </w:div>
    <w:div w:id="1950316375">
      <w:marLeft w:val="0"/>
      <w:marRight w:val="0"/>
      <w:marTop w:val="0"/>
      <w:marBottom w:val="0"/>
      <w:divBdr>
        <w:top w:val="none" w:sz="0" w:space="0" w:color="auto"/>
        <w:left w:val="none" w:sz="0" w:space="0" w:color="auto"/>
        <w:bottom w:val="none" w:sz="0" w:space="0" w:color="auto"/>
        <w:right w:val="none" w:sz="0" w:space="0" w:color="auto"/>
      </w:divBdr>
      <w:divsChild>
        <w:div w:id="463816398">
          <w:marLeft w:val="0"/>
          <w:marRight w:val="0"/>
          <w:marTop w:val="0"/>
          <w:marBottom w:val="0"/>
          <w:divBdr>
            <w:top w:val="none" w:sz="0" w:space="0" w:color="auto"/>
            <w:left w:val="none" w:sz="0" w:space="0" w:color="auto"/>
            <w:bottom w:val="none" w:sz="0" w:space="0" w:color="auto"/>
            <w:right w:val="none" w:sz="0" w:space="0" w:color="auto"/>
          </w:divBdr>
        </w:div>
      </w:divsChild>
    </w:div>
    <w:div w:id="1952080117">
      <w:marLeft w:val="0"/>
      <w:marRight w:val="0"/>
      <w:marTop w:val="0"/>
      <w:marBottom w:val="240"/>
      <w:divBdr>
        <w:top w:val="none" w:sz="0" w:space="0" w:color="auto"/>
        <w:left w:val="none" w:sz="0" w:space="0" w:color="auto"/>
        <w:bottom w:val="none" w:sz="0" w:space="0" w:color="auto"/>
        <w:right w:val="none" w:sz="0" w:space="0" w:color="auto"/>
      </w:divBdr>
    </w:div>
    <w:div w:id="1953971162">
      <w:marLeft w:val="0"/>
      <w:marRight w:val="0"/>
      <w:marTop w:val="0"/>
      <w:marBottom w:val="0"/>
      <w:divBdr>
        <w:top w:val="none" w:sz="0" w:space="0" w:color="auto"/>
        <w:left w:val="none" w:sz="0" w:space="0" w:color="auto"/>
        <w:bottom w:val="none" w:sz="0" w:space="0" w:color="auto"/>
        <w:right w:val="none" w:sz="0" w:space="0" w:color="auto"/>
      </w:divBdr>
    </w:div>
    <w:div w:id="1955481476">
      <w:marLeft w:val="0"/>
      <w:marRight w:val="0"/>
      <w:marTop w:val="180"/>
      <w:marBottom w:val="180"/>
      <w:divBdr>
        <w:top w:val="none" w:sz="0" w:space="0" w:color="auto"/>
        <w:left w:val="none" w:sz="0" w:space="0" w:color="auto"/>
        <w:bottom w:val="none" w:sz="0" w:space="0" w:color="auto"/>
        <w:right w:val="none" w:sz="0" w:space="0" w:color="auto"/>
      </w:divBdr>
    </w:div>
    <w:div w:id="1955794220">
      <w:marLeft w:val="0"/>
      <w:marRight w:val="0"/>
      <w:marTop w:val="0"/>
      <w:marBottom w:val="0"/>
      <w:divBdr>
        <w:top w:val="none" w:sz="0" w:space="0" w:color="auto"/>
        <w:left w:val="none" w:sz="0" w:space="0" w:color="auto"/>
        <w:bottom w:val="none" w:sz="0" w:space="0" w:color="auto"/>
        <w:right w:val="none" w:sz="0" w:space="0" w:color="auto"/>
      </w:divBdr>
    </w:div>
    <w:div w:id="1956326944">
      <w:marLeft w:val="0"/>
      <w:marRight w:val="0"/>
      <w:marTop w:val="100"/>
      <w:marBottom w:val="100"/>
      <w:divBdr>
        <w:top w:val="none" w:sz="0" w:space="0" w:color="auto"/>
        <w:left w:val="none" w:sz="0" w:space="0" w:color="auto"/>
        <w:bottom w:val="none" w:sz="0" w:space="0" w:color="auto"/>
        <w:right w:val="none" w:sz="0" w:space="0" w:color="auto"/>
      </w:divBdr>
      <w:divsChild>
        <w:div w:id="315187306">
          <w:marLeft w:val="0"/>
          <w:marRight w:val="0"/>
          <w:marTop w:val="0"/>
          <w:marBottom w:val="0"/>
          <w:divBdr>
            <w:top w:val="none" w:sz="0" w:space="0" w:color="auto"/>
            <w:left w:val="none" w:sz="0" w:space="0" w:color="auto"/>
            <w:bottom w:val="none" w:sz="0" w:space="0" w:color="auto"/>
            <w:right w:val="none" w:sz="0" w:space="0" w:color="auto"/>
          </w:divBdr>
        </w:div>
      </w:divsChild>
    </w:div>
    <w:div w:id="1957172969">
      <w:marLeft w:val="0"/>
      <w:marRight w:val="0"/>
      <w:marTop w:val="180"/>
      <w:marBottom w:val="180"/>
      <w:divBdr>
        <w:top w:val="none" w:sz="0" w:space="0" w:color="auto"/>
        <w:left w:val="none" w:sz="0" w:space="0" w:color="auto"/>
        <w:bottom w:val="none" w:sz="0" w:space="0" w:color="auto"/>
        <w:right w:val="none" w:sz="0" w:space="0" w:color="auto"/>
      </w:divBdr>
    </w:div>
    <w:div w:id="1959145835">
      <w:marLeft w:val="0"/>
      <w:marRight w:val="0"/>
      <w:marTop w:val="0"/>
      <w:marBottom w:val="0"/>
      <w:divBdr>
        <w:top w:val="none" w:sz="0" w:space="0" w:color="auto"/>
        <w:left w:val="none" w:sz="0" w:space="0" w:color="auto"/>
        <w:bottom w:val="none" w:sz="0" w:space="0" w:color="auto"/>
        <w:right w:val="none" w:sz="0" w:space="0" w:color="auto"/>
      </w:divBdr>
      <w:divsChild>
        <w:div w:id="1687442778">
          <w:marLeft w:val="0"/>
          <w:marRight w:val="0"/>
          <w:marTop w:val="0"/>
          <w:marBottom w:val="0"/>
          <w:divBdr>
            <w:top w:val="none" w:sz="0" w:space="0" w:color="auto"/>
            <w:left w:val="none" w:sz="0" w:space="0" w:color="auto"/>
            <w:bottom w:val="none" w:sz="0" w:space="0" w:color="auto"/>
            <w:right w:val="none" w:sz="0" w:space="0" w:color="auto"/>
          </w:divBdr>
        </w:div>
      </w:divsChild>
    </w:div>
    <w:div w:id="1959723949">
      <w:marLeft w:val="0"/>
      <w:marRight w:val="0"/>
      <w:marTop w:val="180"/>
      <w:marBottom w:val="180"/>
      <w:divBdr>
        <w:top w:val="none" w:sz="0" w:space="0" w:color="auto"/>
        <w:left w:val="none" w:sz="0" w:space="0" w:color="auto"/>
        <w:bottom w:val="none" w:sz="0" w:space="0" w:color="auto"/>
        <w:right w:val="none" w:sz="0" w:space="0" w:color="auto"/>
      </w:divBdr>
    </w:div>
    <w:div w:id="1960336631">
      <w:marLeft w:val="0"/>
      <w:marRight w:val="0"/>
      <w:marTop w:val="0"/>
      <w:marBottom w:val="0"/>
      <w:divBdr>
        <w:top w:val="none" w:sz="0" w:space="0" w:color="auto"/>
        <w:left w:val="none" w:sz="0" w:space="0" w:color="auto"/>
        <w:bottom w:val="none" w:sz="0" w:space="0" w:color="auto"/>
        <w:right w:val="none" w:sz="0" w:space="0" w:color="auto"/>
      </w:divBdr>
    </w:div>
    <w:div w:id="1962027086">
      <w:marLeft w:val="0"/>
      <w:marRight w:val="0"/>
      <w:marTop w:val="180"/>
      <w:marBottom w:val="240"/>
      <w:divBdr>
        <w:top w:val="none" w:sz="0" w:space="0" w:color="auto"/>
        <w:left w:val="none" w:sz="0" w:space="0" w:color="auto"/>
        <w:bottom w:val="none" w:sz="0" w:space="0" w:color="auto"/>
        <w:right w:val="none" w:sz="0" w:space="0" w:color="auto"/>
      </w:divBdr>
    </w:div>
    <w:div w:id="1963607054">
      <w:marLeft w:val="0"/>
      <w:marRight w:val="0"/>
      <w:marTop w:val="0"/>
      <w:marBottom w:val="180"/>
      <w:divBdr>
        <w:top w:val="none" w:sz="0" w:space="0" w:color="auto"/>
        <w:left w:val="none" w:sz="0" w:space="0" w:color="auto"/>
        <w:bottom w:val="none" w:sz="0" w:space="0" w:color="auto"/>
        <w:right w:val="none" w:sz="0" w:space="0" w:color="auto"/>
      </w:divBdr>
    </w:div>
    <w:div w:id="1963733091">
      <w:marLeft w:val="0"/>
      <w:marRight w:val="0"/>
      <w:marTop w:val="0"/>
      <w:marBottom w:val="180"/>
      <w:divBdr>
        <w:top w:val="none" w:sz="0" w:space="0" w:color="auto"/>
        <w:left w:val="none" w:sz="0" w:space="0" w:color="auto"/>
        <w:bottom w:val="none" w:sz="0" w:space="0" w:color="auto"/>
        <w:right w:val="none" w:sz="0" w:space="0" w:color="auto"/>
      </w:divBdr>
    </w:div>
    <w:div w:id="1963807280">
      <w:marLeft w:val="0"/>
      <w:marRight w:val="0"/>
      <w:marTop w:val="0"/>
      <w:marBottom w:val="240"/>
      <w:divBdr>
        <w:top w:val="none" w:sz="0" w:space="0" w:color="auto"/>
        <w:left w:val="none" w:sz="0" w:space="0" w:color="auto"/>
        <w:bottom w:val="none" w:sz="0" w:space="0" w:color="auto"/>
        <w:right w:val="none" w:sz="0" w:space="0" w:color="auto"/>
      </w:divBdr>
    </w:div>
    <w:div w:id="1963919813">
      <w:marLeft w:val="0"/>
      <w:marRight w:val="0"/>
      <w:marTop w:val="0"/>
      <w:marBottom w:val="0"/>
      <w:divBdr>
        <w:top w:val="none" w:sz="0" w:space="0" w:color="auto"/>
        <w:left w:val="none" w:sz="0" w:space="0" w:color="auto"/>
        <w:bottom w:val="none" w:sz="0" w:space="0" w:color="auto"/>
        <w:right w:val="none" w:sz="0" w:space="0" w:color="auto"/>
      </w:divBdr>
      <w:divsChild>
        <w:div w:id="1904829550">
          <w:marLeft w:val="0"/>
          <w:marRight w:val="0"/>
          <w:marTop w:val="0"/>
          <w:marBottom w:val="0"/>
          <w:divBdr>
            <w:top w:val="none" w:sz="0" w:space="0" w:color="auto"/>
            <w:left w:val="none" w:sz="0" w:space="0" w:color="auto"/>
            <w:bottom w:val="none" w:sz="0" w:space="0" w:color="auto"/>
            <w:right w:val="none" w:sz="0" w:space="0" w:color="auto"/>
          </w:divBdr>
        </w:div>
      </w:divsChild>
    </w:div>
    <w:div w:id="1965885597">
      <w:marLeft w:val="0"/>
      <w:marRight w:val="0"/>
      <w:marTop w:val="120"/>
      <w:marBottom w:val="120"/>
      <w:divBdr>
        <w:top w:val="none" w:sz="0" w:space="0" w:color="auto"/>
        <w:left w:val="none" w:sz="0" w:space="0" w:color="auto"/>
        <w:bottom w:val="none" w:sz="0" w:space="0" w:color="auto"/>
        <w:right w:val="none" w:sz="0" w:space="0" w:color="auto"/>
      </w:divBdr>
    </w:div>
    <w:div w:id="1967808967">
      <w:marLeft w:val="0"/>
      <w:marRight w:val="0"/>
      <w:marTop w:val="0"/>
      <w:marBottom w:val="0"/>
      <w:divBdr>
        <w:top w:val="none" w:sz="0" w:space="0" w:color="auto"/>
        <w:left w:val="none" w:sz="0" w:space="0" w:color="auto"/>
        <w:bottom w:val="none" w:sz="0" w:space="0" w:color="auto"/>
        <w:right w:val="none" w:sz="0" w:space="0" w:color="auto"/>
      </w:divBdr>
    </w:div>
    <w:div w:id="1971200405">
      <w:marLeft w:val="0"/>
      <w:marRight w:val="0"/>
      <w:marTop w:val="180"/>
      <w:marBottom w:val="180"/>
      <w:divBdr>
        <w:top w:val="none" w:sz="0" w:space="0" w:color="auto"/>
        <w:left w:val="none" w:sz="0" w:space="0" w:color="auto"/>
        <w:bottom w:val="none" w:sz="0" w:space="0" w:color="auto"/>
        <w:right w:val="none" w:sz="0" w:space="0" w:color="auto"/>
      </w:divBdr>
    </w:div>
    <w:div w:id="1972980550">
      <w:marLeft w:val="0"/>
      <w:marRight w:val="0"/>
      <w:marTop w:val="0"/>
      <w:marBottom w:val="240"/>
      <w:divBdr>
        <w:top w:val="none" w:sz="0" w:space="0" w:color="auto"/>
        <w:left w:val="none" w:sz="0" w:space="0" w:color="auto"/>
        <w:bottom w:val="none" w:sz="0" w:space="0" w:color="auto"/>
        <w:right w:val="none" w:sz="0" w:space="0" w:color="auto"/>
      </w:divBdr>
    </w:div>
    <w:div w:id="1973904957">
      <w:marLeft w:val="0"/>
      <w:marRight w:val="0"/>
      <w:marTop w:val="0"/>
      <w:marBottom w:val="240"/>
      <w:divBdr>
        <w:top w:val="none" w:sz="0" w:space="0" w:color="auto"/>
        <w:left w:val="none" w:sz="0" w:space="0" w:color="auto"/>
        <w:bottom w:val="none" w:sz="0" w:space="0" w:color="auto"/>
        <w:right w:val="none" w:sz="0" w:space="0" w:color="auto"/>
      </w:divBdr>
    </w:div>
    <w:div w:id="1975332404">
      <w:marLeft w:val="0"/>
      <w:marRight w:val="0"/>
      <w:marTop w:val="0"/>
      <w:marBottom w:val="0"/>
      <w:divBdr>
        <w:top w:val="none" w:sz="0" w:space="0" w:color="auto"/>
        <w:left w:val="none" w:sz="0" w:space="0" w:color="auto"/>
        <w:bottom w:val="none" w:sz="0" w:space="0" w:color="auto"/>
        <w:right w:val="none" w:sz="0" w:space="0" w:color="auto"/>
      </w:divBdr>
      <w:divsChild>
        <w:div w:id="1798718472">
          <w:marLeft w:val="0"/>
          <w:marRight w:val="0"/>
          <w:marTop w:val="0"/>
          <w:marBottom w:val="0"/>
          <w:divBdr>
            <w:top w:val="none" w:sz="0" w:space="0" w:color="auto"/>
            <w:left w:val="none" w:sz="0" w:space="0" w:color="auto"/>
            <w:bottom w:val="none" w:sz="0" w:space="0" w:color="auto"/>
            <w:right w:val="none" w:sz="0" w:space="0" w:color="auto"/>
          </w:divBdr>
        </w:div>
      </w:divsChild>
    </w:div>
    <w:div w:id="1976526495">
      <w:marLeft w:val="0"/>
      <w:marRight w:val="0"/>
      <w:marTop w:val="120"/>
      <w:marBottom w:val="120"/>
      <w:divBdr>
        <w:top w:val="none" w:sz="0" w:space="0" w:color="auto"/>
        <w:left w:val="none" w:sz="0" w:space="0" w:color="auto"/>
        <w:bottom w:val="none" w:sz="0" w:space="0" w:color="auto"/>
        <w:right w:val="none" w:sz="0" w:space="0" w:color="auto"/>
      </w:divBdr>
    </w:div>
    <w:div w:id="1977833952">
      <w:marLeft w:val="0"/>
      <w:marRight w:val="0"/>
      <w:marTop w:val="0"/>
      <w:marBottom w:val="240"/>
      <w:divBdr>
        <w:top w:val="none" w:sz="0" w:space="0" w:color="auto"/>
        <w:left w:val="none" w:sz="0" w:space="0" w:color="auto"/>
        <w:bottom w:val="none" w:sz="0" w:space="0" w:color="auto"/>
        <w:right w:val="none" w:sz="0" w:space="0" w:color="auto"/>
      </w:divBdr>
    </w:div>
    <w:div w:id="1977951335">
      <w:marLeft w:val="0"/>
      <w:marRight w:val="0"/>
      <w:marTop w:val="0"/>
      <w:marBottom w:val="180"/>
      <w:divBdr>
        <w:top w:val="none" w:sz="0" w:space="0" w:color="auto"/>
        <w:left w:val="none" w:sz="0" w:space="0" w:color="auto"/>
        <w:bottom w:val="none" w:sz="0" w:space="0" w:color="auto"/>
        <w:right w:val="none" w:sz="0" w:space="0" w:color="auto"/>
      </w:divBdr>
    </w:div>
    <w:div w:id="1978757304">
      <w:marLeft w:val="0"/>
      <w:marRight w:val="0"/>
      <w:marTop w:val="180"/>
      <w:marBottom w:val="180"/>
      <w:divBdr>
        <w:top w:val="none" w:sz="0" w:space="0" w:color="auto"/>
        <w:left w:val="none" w:sz="0" w:space="0" w:color="auto"/>
        <w:bottom w:val="none" w:sz="0" w:space="0" w:color="auto"/>
        <w:right w:val="none" w:sz="0" w:space="0" w:color="auto"/>
      </w:divBdr>
    </w:div>
    <w:div w:id="1982688217">
      <w:marLeft w:val="0"/>
      <w:marRight w:val="0"/>
      <w:marTop w:val="0"/>
      <w:marBottom w:val="240"/>
      <w:divBdr>
        <w:top w:val="none" w:sz="0" w:space="0" w:color="auto"/>
        <w:left w:val="none" w:sz="0" w:space="0" w:color="auto"/>
        <w:bottom w:val="none" w:sz="0" w:space="0" w:color="auto"/>
        <w:right w:val="none" w:sz="0" w:space="0" w:color="auto"/>
      </w:divBdr>
    </w:div>
    <w:div w:id="1983072764">
      <w:marLeft w:val="0"/>
      <w:marRight w:val="0"/>
      <w:marTop w:val="0"/>
      <w:marBottom w:val="240"/>
      <w:divBdr>
        <w:top w:val="none" w:sz="0" w:space="0" w:color="auto"/>
        <w:left w:val="none" w:sz="0" w:space="0" w:color="auto"/>
        <w:bottom w:val="none" w:sz="0" w:space="0" w:color="auto"/>
        <w:right w:val="none" w:sz="0" w:space="0" w:color="auto"/>
      </w:divBdr>
    </w:div>
    <w:div w:id="1983149511">
      <w:marLeft w:val="0"/>
      <w:marRight w:val="0"/>
      <w:marTop w:val="0"/>
      <w:marBottom w:val="0"/>
      <w:divBdr>
        <w:top w:val="none" w:sz="0" w:space="0" w:color="auto"/>
        <w:left w:val="none" w:sz="0" w:space="0" w:color="auto"/>
        <w:bottom w:val="none" w:sz="0" w:space="0" w:color="auto"/>
        <w:right w:val="none" w:sz="0" w:space="0" w:color="auto"/>
      </w:divBdr>
    </w:div>
    <w:div w:id="1984309775">
      <w:marLeft w:val="0"/>
      <w:marRight w:val="0"/>
      <w:marTop w:val="0"/>
      <w:marBottom w:val="0"/>
      <w:divBdr>
        <w:top w:val="none" w:sz="0" w:space="0" w:color="auto"/>
        <w:left w:val="none" w:sz="0" w:space="0" w:color="auto"/>
        <w:bottom w:val="none" w:sz="0" w:space="0" w:color="auto"/>
        <w:right w:val="none" w:sz="0" w:space="0" w:color="auto"/>
      </w:divBdr>
      <w:divsChild>
        <w:div w:id="1862893323">
          <w:marLeft w:val="0"/>
          <w:marRight w:val="0"/>
          <w:marTop w:val="0"/>
          <w:marBottom w:val="0"/>
          <w:divBdr>
            <w:top w:val="none" w:sz="0" w:space="0" w:color="auto"/>
            <w:left w:val="none" w:sz="0" w:space="0" w:color="auto"/>
            <w:bottom w:val="none" w:sz="0" w:space="0" w:color="auto"/>
            <w:right w:val="none" w:sz="0" w:space="0" w:color="auto"/>
          </w:divBdr>
        </w:div>
      </w:divsChild>
    </w:div>
    <w:div w:id="1985046080">
      <w:marLeft w:val="0"/>
      <w:marRight w:val="0"/>
      <w:marTop w:val="0"/>
      <w:marBottom w:val="240"/>
      <w:divBdr>
        <w:top w:val="none" w:sz="0" w:space="0" w:color="auto"/>
        <w:left w:val="none" w:sz="0" w:space="0" w:color="auto"/>
        <w:bottom w:val="none" w:sz="0" w:space="0" w:color="auto"/>
        <w:right w:val="none" w:sz="0" w:space="0" w:color="auto"/>
      </w:divBdr>
    </w:div>
    <w:div w:id="1986155835">
      <w:marLeft w:val="0"/>
      <w:marRight w:val="0"/>
      <w:marTop w:val="0"/>
      <w:marBottom w:val="180"/>
      <w:divBdr>
        <w:top w:val="none" w:sz="0" w:space="0" w:color="auto"/>
        <w:left w:val="none" w:sz="0" w:space="0" w:color="auto"/>
        <w:bottom w:val="none" w:sz="0" w:space="0" w:color="auto"/>
        <w:right w:val="none" w:sz="0" w:space="0" w:color="auto"/>
      </w:divBdr>
    </w:div>
    <w:div w:id="1986667486">
      <w:marLeft w:val="0"/>
      <w:marRight w:val="0"/>
      <w:marTop w:val="0"/>
      <w:marBottom w:val="0"/>
      <w:divBdr>
        <w:top w:val="none" w:sz="0" w:space="0" w:color="auto"/>
        <w:left w:val="none" w:sz="0" w:space="0" w:color="auto"/>
        <w:bottom w:val="none" w:sz="0" w:space="0" w:color="auto"/>
        <w:right w:val="none" w:sz="0" w:space="0" w:color="auto"/>
      </w:divBdr>
    </w:div>
    <w:div w:id="1988314470">
      <w:marLeft w:val="0"/>
      <w:marRight w:val="0"/>
      <w:marTop w:val="0"/>
      <w:marBottom w:val="0"/>
      <w:divBdr>
        <w:top w:val="none" w:sz="0" w:space="0" w:color="auto"/>
        <w:left w:val="none" w:sz="0" w:space="0" w:color="auto"/>
        <w:bottom w:val="none" w:sz="0" w:space="0" w:color="auto"/>
        <w:right w:val="none" w:sz="0" w:space="0" w:color="auto"/>
      </w:divBdr>
    </w:div>
    <w:div w:id="1989046474">
      <w:marLeft w:val="0"/>
      <w:marRight w:val="0"/>
      <w:marTop w:val="100"/>
      <w:marBottom w:val="100"/>
      <w:divBdr>
        <w:top w:val="none" w:sz="0" w:space="0" w:color="auto"/>
        <w:left w:val="none" w:sz="0" w:space="0" w:color="auto"/>
        <w:bottom w:val="none" w:sz="0" w:space="0" w:color="auto"/>
        <w:right w:val="none" w:sz="0" w:space="0" w:color="auto"/>
      </w:divBdr>
    </w:div>
    <w:div w:id="1989162680">
      <w:marLeft w:val="0"/>
      <w:marRight w:val="0"/>
      <w:marTop w:val="180"/>
      <w:marBottom w:val="180"/>
      <w:divBdr>
        <w:top w:val="none" w:sz="0" w:space="0" w:color="auto"/>
        <w:left w:val="none" w:sz="0" w:space="0" w:color="auto"/>
        <w:bottom w:val="none" w:sz="0" w:space="0" w:color="auto"/>
        <w:right w:val="none" w:sz="0" w:space="0" w:color="auto"/>
      </w:divBdr>
    </w:div>
    <w:div w:id="1990596165">
      <w:marLeft w:val="0"/>
      <w:marRight w:val="0"/>
      <w:marTop w:val="0"/>
      <w:marBottom w:val="0"/>
      <w:divBdr>
        <w:top w:val="none" w:sz="0" w:space="0" w:color="auto"/>
        <w:left w:val="none" w:sz="0" w:space="0" w:color="auto"/>
        <w:bottom w:val="none" w:sz="0" w:space="0" w:color="auto"/>
        <w:right w:val="none" w:sz="0" w:space="0" w:color="auto"/>
      </w:divBdr>
    </w:div>
    <w:div w:id="1990673025">
      <w:marLeft w:val="0"/>
      <w:marRight w:val="0"/>
      <w:marTop w:val="0"/>
      <w:marBottom w:val="180"/>
      <w:divBdr>
        <w:top w:val="none" w:sz="0" w:space="0" w:color="auto"/>
        <w:left w:val="none" w:sz="0" w:space="0" w:color="auto"/>
        <w:bottom w:val="none" w:sz="0" w:space="0" w:color="auto"/>
        <w:right w:val="none" w:sz="0" w:space="0" w:color="auto"/>
      </w:divBdr>
    </w:div>
    <w:div w:id="1991129219">
      <w:marLeft w:val="0"/>
      <w:marRight w:val="0"/>
      <w:marTop w:val="0"/>
      <w:marBottom w:val="0"/>
      <w:divBdr>
        <w:top w:val="none" w:sz="0" w:space="0" w:color="auto"/>
        <w:left w:val="none" w:sz="0" w:space="0" w:color="auto"/>
        <w:bottom w:val="none" w:sz="0" w:space="0" w:color="auto"/>
        <w:right w:val="none" w:sz="0" w:space="0" w:color="auto"/>
      </w:divBdr>
    </w:div>
    <w:div w:id="1993632314">
      <w:marLeft w:val="0"/>
      <w:marRight w:val="0"/>
      <w:marTop w:val="120"/>
      <w:marBottom w:val="120"/>
      <w:divBdr>
        <w:top w:val="none" w:sz="0" w:space="0" w:color="auto"/>
        <w:left w:val="none" w:sz="0" w:space="0" w:color="auto"/>
        <w:bottom w:val="none" w:sz="0" w:space="0" w:color="auto"/>
        <w:right w:val="none" w:sz="0" w:space="0" w:color="auto"/>
      </w:divBdr>
    </w:div>
    <w:div w:id="1994481730">
      <w:marLeft w:val="0"/>
      <w:marRight w:val="0"/>
      <w:marTop w:val="0"/>
      <w:marBottom w:val="0"/>
      <w:divBdr>
        <w:top w:val="none" w:sz="0" w:space="0" w:color="auto"/>
        <w:left w:val="none" w:sz="0" w:space="0" w:color="auto"/>
        <w:bottom w:val="none" w:sz="0" w:space="0" w:color="auto"/>
        <w:right w:val="none" w:sz="0" w:space="0" w:color="auto"/>
      </w:divBdr>
    </w:div>
    <w:div w:id="1998605777">
      <w:marLeft w:val="0"/>
      <w:marRight w:val="0"/>
      <w:marTop w:val="0"/>
      <w:marBottom w:val="180"/>
      <w:divBdr>
        <w:top w:val="none" w:sz="0" w:space="0" w:color="auto"/>
        <w:left w:val="none" w:sz="0" w:space="0" w:color="auto"/>
        <w:bottom w:val="none" w:sz="0" w:space="0" w:color="auto"/>
        <w:right w:val="none" w:sz="0" w:space="0" w:color="auto"/>
      </w:divBdr>
    </w:div>
    <w:div w:id="2001107155">
      <w:marLeft w:val="0"/>
      <w:marRight w:val="0"/>
      <w:marTop w:val="180"/>
      <w:marBottom w:val="180"/>
      <w:divBdr>
        <w:top w:val="none" w:sz="0" w:space="0" w:color="auto"/>
        <w:left w:val="none" w:sz="0" w:space="0" w:color="auto"/>
        <w:bottom w:val="none" w:sz="0" w:space="0" w:color="auto"/>
        <w:right w:val="none" w:sz="0" w:space="0" w:color="auto"/>
      </w:divBdr>
    </w:div>
    <w:div w:id="2001343476">
      <w:marLeft w:val="0"/>
      <w:marRight w:val="0"/>
      <w:marTop w:val="0"/>
      <w:marBottom w:val="180"/>
      <w:divBdr>
        <w:top w:val="none" w:sz="0" w:space="0" w:color="auto"/>
        <w:left w:val="none" w:sz="0" w:space="0" w:color="auto"/>
        <w:bottom w:val="none" w:sz="0" w:space="0" w:color="auto"/>
        <w:right w:val="none" w:sz="0" w:space="0" w:color="auto"/>
      </w:divBdr>
    </w:div>
    <w:div w:id="2002848309">
      <w:marLeft w:val="0"/>
      <w:marRight w:val="0"/>
      <w:marTop w:val="0"/>
      <w:marBottom w:val="0"/>
      <w:divBdr>
        <w:top w:val="none" w:sz="0" w:space="0" w:color="auto"/>
        <w:left w:val="none" w:sz="0" w:space="0" w:color="auto"/>
        <w:bottom w:val="none" w:sz="0" w:space="0" w:color="auto"/>
        <w:right w:val="none" w:sz="0" w:space="0" w:color="auto"/>
      </w:divBdr>
    </w:div>
    <w:div w:id="2005087429">
      <w:marLeft w:val="0"/>
      <w:marRight w:val="0"/>
      <w:marTop w:val="0"/>
      <w:marBottom w:val="0"/>
      <w:divBdr>
        <w:top w:val="none" w:sz="0" w:space="0" w:color="auto"/>
        <w:left w:val="none" w:sz="0" w:space="0" w:color="auto"/>
        <w:bottom w:val="none" w:sz="0" w:space="0" w:color="auto"/>
        <w:right w:val="none" w:sz="0" w:space="0" w:color="auto"/>
      </w:divBdr>
      <w:divsChild>
        <w:div w:id="1803377540">
          <w:marLeft w:val="0"/>
          <w:marRight w:val="0"/>
          <w:marTop w:val="0"/>
          <w:marBottom w:val="0"/>
          <w:divBdr>
            <w:top w:val="none" w:sz="0" w:space="0" w:color="auto"/>
            <w:left w:val="none" w:sz="0" w:space="0" w:color="auto"/>
            <w:bottom w:val="none" w:sz="0" w:space="0" w:color="auto"/>
            <w:right w:val="none" w:sz="0" w:space="0" w:color="auto"/>
          </w:divBdr>
        </w:div>
      </w:divsChild>
    </w:div>
    <w:div w:id="2007979737">
      <w:marLeft w:val="0"/>
      <w:marRight w:val="0"/>
      <w:marTop w:val="0"/>
      <w:marBottom w:val="240"/>
      <w:divBdr>
        <w:top w:val="none" w:sz="0" w:space="0" w:color="auto"/>
        <w:left w:val="none" w:sz="0" w:space="0" w:color="auto"/>
        <w:bottom w:val="none" w:sz="0" w:space="0" w:color="auto"/>
        <w:right w:val="none" w:sz="0" w:space="0" w:color="auto"/>
      </w:divBdr>
    </w:div>
    <w:div w:id="2008482165">
      <w:marLeft w:val="0"/>
      <w:marRight w:val="0"/>
      <w:marTop w:val="0"/>
      <w:marBottom w:val="120"/>
      <w:divBdr>
        <w:top w:val="none" w:sz="0" w:space="0" w:color="auto"/>
        <w:left w:val="none" w:sz="0" w:space="0" w:color="auto"/>
        <w:bottom w:val="none" w:sz="0" w:space="0" w:color="auto"/>
        <w:right w:val="none" w:sz="0" w:space="0" w:color="auto"/>
      </w:divBdr>
    </w:div>
    <w:div w:id="2010136333">
      <w:marLeft w:val="0"/>
      <w:marRight w:val="0"/>
      <w:marTop w:val="0"/>
      <w:marBottom w:val="0"/>
      <w:divBdr>
        <w:top w:val="none" w:sz="0" w:space="0" w:color="auto"/>
        <w:left w:val="none" w:sz="0" w:space="0" w:color="auto"/>
        <w:bottom w:val="none" w:sz="0" w:space="0" w:color="auto"/>
        <w:right w:val="none" w:sz="0" w:space="0" w:color="auto"/>
      </w:divBdr>
    </w:div>
    <w:div w:id="2016418092">
      <w:marLeft w:val="0"/>
      <w:marRight w:val="0"/>
      <w:marTop w:val="0"/>
      <w:marBottom w:val="240"/>
      <w:divBdr>
        <w:top w:val="none" w:sz="0" w:space="0" w:color="auto"/>
        <w:left w:val="none" w:sz="0" w:space="0" w:color="auto"/>
        <w:bottom w:val="none" w:sz="0" w:space="0" w:color="auto"/>
        <w:right w:val="none" w:sz="0" w:space="0" w:color="auto"/>
      </w:divBdr>
    </w:div>
    <w:div w:id="2017265520">
      <w:marLeft w:val="0"/>
      <w:marRight w:val="0"/>
      <w:marTop w:val="0"/>
      <w:marBottom w:val="0"/>
      <w:divBdr>
        <w:top w:val="none" w:sz="0" w:space="0" w:color="auto"/>
        <w:left w:val="none" w:sz="0" w:space="0" w:color="auto"/>
        <w:bottom w:val="none" w:sz="0" w:space="0" w:color="auto"/>
        <w:right w:val="none" w:sz="0" w:space="0" w:color="auto"/>
      </w:divBdr>
    </w:div>
    <w:div w:id="2017883062">
      <w:marLeft w:val="0"/>
      <w:marRight w:val="0"/>
      <w:marTop w:val="0"/>
      <w:marBottom w:val="240"/>
      <w:divBdr>
        <w:top w:val="none" w:sz="0" w:space="0" w:color="auto"/>
        <w:left w:val="none" w:sz="0" w:space="0" w:color="auto"/>
        <w:bottom w:val="none" w:sz="0" w:space="0" w:color="auto"/>
        <w:right w:val="none" w:sz="0" w:space="0" w:color="auto"/>
      </w:divBdr>
    </w:div>
    <w:div w:id="2018145396">
      <w:marLeft w:val="0"/>
      <w:marRight w:val="0"/>
      <w:marTop w:val="0"/>
      <w:marBottom w:val="180"/>
      <w:divBdr>
        <w:top w:val="none" w:sz="0" w:space="0" w:color="auto"/>
        <w:left w:val="none" w:sz="0" w:space="0" w:color="auto"/>
        <w:bottom w:val="none" w:sz="0" w:space="0" w:color="auto"/>
        <w:right w:val="none" w:sz="0" w:space="0" w:color="auto"/>
      </w:divBdr>
    </w:div>
    <w:div w:id="2018313962">
      <w:marLeft w:val="0"/>
      <w:marRight w:val="0"/>
      <w:marTop w:val="0"/>
      <w:marBottom w:val="0"/>
      <w:divBdr>
        <w:top w:val="none" w:sz="0" w:space="0" w:color="auto"/>
        <w:left w:val="none" w:sz="0" w:space="0" w:color="auto"/>
        <w:bottom w:val="none" w:sz="0" w:space="0" w:color="auto"/>
        <w:right w:val="none" w:sz="0" w:space="0" w:color="auto"/>
      </w:divBdr>
    </w:div>
    <w:div w:id="2020546108">
      <w:marLeft w:val="0"/>
      <w:marRight w:val="0"/>
      <w:marTop w:val="0"/>
      <w:marBottom w:val="180"/>
      <w:divBdr>
        <w:top w:val="none" w:sz="0" w:space="0" w:color="auto"/>
        <w:left w:val="none" w:sz="0" w:space="0" w:color="auto"/>
        <w:bottom w:val="none" w:sz="0" w:space="0" w:color="auto"/>
        <w:right w:val="none" w:sz="0" w:space="0" w:color="auto"/>
      </w:divBdr>
    </w:div>
    <w:div w:id="2022537586">
      <w:marLeft w:val="0"/>
      <w:marRight w:val="0"/>
      <w:marTop w:val="0"/>
      <w:marBottom w:val="240"/>
      <w:divBdr>
        <w:top w:val="none" w:sz="0" w:space="0" w:color="auto"/>
        <w:left w:val="none" w:sz="0" w:space="0" w:color="auto"/>
        <w:bottom w:val="none" w:sz="0" w:space="0" w:color="auto"/>
        <w:right w:val="none" w:sz="0" w:space="0" w:color="auto"/>
      </w:divBdr>
    </w:div>
    <w:div w:id="2022975530">
      <w:marLeft w:val="0"/>
      <w:marRight w:val="0"/>
      <w:marTop w:val="100"/>
      <w:marBottom w:val="100"/>
      <w:divBdr>
        <w:top w:val="none" w:sz="0" w:space="0" w:color="auto"/>
        <w:left w:val="none" w:sz="0" w:space="0" w:color="auto"/>
        <w:bottom w:val="none" w:sz="0" w:space="0" w:color="auto"/>
        <w:right w:val="none" w:sz="0" w:space="0" w:color="auto"/>
      </w:divBdr>
    </w:div>
    <w:div w:id="2023242435">
      <w:marLeft w:val="0"/>
      <w:marRight w:val="0"/>
      <w:marTop w:val="180"/>
      <w:marBottom w:val="180"/>
      <w:divBdr>
        <w:top w:val="none" w:sz="0" w:space="0" w:color="auto"/>
        <w:left w:val="none" w:sz="0" w:space="0" w:color="auto"/>
        <w:bottom w:val="none" w:sz="0" w:space="0" w:color="auto"/>
        <w:right w:val="none" w:sz="0" w:space="0" w:color="auto"/>
      </w:divBdr>
    </w:div>
    <w:div w:id="2026902707">
      <w:marLeft w:val="0"/>
      <w:marRight w:val="0"/>
      <w:marTop w:val="120"/>
      <w:marBottom w:val="120"/>
      <w:divBdr>
        <w:top w:val="none" w:sz="0" w:space="0" w:color="auto"/>
        <w:left w:val="none" w:sz="0" w:space="0" w:color="auto"/>
        <w:bottom w:val="none" w:sz="0" w:space="0" w:color="auto"/>
        <w:right w:val="none" w:sz="0" w:space="0" w:color="auto"/>
      </w:divBdr>
    </w:div>
    <w:div w:id="2026904908">
      <w:marLeft w:val="0"/>
      <w:marRight w:val="0"/>
      <w:marTop w:val="0"/>
      <w:marBottom w:val="240"/>
      <w:divBdr>
        <w:top w:val="none" w:sz="0" w:space="0" w:color="auto"/>
        <w:left w:val="none" w:sz="0" w:space="0" w:color="auto"/>
        <w:bottom w:val="none" w:sz="0" w:space="0" w:color="auto"/>
        <w:right w:val="none" w:sz="0" w:space="0" w:color="auto"/>
      </w:divBdr>
    </w:div>
    <w:div w:id="2028679577">
      <w:marLeft w:val="0"/>
      <w:marRight w:val="0"/>
      <w:marTop w:val="0"/>
      <w:marBottom w:val="180"/>
      <w:divBdr>
        <w:top w:val="none" w:sz="0" w:space="0" w:color="auto"/>
        <w:left w:val="none" w:sz="0" w:space="0" w:color="auto"/>
        <w:bottom w:val="none" w:sz="0" w:space="0" w:color="auto"/>
        <w:right w:val="none" w:sz="0" w:space="0" w:color="auto"/>
      </w:divBdr>
    </w:div>
    <w:div w:id="2030138651">
      <w:marLeft w:val="0"/>
      <w:marRight w:val="0"/>
      <w:marTop w:val="0"/>
      <w:marBottom w:val="180"/>
      <w:divBdr>
        <w:top w:val="none" w:sz="0" w:space="0" w:color="auto"/>
        <w:left w:val="none" w:sz="0" w:space="0" w:color="auto"/>
        <w:bottom w:val="none" w:sz="0" w:space="0" w:color="auto"/>
        <w:right w:val="none" w:sz="0" w:space="0" w:color="auto"/>
      </w:divBdr>
    </w:div>
    <w:div w:id="2031174630">
      <w:marLeft w:val="0"/>
      <w:marRight w:val="0"/>
      <w:marTop w:val="0"/>
      <w:marBottom w:val="240"/>
      <w:divBdr>
        <w:top w:val="none" w:sz="0" w:space="0" w:color="auto"/>
        <w:left w:val="none" w:sz="0" w:space="0" w:color="auto"/>
        <w:bottom w:val="none" w:sz="0" w:space="0" w:color="auto"/>
        <w:right w:val="none" w:sz="0" w:space="0" w:color="auto"/>
      </w:divBdr>
    </w:div>
    <w:div w:id="2031756956">
      <w:marLeft w:val="0"/>
      <w:marRight w:val="0"/>
      <w:marTop w:val="0"/>
      <w:marBottom w:val="0"/>
      <w:divBdr>
        <w:top w:val="none" w:sz="0" w:space="0" w:color="auto"/>
        <w:left w:val="none" w:sz="0" w:space="0" w:color="auto"/>
        <w:bottom w:val="none" w:sz="0" w:space="0" w:color="auto"/>
        <w:right w:val="none" w:sz="0" w:space="0" w:color="auto"/>
      </w:divBdr>
      <w:divsChild>
        <w:div w:id="933443347">
          <w:marLeft w:val="0"/>
          <w:marRight w:val="0"/>
          <w:marTop w:val="0"/>
          <w:marBottom w:val="0"/>
          <w:divBdr>
            <w:top w:val="none" w:sz="0" w:space="0" w:color="auto"/>
            <w:left w:val="none" w:sz="0" w:space="0" w:color="auto"/>
            <w:bottom w:val="none" w:sz="0" w:space="0" w:color="auto"/>
            <w:right w:val="none" w:sz="0" w:space="0" w:color="auto"/>
          </w:divBdr>
        </w:div>
      </w:divsChild>
    </w:div>
    <w:div w:id="2032024940">
      <w:marLeft w:val="0"/>
      <w:marRight w:val="0"/>
      <w:marTop w:val="0"/>
      <w:marBottom w:val="240"/>
      <w:divBdr>
        <w:top w:val="none" w:sz="0" w:space="0" w:color="auto"/>
        <w:left w:val="none" w:sz="0" w:space="0" w:color="auto"/>
        <w:bottom w:val="none" w:sz="0" w:space="0" w:color="auto"/>
        <w:right w:val="none" w:sz="0" w:space="0" w:color="auto"/>
      </w:divBdr>
    </w:div>
    <w:div w:id="2032416786">
      <w:marLeft w:val="0"/>
      <w:marRight w:val="0"/>
      <w:marTop w:val="120"/>
      <w:marBottom w:val="120"/>
      <w:divBdr>
        <w:top w:val="none" w:sz="0" w:space="0" w:color="auto"/>
        <w:left w:val="none" w:sz="0" w:space="0" w:color="auto"/>
        <w:bottom w:val="none" w:sz="0" w:space="0" w:color="auto"/>
        <w:right w:val="none" w:sz="0" w:space="0" w:color="auto"/>
      </w:divBdr>
    </w:div>
    <w:div w:id="2032686133">
      <w:marLeft w:val="0"/>
      <w:marRight w:val="0"/>
      <w:marTop w:val="0"/>
      <w:marBottom w:val="180"/>
      <w:divBdr>
        <w:top w:val="none" w:sz="0" w:space="0" w:color="auto"/>
        <w:left w:val="none" w:sz="0" w:space="0" w:color="auto"/>
        <w:bottom w:val="none" w:sz="0" w:space="0" w:color="auto"/>
        <w:right w:val="none" w:sz="0" w:space="0" w:color="auto"/>
      </w:divBdr>
    </w:div>
    <w:div w:id="2033531051">
      <w:marLeft w:val="0"/>
      <w:marRight w:val="0"/>
      <w:marTop w:val="0"/>
      <w:marBottom w:val="180"/>
      <w:divBdr>
        <w:top w:val="none" w:sz="0" w:space="0" w:color="auto"/>
        <w:left w:val="none" w:sz="0" w:space="0" w:color="auto"/>
        <w:bottom w:val="none" w:sz="0" w:space="0" w:color="auto"/>
        <w:right w:val="none" w:sz="0" w:space="0" w:color="auto"/>
      </w:divBdr>
    </w:div>
    <w:div w:id="2035038434">
      <w:marLeft w:val="0"/>
      <w:marRight w:val="0"/>
      <w:marTop w:val="120"/>
      <w:marBottom w:val="240"/>
      <w:divBdr>
        <w:top w:val="none" w:sz="0" w:space="0" w:color="auto"/>
        <w:left w:val="none" w:sz="0" w:space="0" w:color="auto"/>
        <w:bottom w:val="none" w:sz="0" w:space="0" w:color="auto"/>
        <w:right w:val="none" w:sz="0" w:space="0" w:color="auto"/>
      </w:divBdr>
    </w:div>
    <w:div w:id="2036037183">
      <w:marLeft w:val="0"/>
      <w:marRight w:val="0"/>
      <w:marTop w:val="100"/>
      <w:marBottom w:val="100"/>
      <w:divBdr>
        <w:top w:val="none" w:sz="0" w:space="0" w:color="auto"/>
        <w:left w:val="none" w:sz="0" w:space="0" w:color="auto"/>
        <w:bottom w:val="none" w:sz="0" w:space="0" w:color="auto"/>
        <w:right w:val="none" w:sz="0" w:space="0" w:color="auto"/>
      </w:divBdr>
      <w:divsChild>
        <w:div w:id="1826824469">
          <w:marLeft w:val="0"/>
          <w:marRight w:val="0"/>
          <w:marTop w:val="0"/>
          <w:marBottom w:val="0"/>
          <w:divBdr>
            <w:top w:val="none" w:sz="0" w:space="0" w:color="auto"/>
            <w:left w:val="none" w:sz="0" w:space="0" w:color="auto"/>
            <w:bottom w:val="none" w:sz="0" w:space="0" w:color="auto"/>
            <w:right w:val="none" w:sz="0" w:space="0" w:color="auto"/>
          </w:divBdr>
        </w:div>
        <w:div w:id="1054354680">
          <w:marLeft w:val="0"/>
          <w:marRight w:val="0"/>
          <w:marTop w:val="0"/>
          <w:marBottom w:val="0"/>
          <w:divBdr>
            <w:top w:val="none" w:sz="0" w:space="0" w:color="auto"/>
            <w:left w:val="none" w:sz="0" w:space="0" w:color="auto"/>
            <w:bottom w:val="none" w:sz="0" w:space="0" w:color="auto"/>
            <w:right w:val="none" w:sz="0" w:space="0" w:color="auto"/>
          </w:divBdr>
        </w:div>
        <w:div w:id="1235431373">
          <w:marLeft w:val="0"/>
          <w:marRight w:val="0"/>
          <w:marTop w:val="0"/>
          <w:marBottom w:val="0"/>
          <w:divBdr>
            <w:top w:val="none" w:sz="0" w:space="0" w:color="auto"/>
            <w:left w:val="none" w:sz="0" w:space="0" w:color="auto"/>
            <w:bottom w:val="none" w:sz="0" w:space="0" w:color="auto"/>
            <w:right w:val="none" w:sz="0" w:space="0" w:color="auto"/>
          </w:divBdr>
        </w:div>
        <w:div w:id="1395202594">
          <w:marLeft w:val="0"/>
          <w:marRight w:val="0"/>
          <w:marTop w:val="0"/>
          <w:marBottom w:val="0"/>
          <w:divBdr>
            <w:top w:val="none" w:sz="0" w:space="0" w:color="auto"/>
            <w:left w:val="none" w:sz="0" w:space="0" w:color="auto"/>
            <w:bottom w:val="none" w:sz="0" w:space="0" w:color="auto"/>
            <w:right w:val="none" w:sz="0" w:space="0" w:color="auto"/>
          </w:divBdr>
        </w:div>
        <w:div w:id="349919357">
          <w:marLeft w:val="0"/>
          <w:marRight w:val="0"/>
          <w:marTop w:val="0"/>
          <w:marBottom w:val="0"/>
          <w:divBdr>
            <w:top w:val="none" w:sz="0" w:space="0" w:color="auto"/>
            <w:left w:val="none" w:sz="0" w:space="0" w:color="auto"/>
            <w:bottom w:val="none" w:sz="0" w:space="0" w:color="auto"/>
            <w:right w:val="none" w:sz="0" w:space="0" w:color="auto"/>
          </w:divBdr>
        </w:div>
        <w:div w:id="1563980808">
          <w:marLeft w:val="0"/>
          <w:marRight w:val="0"/>
          <w:marTop w:val="0"/>
          <w:marBottom w:val="0"/>
          <w:divBdr>
            <w:top w:val="none" w:sz="0" w:space="0" w:color="auto"/>
            <w:left w:val="none" w:sz="0" w:space="0" w:color="auto"/>
            <w:bottom w:val="none" w:sz="0" w:space="0" w:color="auto"/>
            <w:right w:val="none" w:sz="0" w:space="0" w:color="auto"/>
          </w:divBdr>
        </w:div>
        <w:div w:id="304509324">
          <w:marLeft w:val="0"/>
          <w:marRight w:val="0"/>
          <w:marTop w:val="0"/>
          <w:marBottom w:val="0"/>
          <w:divBdr>
            <w:top w:val="none" w:sz="0" w:space="0" w:color="auto"/>
            <w:left w:val="none" w:sz="0" w:space="0" w:color="auto"/>
            <w:bottom w:val="none" w:sz="0" w:space="0" w:color="auto"/>
            <w:right w:val="none" w:sz="0" w:space="0" w:color="auto"/>
          </w:divBdr>
        </w:div>
        <w:div w:id="736824700">
          <w:marLeft w:val="0"/>
          <w:marRight w:val="0"/>
          <w:marTop w:val="0"/>
          <w:marBottom w:val="0"/>
          <w:divBdr>
            <w:top w:val="none" w:sz="0" w:space="0" w:color="auto"/>
            <w:left w:val="none" w:sz="0" w:space="0" w:color="auto"/>
            <w:bottom w:val="none" w:sz="0" w:space="0" w:color="auto"/>
            <w:right w:val="none" w:sz="0" w:space="0" w:color="auto"/>
          </w:divBdr>
        </w:div>
        <w:div w:id="1814785057">
          <w:marLeft w:val="0"/>
          <w:marRight w:val="0"/>
          <w:marTop w:val="0"/>
          <w:marBottom w:val="120"/>
          <w:divBdr>
            <w:top w:val="none" w:sz="0" w:space="0" w:color="auto"/>
            <w:left w:val="none" w:sz="0" w:space="0" w:color="auto"/>
            <w:bottom w:val="none" w:sz="0" w:space="0" w:color="auto"/>
            <w:right w:val="none" w:sz="0" w:space="0" w:color="auto"/>
          </w:divBdr>
        </w:div>
        <w:div w:id="1231967492">
          <w:marLeft w:val="0"/>
          <w:marRight w:val="0"/>
          <w:marTop w:val="0"/>
          <w:marBottom w:val="120"/>
          <w:divBdr>
            <w:top w:val="none" w:sz="0" w:space="0" w:color="auto"/>
            <w:left w:val="none" w:sz="0" w:space="0" w:color="auto"/>
            <w:bottom w:val="none" w:sz="0" w:space="0" w:color="auto"/>
            <w:right w:val="none" w:sz="0" w:space="0" w:color="auto"/>
          </w:divBdr>
        </w:div>
        <w:div w:id="167061415">
          <w:marLeft w:val="0"/>
          <w:marRight w:val="0"/>
          <w:marTop w:val="0"/>
          <w:marBottom w:val="120"/>
          <w:divBdr>
            <w:top w:val="none" w:sz="0" w:space="0" w:color="auto"/>
            <w:left w:val="none" w:sz="0" w:space="0" w:color="auto"/>
            <w:bottom w:val="none" w:sz="0" w:space="0" w:color="auto"/>
            <w:right w:val="none" w:sz="0" w:space="0" w:color="auto"/>
          </w:divBdr>
        </w:div>
        <w:div w:id="1469393805">
          <w:marLeft w:val="0"/>
          <w:marRight w:val="0"/>
          <w:marTop w:val="0"/>
          <w:marBottom w:val="120"/>
          <w:divBdr>
            <w:top w:val="none" w:sz="0" w:space="0" w:color="auto"/>
            <w:left w:val="none" w:sz="0" w:space="0" w:color="auto"/>
            <w:bottom w:val="none" w:sz="0" w:space="0" w:color="auto"/>
            <w:right w:val="none" w:sz="0" w:space="0" w:color="auto"/>
          </w:divBdr>
        </w:div>
      </w:divsChild>
    </w:div>
    <w:div w:id="2037995779">
      <w:marLeft w:val="0"/>
      <w:marRight w:val="0"/>
      <w:marTop w:val="0"/>
      <w:marBottom w:val="0"/>
      <w:divBdr>
        <w:top w:val="none" w:sz="0" w:space="0" w:color="auto"/>
        <w:left w:val="none" w:sz="0" w:space="0" w:color="auto"/>
        <w:bottom w:val="none" w:sz="0" w:space="0" w:color="auto"/>
        <w:right w:val="none" w:sz="0" w:space="0" w:color="auto"/>
      </w:divBdr>
    </w:div>
    <w:div w:id="2038463808">
      <w:marLeft w:val="0"/>
      <w:marRight w:val="0"/>
      <w:marTop w:val="0"/>
      <w:marBottom w:val="0"/>
      <w:divBdr>
        <w:top w:val="none" w:sz="0" w:space="0" w:color="auto"/>
        <w:left w:val="none" w:sz="0" w:space="0" w:color="auto"/>
        <w:bottom w:val="none" w:sz="0" w:space="0" w:color="auto"/>
        <w:right w:val="none" w:sz="0" w:space="0" w:color="auto"/>
      </w:divBdr>
      <w:divsChild>
        <w:div w:id="2068217594">
          <w:marLeft w:val="0"/>
          <w:marRight w:val="0"/>
          <w:marTop w:val="0"/>
          <w:marBottom w:val="0"/>
          <w:divBdr>
            <w:top w:val="none" w:sz="0" w:space="0" w:color="auto"/>
            <w:left w:val="none" w:sz="0" w:space="0" w:color="auto"/>
            <w:bottom w:val="none" w:sz="0" w:space="0" w:color="auto"/>
            <w:right w:val="none" w:sz="0" w:space="0" w:color="auto"/>
          </w:divBdr>
        </w:div>
      </w:divsChild>
    </w:div>
    <w:div w:id="2038697977">
      <w:marLeft w:val="0"/>
      <w:marRight w:val="0"/>
      <w:marTop w:val="0"/>
      <w:marBottom w:val="0"/>
      <w:divBdr>
        <w:top w:val="none" w:sz="0" w:space="0" w:color="auto"/>
        <w:left w:val="none" w:sz="0" w:space="0" w:color="auto"/>
        <w:bottom w:val="none" w:sz="0" w:space="0" w:color="auto"/>
        <w:right w:val="none" w:sz="0" w:space="0" w:color="auto"/>
      </w:divBdr>
    </w:div>
    <w:div w:id="2039886765">
      <w:marLeft w:val="0"/>
      <w:marRight w:val="0"/>
      <w:marTop w:val="0"/>
      <w:marBottom w:val="60"/>
      <w:divBdr>
        <w:top w:val="none" w:sz="0" w:space="0" w:color="auto"/>
        <w:left w:val="none" w:sz="0" w:space="0" w:color="auto"/>
        <w:bottom w:val="none" w:sz="0" w:space="0" w:color="auto"/>
        <w:right w:val="none" w:sz="0" w:space="0" w:color="auto"/>
      </w:divBdr>
    </w:div>
    <w:div w:id="2040083066">
      <w:marLeft w:val="0"/>
      <w:marRight w:val="0"/>
      <w:marTop w:val="0"/>
      <w:marBottom w:val="0"/>
      <w:divBdr>
        <w:top w:val="none" w:sz="0" w:space="0" w:color="auto"/>
        <w:left w:val="none" w:sz="0" w:space="0" w:color="auto"/>
        <w:bottom w:val="none" w:sz="0" w:space="0" w:color="auto"/>
        <w:right w:val="none" w:sz="0" w:space="0" w:color="auto"/>
      </w:divBdr>
    </w:div>
    <w:div w:id="2042509165">
      <w:marLeft w:val="0"/>
      <w:marRight w:val="0"/>
      <w:marTop w:val="100"/>
      <w:marBottom w:val="100"/>
      <w:divBdr>
        <w:top w:val="none" w:sz="0" w:space="0" w:color="auto"/>
        <w:left w:val="none" w:sz="0" w:space="0" w:color="auto"/>
        <w:bottom w:val="none" w:sz="0" w:space="0" w:color="auto"/>
        <w:right w:val="none" w:sz="0" w:space="0" w:color="auto"/>
      </w:divBdr>
      <w:divsChild>
        <w:div w:id="1379474759">
          <w:marLeft w:val="0"/>
          <w:marRight w:val="0"/>
          <w:marTop w:val="0"/>
          <w:marBottom w:val="0"/>
          <w:divBdr>
            <w:top w:val="none" w:sz="0" w:space="0" w:color="auto"/>
            <w:left w:val="none" w:sz="0" w:space="0" w:color="auto"/>
            <w:bottom w:val="none" w:sz="0" w:space="0" w:color="auto"/>
            <w:right w:val="none" w:sz="0" w:space="0" w:color="auto"/>
          </w:divBdr>
        </w:div>
        <w:div w:id="774249128">
          <w:marLeft w:val="0"/>
          <w:marRight w:val="0"/>
          <w:marTop w:val="0"/>
          <w:marBottom w:val="0"/>
          <w:divBdr>
            <w:top w:val="none" w:sz="0" w:space="0" w:color="auto"/>
            <w:left w:val="none" w:sz="0" w:space="0" w:color="auto"/>
            <w:bottom w:val="none" w:sz="0" w:space="0" w:color="auto"/>
            <w:right w:val="none" w:sz="0" w:space="0" w:color="auto"/>
          </w:divBdr>
        </w:div>
        <w:div w:id="1064059079">
          <w:marLeft w:val="0"/>
          <w:marRight w:val="0"/>
          <w:marTop w:val="0"/>
          <w:marBottom w:val="0"/>
          <w:divBdr>
            <w:top w:val="none" w:sz="0" w:space="0" w:color="auto"/>
            <w:left w:val="none" w:sz="0" w:space="0" w:color="auto"/>
            <w:bottom w:val="none" w:sz="0" w:space="0" w:color="auto"/>
            <w:right w:val="none" w:sz="0" w:space="0" w:color="auto"/>
          </w:divBdr>
        </w:div>
      </w:divsChild>
    </w:div>
    <w:div w:id="2044287347">
      <w:marLeft w:val="0"/>
      <w:marRight w:val="0"/>
      <w:marTop w:val="0"/>
      <w:marBottom w:val="0"/>
      <w:divBdr>
        <w:top w:val="none" w:sz="0" w:space="0" w:color="auto"/>
        <w:left w:val="none" w:sz="0" w:space="0" w:color="auto"/>
        <w:bottom w:val="none" w:sz="0" w:space="0" w:color="auto"/>
        <w:right w:val="none" w:sz="0" w:space="0" w:color="auto"/>
      </w:divBdr>
      <w:divsChild>
        <w:div w:id="262037784">
          <w:marLeft w:val="0"/>
          <w:marRight w:val="0"/>
          <w:marTop w:val="0"/>
          <w:marBottom w:val="0"/>
          <w:divBdr>
            <w:top w:val="none" w:sz="0" w:space="0" w:color="auto"/>
            <w:left w:val="none" w:sz="0" w:space="0" w:color="auto"/>
            <w:bottom w:val="none" w:sz="0" w:space="0" w:color="auto"/>
            <w:right w:val="none" w:sz="0" w:space="0" w:color="auto"/>
          </w:divBdr>
        </w:div>
      </w:divsChild>
    </w:div>
    <w:div w:id="2045401460">
      <w:marLeft w:val="0"/>
      <w:marRight w:val="0"/>
      <w:marTop w:val="0"/>
      <w:marBottom w:val="0"/>
      <w:divBdr>
        <w:top w:val="none" w:sz="0" w:space="0" w:color="auto"/>
        <w:left w:val="none" w:sz="0" w:space="0" w:color="auto"/>
        <w:bottom w:val="none" w:sz="0" w:space="0" w:color="auto"/>
        <w:right w:val="none" w:sz="0" w:space="0" w:color="auto"/>
      </w:divBdr>
    </w:div>
    <w:div w:id="2046438712">
      <w:marLeft w:val="0"/>
      <w:marRight w:val="0"/>
      <w:marTop w:val="0"/>
      <w:marBottom w:val="240"/>
      <w:divBdr>
        <w:top w:val="none" w:sz="0" w:space="0" w:color="auto"/>
        <w:left w:val="none" w:sz="0" w:space="0" w:color="auto"/>
        <w:bottom w:val="none" w:sz="0" w:space="0" w:color="auto"/>
        <w:right w:val="none" w:sz="0" w:space="0" w:color="auto"/>
      </w:divBdr>
    </w:div>
    <w:div w:id="2047946102">
      <w:marLeft w:val="0"/>
      <w:marRight w:val="0"/>
      <w:marTop w:val="0"/>
      <w:marBottom w:val="180"/>
      <w:divBdr>
        <w:top w:val="none" w:sz="0" w:space="0" w:color="auto"/>
        <w:left w:val="none" w:sz="0" w:space="0" w:color="auto"/>
        <w:bottom w:val="none" w:sz="0" w:space="0" w:color="auto"/>
        <w:right w:val="none" w:sz="0" w:space="0" w:color="auto"/>
      </w:divBdr>
    </w:div>
    <w:div w:id="2048413004">
      <w:marLeft w:val="0"/>
      <w:marRight w:val="0"/>
      <w:marTop w:val="0"/>
      <w:marBottom w:val="0"/>
      <w:divBdr>
        <w:top w:val="none" w:sz="0" w:space="0" w:color="auto"/>
        <w:left w:val="none" w:sz="0" w:space="0" w:color="auto"/>
        <w:bottom w:val="none" w:sz="0" w:space="0" w:color="auto"/>
        <w:right w:val="none" w:sz="0" w:space="0" w:color="auto"/>
      </w:divBdr>
    </w:div>
    <w:div w:id="2052265321">
      <w:marLeft w:val="0"/>
      <w:marRight w:val="0"/>
      <w:marTop w:val="0"/>
      <w:marBottom w:val="0"/>
      <w:divBdr>
        <w:top w:val="none" w:sz="0" w:space="0" w:color="auto"/>
        <w:left w:val="none" w:sz="0" w:space="0" w:color="auto"/>
        <w:bottom w:val="none" w:sz="0" w:space="0" w:color="auto"/>
        <w:right w:val="none" w:sz="0" w:space="0" w:color="auto"/>
      </w:divBdr>
      <w:divsChild>
        <w:div w:id="1477986028">
          <w:marLeft w:val="0"/>
          <w:marRight w:val="0"/>
          <w:marTop w:val="0"/>
          <w:marBottom w:val="0"/>
          <w:divBdr>
            <w:top w:val="none" w:sz="0" w:space="0" w:color="auto"/>
            <w:left w:val="none" w:sz="0" w:space="0" w:color="auto"/>
            <w:bottom w:val="none" w:sz="0" w:space="0" w:color="auto"/>
            <w:right w:val="none" w:sz="0" w:space="0" w:color="auto"/>
          </w:divBdr>
        </w:div>
      </w:divsChild>
    </w:div>
    <w:div w:id="2058166361">
      <w:marLeft w:val="0"/>
      <w:marRight w:val="0"/>
      <w:marTop w:val="0"/>
      <w:marBottom w:val="0"/>
      <w:divBdr>
        <w:top w:val="none" w:sz="0" w:space="0" w:color="auto"/>
        <w:left w:val="none" w:sz="0" w:space="0" w:color="auto"/>
        <w:bottom w:val="none" w:sz="0" w:space="0" w:color="auto"/>
        <w:right w:val="none" w:sz="0" w:space="0" w:color="auto"/>
      </w:divBdr>
    </w:div>
    <w:div w:id="2058427150">
      <w:marLeft w:val="0"/>
      <w:marRight w:val="0"/>
      <w:marTop w:val="0"/>
      <w:marBottom w:val="0"/>
      <w:divBdr>
        <w:top w:val="none" w:sz="0" w:space="0" w:color="auto"/>
        <w:left w:val="none" w:sz="0" w:space="0" w:color="auto"/>
        <w:bottom w:val="none" w:sz="0" w:space="0" w:color="auto"/>
        <w:right w:val="none" w:sz="0" w:space="0" w:color="auto"/>
      </w:divBdr>
      <w:divsChild>
        <w:div w:id="621545436">
          <w:marLeft w:val="0"/>
          <w:marRight w:val="0"/>
          <w:marTop w:val="0"/>
          <w:marBottom w:val="0"/>
          <w:divBdr>
            <w:top w:val="none" w:sz="0" w:space="0" w:color="auto"/>
            <w:left w:val="none" w:sz="0" w:space="0" w:color="auto"/>
            <w:bottom w:val="none" w:sz="0" w:space="0" w:color="auto"/>
            <w:right w:val="none" w:sz="0" w:space="0" w:color="auto"/>
          </w:divBdr>
        </w:div>
      </w:divsChild>
    </w:div>
    <w:div w:id="2064717153">
      <w:marLeft w:val="0"/>
      <w:marRight w:val="0"/>
      <w:marTop w:val="0"/>
      <w:marBottom w:val="180"/>
      <w:divBdr>
        <w:top w:val="none" w:sz="0" w:space="0" w:color="auto"/>
        <w:left w:val="none" w:sz="0" w:space="0" w:color="auto"/>
        <w:bottom w:val="none" w:sz="0" w:space="0" w:color="auto"/>
        <w:right w:val="none" w:sz="0" w:space="0" w:color="auto"/>
      </w:divBdr>
    </w:div>
    <w:div w:id="2064981313">
      <w:marLeft w:val="0"/>
      <w:marRight w:val="0"/>
      <w:marTop w:val="0"/>
      <w:marBottom w:val="240"/>
      <w:divBdr>
        <w:top w:val="none" w:sz="0" w:space="0" w:color="auto"/>
        <w:left w:val="none" w:sz="0" w:space="0" w:color="auto"/>
        <w:bottom w:val="none" w:sz="0" w:space="0" w:color="auto"/>
        <w:right w:val="none" w:sz="0" w:space="0" w:color="auto"/>
      </w:divBdr>
    </w:div>
    <w:div w:id="2066562738">
      <w:marLeft w:val="0"/>
      <w:marRight w:val="0"/>
      <w:marTop w:val="0"/>
      <w:marBottom w:val="0"/>
      <w:divBdr>
        <w:top w:val="none" w:sz="0" w:space="0" w:color="auto"/>
        <w:left w:val="none" w:sz="0" w:space="0" w:color="auto"/>
        <w:bottom w:val="none" w:sz="0" w:space="0" w:color="auto"/>
        <w:right w:val="none" w:sz="0" w:space="0" w:color="auto"/>
      </w:divBdr>
      <w:divsChild>
        <w:div w:id="514922668">
          <w:marLeft w:val="0"/>
          <w:marRight w:val="0"/>
          <w:marTop w:val="0"/>
          <w:marBottom w:val="0"/>
          <w:divBdr>
            <w:top w:val="none" w:sz="0" w:space="0" w:color="auto"/>
            <w:left w:val="none" w:sz="0" w:space="0" w:color="auto"/>
            <w:bottom w:val="none" w:sz="0" w:space="0" w:color="auto"/>
            <w:right w:val="none" w:sz="0" w:space="0" w:color="auto"/>
          </w:divBdr>
          <w:divsChild>
            <w:div w:id="1207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504">
      <w:marLeft w:val="0"/>
      <w:marRight w:val="0"/>
      <w:marTop w:val="0"/>
      <w:marBottom w:val="0"/>
      <w:divBdr>
        <w:top w:val="none" w:sz="0" w:space="0" w:color="auto"/>
        <w:left w:val="none" w:sz="0" w:space="0" w:color="auto"/>
        <w:bottom w:val="none" w:sz="0" w:space="0" w:color="auto"/>
        <w:right w:val="none" w:sz="0" w:space="0" w:color="auto"/>
      </w:divBdr>
      <w:divsChild>
        <w:div w:id="1019697185">
          <w:marLeft w:val="0"/>
          <w:marRight w:val="0"/>
          <w:marTop w:val="0"/>
          <w:marBottom w:val="0"/>
          <w:divBdr>
            <w:top w:val="none" w:sz="0" w:space="0" w:color="auto"/>
            <w:left w:val="none" w:sz="0" w:space="0" w:color="auto"/>
            <w:bottom w:val="none" w:sz="0" w:space="0" w:color="auto"/>
            <w:right w:val="none" w:sz="0" w:space="0" w:color="auto"/>
          </w:divBdr>
        </w:div>
      </w:divsChild>
    </w:div>
    <w:div w:id="2071341022">
      <w:marLeft w:val="0"/>
      <w:marRight w:val="0"/>
      <w:marTop w:val="180"/>
      <w:marBottom w:val="180"/>
      <w:divBdr>
        <w:top w:val="none" w:sz="0" w:space="0" w:color="auto"/>
        <w:left w:val="none" w:sz="0" w:space="0" w:color="auto"/>
        <w:bottom w:val="none" w:sz="0" w:space="0" w:color="auto"/>
        <w:right w:val="none" w:sz="0" w:space="0" w:color="auto"/>
      </w:divBdr>
    </w:div>
    <w:div w:id="2074311417">
      <w:marLeft w:val="0"/>
      <w:marRight w:val="0"/>
      <w:marTop w:val="180"/>
      <w:marBottom w:val="180"/>
      <w:divBdr>
        <w:top w:val="none" w:sz="0" w:space="0" w:color="auto"/>
        <w:left w:val="none" w:sz="0" w:space="0" w:color="auto"/>
        <w:bottom w:val="none" w:sz="0" w:space="0" w:color="auto"/>
        <w:right w:val="none" w:sz="0" w:space="0" w:color="auto"/>
      </w:divBdr>
    </w:div>
    <w:div w:id="2075080758">
      <w:marLeft w:val="0"/>
      <w:marRight w:val="0"/>
      <w:marTop w:val="120"/>
      <w:marBottom w:val="120"/>
      <w:divBdr>
        <w:top w:val="none" w:sz="0" w:space="0" w:color="auto"/>
        <w:left w:val="none" w:sz="0" w:space="0" w:color="auto"/>
        <w:bottom w:val="none" w:sz="0" w:space="0" w:color="auto"/>
        <w:right w:val="none" w:sz="0" w:space="0" w:color="auto"/>
      </w:divBdr>
    </w:div>
    <w:div w:id="2077165684">
      <w:marLeft w:val="0"/>
      <w:marRight w:val="0"/>
      <w:marTop w:val="0"/>
      <w:marBottom w:val="0"/>
      <w:divBdr>
        <w:top w:val="none" w:sz="0" w:space="0" w:color="auto"/>
        <w:left w:val="none" w:sz="0" w:space="0" w:color="auto"/>
        <w:bottom w:val="none" w:sz="0" w:space="0" w:color="auto"/>
        <w:right w:val="none" w:sz="0" w:space="0" w:color="auto"/>
      </w:divBdr>
    </w:div>
    <w:div w:id="2078895503">
      <w:marLeft w:val="0"/>
      <w:marRight w:val="0"/>
      <w:marTop w:val="100"/>
      <w:marBottom w:val="100"/>
      <w:divBdr>
        <w:top w:val="none" w:sz="0" w:space="0" w:color="auto"/>
        <w:left w:val="none" w:sz="0" w:space="0" w:color="auto"/>
        <w:bottom w:val="none" w:sz="0" w:space="0" w:color="auto"/>
        <w:right w:val="none" w:sz="0" w:space="0" w:color="auto"/>
      </w:divBdr>
      <w:divsChild>
        <w:div w:id="1119639170">
          <w:marLeft w:val="0"/>
          <w:marRight w:val="0"/>
          <w:marTop w:val="0"/>
          <w:marBottom w:val="0"/>
          <w:divBdr>
            <w:top w:val="none" w:sz="0" w:space="0" w:color="auto"/>
            <w:left w:val="none" w:sz="0" w:space="0" w:color="auto"/>
            <w:bottom w:val="none" w:sz="0" w:space="0" w:color="auto"/>
            <w:right w:val="none" w:sz="0" w:space="0" w:color="auto"/>
          </w:divBdr>
        </w:div>
        <w:div w:id="1307709148">
          <w:marLeft w:val="0"/>
          <w:marRight w:val="0"/>
          <w:marTop w:val="0"/>
          <w:marBottom w:val="0"/>
          <w:divBdr>
            <w:top w:val="none" w:sz="0" w:space="0" w:color="auto"/>
            <w:left w:val="none" w:sz="0" w:space="0" w:color="auto"/>
            <w:bottom w:val="none" w:sz="0" w:space="0" w:color="auto"/>
            <w:right w:val="none" w:sz="0" w:space="0" w:color="auto"/>
          </w:divBdr>
        </w:div>
        <w:div w:id="595091159">
          <w:marLeft w:val="0"/>
          <w:marRight w:val="0"/>
          <w:marTop w:val="0"/>
          <w:marBottom w:val="0"/>
          <w:divBdr>
            <w:top w:val="none" w:sz="0" w:space="0" w:color="auto"/>
            <w:left w:val="none" w:sz="0" w:space="0" w:color="auto"/>
            <w:bottom w:val="none" w:sz="0" w:space="0" w:color="auto"/>
            <w:right w:val="none" w:sz="0" w:space="0" w:color="auto"/>
          </w:divBdr>
        </w:div>
      </w:divsChild>
    </w:div>
    <w:div w:id="2080902040">
      <w:marLeft w:val="0"/>
      <w:marRight w:val="0"/>
      <w:marTop w:val="0"/>
      <w:marBottom w:val="240"/>
      <w:divBdr>
        <w:top w:val="none" w:sz="0" w:space="0" w:color="auto"/>
        <w:left w:val="none" w:sz="0" w:space="0" w:color="auto"/>
        <w:bottom w:val="none" w:sz="0" w:space="0" w:color="auto"/>
        <w:right w:val="none" w:sz="0" w:space="0" w:color="auto"/>
      </w:divBdr>
    </w:div>
    <w:div w:id="2082215365">
      <w:marLeft w:val="0"/>
      <w:marRight w:val="0"/>
      <w:marTop w:val="0"/>
      <w:marBottom w:val="180"/>
      <w:divBdr>
        <w:top w:val="none" w:sz="0" w:space="0" w:color="auto"/>
        <w:left w:val="none" w:sz="0" w:space="0" w:color="auto"/>
        <w:bottom w:val="none" w:sz="0" w:space="0" w:color="auto"/>
        <w:right w:val="none" w:sz="0" w:space="0" w:color="auto"/>
      </w:divBdr>
    </w:div>
    <w:div w:id="2082869578">
      <w:marLeft w:val="0"/>
      <w:marRight w:val="0"/>
      <w:marTop w:val="0"/>
      <w:marBottom w:val="0"/>
      <w:divBdr>
        <w:top w:val="none" w:sz="0" w:space="0" w:color="auto"/>
        <w:left w:val="none" w:sz="0" w:space="0" w:color="auto"/>
        <w:bottom w:val="none" w:sz="0" w:space="0" w:color="auto"/>
        <w:right w:val="none" w:sz="0" w:space="0" w:color="auto"/>
      </w:divBdr>
      <w:divsChild>
        <w:div w:id="1392071005">
          <w:marLeft w:val="0"/>
          <w:marRight w:val="0"/>
          <w:marTop w:val="0"/>
          <w:marBottom w:val="0"/>
          <w:divBdr>
            <w:top w:val="none" w:sz="0" w:space="0" w:color="auto"/>
            <w:left w:val="none" w:sz="0" w:space="0" w:color="auto"/>
            <w:bottom w:val="none" w:sz="0" w:space="0" w:color="auto"/>
            <w:right w:val="none" w:sz="0" w:space="0" w:color="auto"/>
          </w:divBdr>
        </w:div>
      </w:divsChild>
    </w:div>
    <w:div w:id="2083290386">
      <w:marLeft w:val="0"/>
      <w:marRight w:val="0"/>
      <w:marTop w:val="120"/>
      <w:marBottom w:val="120"/>
      <w:divBdr>
        <w:top w:val="none" w:sz="0" w:space="0" w:color="auto"/>
        <w:left w:val="none" w:sz="0" w:space="0" w:color="auto"/>
        <w:bottom w:val="none" w:sz="0" w:space="0" w:color="auto"/>
        <w:right w:val="none" w:sz="0" w:space="0" w:color="auto"/>
      </w:divBdr>
    </w:div>
    <w:div w:id="2084258922">
      <w:marLeft w:val="0"/>
      <w:marRight w:val="0"/>
      <w:marTop w:val="100"/>
      <w:marBottom w:val="100"/>
      <w:divBdr>
        <w:top w:val="none" w:sz="0" w:space="0" w:color="auto"/>
        <w:left w:val="none" w:sz="0" w:space="0" w:color="auto"/>
        <w:bottom w:val="none" w:sz="0" w:space="0" w:color="auto"/>
        <w:right w:val="none" w:sz="0" w:space="0" w:color="auto"/>
      </w:divBdr>
      <w:divsChild>
        <w:div w:id="327488829">
          <w:marLeft w:val="0"/>
          <w:marRight w:val="0"/>
          <w:marTop w:val="0"/>
          <w:marBottom w:val="0"/>
          <w:divBdr>
            <w:top w:val="none" w:sz="0" w:space="0" w:color="auto"/>
            <w:left w:val="none" w:sz="0" w:space="0" w:color="auto"/>
            <w:bottom w:val="none" w:sz="0" w:space="0" w:color="auto"/>
            <w:right w:val="none" w:sz="0" w:space="0" w:color="auto"/>
          </w:divBdr>
        </w:div>
        <w:div w:id="1603338959">
          <w:marLeft w:val="0"/>
          <w:marRight w:val="0"/>
          <w:marTop w:val="0"/>
          <w:marBottom w:val="0"/>
          <w:divBdr>
            <w:top w:val="none" w:sz="0" w:space="0" w:color="auto"/>
            <w:left w:val="none" w:sz="0" w:space="0" w:color="auto"/>
            <w:bottom w:val="none" w:sz="0" w:space="0" w:color="auto"/>
            <w:right w:val="none" w:sz="0" w:space="0" w:color="auto"/>
          </w:divBdr>
        </w:div>
        <w:div w:id="1358921398">
          <w:marLeft w:val="0"/>
          <w:marRight w:val="0"/>
          <w:marTop w:val="0"/>
          <w:marBottom w:val="0"/>
          <w:divBdr>
            <w:top w:val="none" w:sz="0" w:space="0" w:color="auto"/>
            <w:left w:val="none" w:sz="0" w:space="0" w:color="auto"/>
            <w:bottom w:val="none" w:sz="0" w:space="0" w:color="auto"/>
            <w:right w:val="none" w:sz="0" w:space="0" w:color="auto"/>
          </w:divBdr>
        </w:div>
      </w:divsChild>
    </w:div>
    <w:div w:id="2084640408">
      <w:marLeft w:val="0"/>
      <w:marRight w:val="0"/>
      <w:marTop w:val="120"/>
      <w:marBottom w:val="120"/>
      <w:divBdr>
        <w:top w:val="none" w:sz="0" w:space="0" w:color="auto"/>
        <w:left w:val="none" w:sz="0" w:space="0" w:color="auto"/>
        <w:bottom w:val="none" w:sz="0" w:space="0" w:color="auto"/>
        <w:right w:val="none" w:sz="0" w:space="0" w:color="auto"/>
      </w:divBdr>
    </w:div>
    <w:div w:id="2088067259">
      <w:marLeft w:val="0"/>
      <w:marRight w:val="0"/>
      <w:marTop w:val="0"/>
      <w:marBottom w:val="180"/>
      <w:divBdr>
        <w:top w:val="none" w:sz="0" w:space="0" w:color="auto"/>
        <w:left w:val="none" w:sz="0" w:space="0" w:color="auto"/>
        <w:bottom w:val="none" w:sz="0" w:space="0" w:color="auto"/>
        <w:right w:val="none" w:sz="0" w:space="0" w:color="auto"/>
      </w:divBdr>
    </w:div>
    <w:div w:id="2088067736">
      <w:marLeft w:val="0"/>
      <w:marRight w:val="0"/>
      <w:marTop w:val="0"/>
      <w:marBottom w:val="180"/>
      <w:divBdr>
        <w:top w:val="none" w:sz="0" w:space="0" w:color="auto"/>
        <w:left w:val="none" w:sz="0" w:space="0" w:color="auto"/>
        <w:bottom w:val="none" w:sz="0" w:space="0" w:color="auto"/>
        <w:right w:val="none" w:sz="0" w:space="0" w:color="auto"/>
      </w:divBdr>
    </w:div>
    <w:div w:id="2091148937">
      <w:marLeft w:val="0"/>
      <w:marRight w:val="0"/>
      <w:marTop w:val="0"/>
      <w:marBottom w:val="180"/>
      <w:divBdr>
        <w:top w:val="none" w:sz="0" w:space="0" w:color="auto"/>
        <w:left w:val="none" w:sz="0" w:space="0" w:color="auto"/>
        <w:bottom w:val="none" w:sz="0" w:space="0" w:color="auto"/>
        <w:right w:val="none" w:sz="0" w:space="0" w:color="auto"/>
      </w:divBdr>
    </w:div>
    <w:div w:id="2093773692">
      <w:marLeft w:val="0"/>
      <w:marRight w:val="0"/>
      <w:marTop w:val="0"/>
      <w:marBottom w:val="240"/>
      <w:divBdr>
        <w:top w:val="none" w:sz="0" w:space="0" w:color="auto"/>
        <w:left w:val="none" w:sz="0" w:space="0" w:color="auto"/>
        <w:bottom w:val="none" w:sz="0" w:space="0" w:color="auto"/>
        <w:right w:val="none" w:sz="0" w:space="0" w:color="auto"/>
      </w:divBdr>
    </w:div>
    <w:div w:id="2095012542">
      <w:marLeft w:val="0"/>
      <w:marRight w:val="0"/>
      <w:marTop w:val="180"/>
      <w:marBottom w:val="180"/>
      <w:divBdr>
        <w:top w:val="none" w:sz="0" w:space="0" w:color="auto"/>
        <w:left w:val="none" w:sz="0" w:space="0" w:color="auto"/>
        <w:bottom w:val="none" w:sz="0" w:space="0" w:color="auto"/>
        <w:right w:val="none" w:sz="0" w:space="0" w:color="auto"/>
      </w:divBdr>
    </w:div>
    <w:div w:id="2096004765">
      <w:marLeft w:val="0"/>
      <w:marRight w:val="0"/>
      <w:marTop w:val="0"/>
      <w:marBottom w:val="0"/>
      <w:divBdr>
        <w:top w:val="none" w:sz="0" w:space="0" w:color="auto"/>
        <w:left w:val="none" w:sz="0" w:space="0" w:color="auto"/>
        <w:bottom w:val="none" w:sz="0" w:space="0" w:color="auto"/>
        <w:right w:val="none" w:sz="0" w:space="0" w:color="auto"/>
      </w:divBdr>
    </w:div>
    <w:div w:id="2099672266">
      <w:marLeft w:val="0"/>
      <w:marRight w:val="0"/>
      <w:marTop w:val="180"/>
      <w:marBottom w:val="180"/>
      <w:divBdr>
        <w:top w:val="none" w:sz="0" w:space="0" w:color="auto"/>
        <w:left w:val="none" w:sz="0" w:space="0" w:color="auto"/>
        <w:bottom w:val="none" w:sz="0" w:space="0" w:color="auto"/>
        <w:right w:val="none" w:sz="0" w:space="0" w:color="auto"/>
      </w:divBdr>
    </w:div>
    <w:div w:id="2103452091">
      <w:marLeft w:val="0"/>
      <w:marRight w:val="0"/>
      <w:marTop w:val="0"/>
      <w:marBottom w:val="0"/>
      <w:divBdr>
        <w:top w:val="none" w:sz="0" w:space="0" w:color="auto"/>
        <w:left w:val="none" w:sz="0" w:space="0" w:color="auto"/>
        <w:bottom w:val="none" w:sz="0" w:space="0" w:color="auto"/>
        <w:right w:val="none" w:sz="0" w:space="0" w:color="auto"/>
      </w:divBdr>
    </w:div>
    <w:div w:id="2103867302">
      <w:marLeft w:val="0"/>
      <w:marRight w:val="0"/>
      <w:marTop w:val="0"/>
      <w:marBottom w:val="0"/>
      <w:divBdr>
        <w:top w:val="none" w:sz="0" w:space="0" w:color="auto"/>
        <w:left w:val="none" w:sz="0" w:space="0" w:color="auto"/>
        <w:bottom w:val="none" w:sz="0" w:space="0" w:color="auto"/>
        <w:right w:val="none" w:sz="0" w:space="0" w:color="auto"/>
      </w:divBdr>
    </w:div>
    <w:div w:id="2104109782">
      <w:marLeft w:val="0"/>
      <w:marRight w:val="0"/>
      <w:marTop w:val="0"/>
      <w:marBottom w:val="240"/>
      <w:divBdr>
        <w:top w:val="none" w:sz="0" w:space="0" w:color="auto"/>
        <w:left w:val="none" w:sz="0" w:space="0" w:color="auto"/>
        <w:bottom w:val="none" w:sz="0" w:space="0" w:color="auto"/>
        <w:right w:val="none" w:sz="0" w:space="0" w:color="auto"/>
      </w:divBdr>
    </w:div>
    <w:div w:id="2104957909">
      <w:marLeft w:val="0"/>
      <w:marRight w:val="0"/>
      <w:marTop w:val="0"/>
      <w:marBottom w:val="240"/>
      <w:divBdr>
        <w:top w:val="none" w:sz="0" w:space="0" w:color="auto"/>
        <w:left w:val="none" w:sz="0" w:space="0" w:color="auto"/>
        <w:bottom w:val="none" w:sz="0" w:space="0" w:color="auto"/>
        <w:right w:val="none" w:sz="0" w:space="0" w:color="auto"/>
      </w:divBdr>
    </w:div>
    <w:div w:id="2106152882">
      <w:marLeft w:val="0"/>
      <w:marRight w:val="0"/>
      <w:marTop w:val="0"/>
      <w:marBottom w:val="0"/>
      <w:divBdr>
        <w:top w:val="none" w:sz="0" w:space="0" w:color="auto"/>
        <w:left w:val="none" w:sz="0" w:space="0" w:color="auto"/>
        <w:bottom w:val="none" w:sz="0" w:space="0" w:color="auto"/>
        <w:right w:val="none" w:sz="0" w:space="0" w:color="auto"/>
      </w:divBdr>
    </w:div>
    <w:div w:id="2106727540">
      <w:marLeft w:val="0"/>
      <w:marRight w:val="0"/>
      <w:marTop w:val="0"/>
      <w:marBottom w:val="0"/>
      <w:divBdr>
        <w:top w:val="none" w:sz="0" w:space="0" w:color="auto"/>
        <w:left w:val="none" w:sz="0" w:space="0" w:color="auto"/>
        <w:bottom w:val="none" w:sz="0" w:space="0" w:color="auto"/>
        <w:right w:val="none" w:sz="0" w:space="0" w:color="auto"/>
      </w:divBdr>
    </w:div>
    <w:div w:id="2109033902">
      <w:marLeft w:val="0"/>
      <w:marRight w:val="0"/>
      <w:marTop w:val="0"/>
      <w:marBottom w:val="180"/>
      <w:divBdr>
        <w:top w:val="none" w:sz="0" w:space="0" w:color="auto"/>
        <w:left w:val="none" w:sz="0" w:space="0" w:color="auto"/>
        <w:bottom w:val="none" w:sz="0" w:space="0" w:color="auto"/>
        <w:right w:val="none" w:sz="0" w:space="0" w:color="auto"/>
      </w:divBdr>
    </w:div>
    <w:div w:id="2111924148">
      <w:marLeft w:val="0"/>
      <w:marRight w:val="0"/>
      <w:marTop w:val="0"/>
      <w:marBottom w:val="0"/>
      <w:divBdr>
        <w:top w:val="none" w:sz="0" w:space="0" w:color="auto"/>
        <w:left w:val="none" w:sz="0" w:space="0" w:color="auto"/>
        <w:bottom w:val="none" w:sz="0" w:space="0" w:color="auto"/>
        <w:right w:val="none" w:sz="0" w:space="0" w:color="auto"/>
      </w:divBdr>
    </w:div>
    <w:div w:id="2112775777">
      <w:marLeft w:val="0"/>
      <w:marRight w:val="0"/>
      <w:marTop w:val="120"/>
      <w:marBottom w:val="120"/>
      <w:divBdr>
        <w:top w:val="none" w:sz="0" w:space="0" w:color="auto"/>
        <w:left w:val="none" w:sz="0" w:space="0" w:color="auto"/>
        <w:bottom w:val="none" w:sz="0" w:space="0" w:color="auto"/>
        <w:right w:val="none" w:sz="0" w:space="0" w:color="auto"/>
      </w:divBdr>
    </w:div>
    <w:div w:id="2114935223">
      <w:marLeft w:val="0"/>
      <w:marRight w:val="0"/>
      <w:marTop w:val="0"/>
      <w:marBottom w:val="180"/>
      <w:divBdr>
        <w:top w:val="none" w:sz="0" w:space="0" w:color="auto"/>
        <w:left w:val="none" w:sz="0" w:space="0" w:color="auto"/>
        <w:bottom w:val="none" w:sz="0" w:space="0" w:color="auto"/>
        <w:right w:val="none" w:sz="0" w:space="0" w:color="auto"/>
      </w:divBdr>
    </w:div>
    <w:div w:id="2121026365">
      <w:marLeft w:val="0"/>
      <w:marRight w:val="0"/>
      <w:marTop w:val="0"/>
      <w:marBottom w:val="180"/>
      <w:divBdr>
        <w:top w:val="none" w:sz="0" w:space="0" w:color="auto"/>
        <w:left w:val="none" w:sz="0" w:space="0" w:color="auto"/>
        <w:bottom w:val="none" w:sz="0" w:space="0" w:color="auto"/>
        <w:right w:val="none" w:sz="0" w:space="0" w:color="auto"/>
      </w:divBdr>
    </w:div>
    <w:div w:id="2121030158">
      <w:marLeft w:val="0"/>
      <w:marRight w:val="0"/>
      <w:marTop w:val="60"/>
      <w:marBottom w:val="0"/>
      <w:divBdr>
        <w:top w:val="none" w:sz="0" w:space="0" w:color="auto"/>
        <w:left w:val="none" w:sz="0" w:space="0" w:color="auto"/>
        <w:bottom w:val="none" w:sz="0" w:space="0" w:color="auto"/>
        <w:right w:val="none" w:sz="0" w:space="0" w:color="auto"/>
      </w:divBdr>
    </w:div>
    <w:div w:id="2124113233">
      <w:marLeft w:val="0"/>
      <w:marRight w:val="0"/>
      <w:marTop w:val="0"/>
      <w:marBottom w:val="180"/>
      <w:divBdr>
        <w:top w:val="none" w:sz="0" w:space="0" w:color="auto"/>
        <w:left w:val="none" w:sz="0" w:space="0" w:color="auto"/>
        <w:bottom w:val="none" w:sz="0" w:space="0" w:color="auto"/>
        <w:right w:val="none" w:sz="0" w:space="0" w:color="auto"/>
      </w:divBdr>
    </w:div>
    <w:div w:id="2124304295">
      <w:marLeft w:val="0"/>
      <w:marRight w:val="0"/>
      <w:marTop w:val="0"/>
      <w:marBottom w:val="240"/>
      <w:divBdr>
        <w:top w:val="none" w:sz="0" w:space="0" w:color="auto"/>
        <w:left w:val="none" w:sz="0" w:space="0" w:color="auto"/>
        <w:bottom w:val="none" w:sz="0" w:space="0" w:color="auto"/>
        <w:right w:val="none" w:sz="0" w:space="0" w:color="auto"/>
      </w:divBdr>
    </w:div>
    <w:div w:id="2124415788">
      <w:marLeft w:val="0"/>
      <w:marRight w:val="0"/>
      <w:marTop w:val="0"/>
      <w:marBottom w:val="0"/>
      <w:divBdr>
        <w:top w:val="none" w:sz="0" w:space="0" w:color="auto"/>
        <w:left w:val="none" w:sz="0" w:space="0" w:color="auto"/>
        <w:bottom w:val="none" w:sz="0" w:space="0" w:color="auto"/>
        <w:right w:val="none" w:sz="0" w:space="0" w:color="auto"/>
      </w:divBdr>
    </w:div>
    <w:div w:id="2124955401">
      <w:marLeft w:val="0"/>
      <w:marRight w:val="0"/>
      <w:marTop w:val="0"/>
      <w:marBottom w:val="180"/>
      <w:divBdr>
        <w:top w:val="none" w:sz="0" w:space="0" w:color="auto"/>
        <w:left w:val="none" w:sz="0" w:space="0" w:color="auto"/>
        <w:bottom w:val="none" w:sz="0" w:space="0" w:color="auto"/>
        <w:right w:val="none" w:sz="0" w:space="0" w:color="auto"/>
      </w:divBdr>
    </w:div>
    <w:div w:id="2126583271">
      <w:marLeft w:val="0"/>
      <w:marRight w:val="0"/>
      <w:marTop w:val="0"/>
      <w:marBottom w:val="240"/>
      <w:divBdr>
        <w:top w:val="none" w:sz="0" w:space="0" w:color="auto"/>
        <w:left w:val="none" w:sz="0" w:space="0" w:color="auto"/>
        <w:bottom w:val="none" w:sz="0" w:space="0" w:color="auto"/>
        <w:right w:val="none" w:sz="0" w:space="0" w:color="auto"/>
      </w:divBdr>
    </w:div>
    <w:div w:id="2127769684">
      <w:marLeft w:val="0"/>
      <w:marRight w:val="0"/>
      <w:marTop w:val="180"/>
      <w:marBottom w:val="180"/>
      <w:divBdr>
        <w:top w:val="none" w:sz="0" w:space="0" w:color="auto"/>
        <w:left w:val="none" w:sz="0" w:space="0" w:color="auto"/>
        <w:bottom w:val="none" w:sz="0" w:space="0" w:color="auto"/>
        <w:right w:val="none" w:sz="0" w:space="0" w:color="auto"/>
      </w:divBdr>
    </w:div>
    <w:div w:id="2129928473">
      <w:marLeft w:val="0"/>
      <w:marRight w:val="0"/>
      <w:marTop w:val="120"/>
      <w:marBottom w:val="180"/>
      <w:divBdr>
        <w:top w:val="none" w:sz="0" w:space="0" w:color="auto"/>
        <w:left w:val="none" w:sz="0" w:space="0" w:color="auto"/>
        <w:bottom w:val="none" w:sz="0" w:space="0" w:color="auto"/>
        <w:right w:val="none" w:sz="0" w:space="0" w:color="auto"/>
      </w:divBdr>
    </w:div>
    <w:div w:id="2130976601">
      <w:marLeft w:val="0"/>
      <w:marRight w:val="0"/>
      <w:marTop w:val="60"/>
      <w:marBottom w:val="240"/>
      <w:divBdr>
        <w:top w:val="none" w:sz="0" w:space="0" w:color="auto"/>
        <w:left w:val="none" w:sz="0" w:space="0" w:color="auto"/>
        <w:bottom w:val="none" w:sz="0" w:space="0" w:color="auto"/>
        <w:right w:val="none" w:sz="0" w:space="0" w:color="auto"/>
      </w:divBdr>
    </w:div>
    <w:div w:id="2131585122">
      <w:marLeft w:val="0"/>
      <w:marRight w:val="0"/>
      <w:marTop w:val="0"/>
      <w:marBottom w:val="0"/>
      <w:divBdr>
        <w:top w:val="none" w:sz="0" w:space="0" w:color="auto"/>
        <w:left w:val="none" w:sz="0" w:space="0" w:color="auto"/>
        <w:bottom w:val="none" w:sz="0" w:space="0" w:color="auto"/>
        <w:right w:val="none" w:sz="0" w:space="0" w:color="auto"/>
      </w:divBdr>
      <w:divsChild>
        <w:div w:id="1627393986">
          <w:marLeft w:val="0"/>
          <w:marRight w:val="0"/>
          <w:marTop w:val="0"/>
          <w:marBottom w:val="0"/>
          <w:divBdr>
            <w:top w:val="none" w:sz="0" w:space="0" w:color="auto"/>
            <w:left w:val="none" w:sz="0" w:space="0" w:color="auto"/>
            <w:bottom w:val="none" w:sz="0" w:space="0" w:color="auto"/>
            <w:right w:val="none" w:sz="0" w:space="0" w:color="auto"/>
          </w:divBdr>
        </w:div>
      </w:divsChild>
    </w:div>
    <w:div w:id="2132623189">
      <w:marLeft w:val="0"/>
      <w:marRight w:val="0"/>
      <w:marTop w:val="0"/>
      <w:marBottom w:val="0"/>
      <w:divBdr>
        <w:top w:val="none" w:sz="0" w:space="0" w:color="auto"/>
        <w:left w:val="none" w:sz="0" w:space="0" w:color="auto"/>
        <w:bottom w:val="none" w:sz="0" w:space="0" w:color="auto"/>
        <w:right w:val="none" w:sz="0" w:space="0" w:color="auto"/>
      </w:divBdr>
      <w:divsChild>
        <w:div w:id="372268512">
          <w:marLeft w:val="0"/>
          <w:marRight w:val="0"/>
          <w:marTop w:val="0"/>
          <w:marBottom w:val="0"/>
          <w:divBdr>
            <w:top w:val="none" w:sz="0" w:space="0" w:color="auto"/>
            <w:left w:val="none" w:sz="0" w:space="0" w:color="auto"/>
            <w:bottom w:val="none" w:sz="0" w:space="0" w:color="auto"/>
            <w:right w:val="none" w:sz="0" w:space="0" w:color="auto"/>
          </w:divBdr>
        </w:div>
      </w:divsChild>
    </w:div>
    <w:div w:id="2135439204">
      <w:marLeft w:val="0"/>
      <w:marRight w:val="0"/>
      <w:marTop w:val="0"/>
      <w:marBottom w:val="240"/>
      <w:divBdr>
        <w:top w:val="none" w:sz="0" w:space="0" w:color="auto"/>
        <w:left w:val="none" w:sz="0" w:space="0" w:color="auto"/>
        <w:bottom w:val="none" w:sz="0" w:space="0" w:color="auto"/>
        <w:right w:val="none" w:sz="0" w:space="0" w:color="auto"/>
      </w:divBdr>
    </w:div>
    <w:div w:id="2139102676">
      <w:marLeft w:val="0"/>
      <w:marRight w:val="0"/>
      <w:marTop w:val="100"/>
      <w:marBottom w:val="100"/>
      <w:divBdr>
        <w:top w:val="none" w:sz="0" w:space="0" w:color="auto"/>
        <w:left w:val="none" w:sz="0" w:space="0" w:color="auto"/>
        <w:bottom w:val="none" w:sz="0" w:space="0" w:color="auto"/>
        <w:right w:val="none" w:sz="0" w:space="0" w:color="auto"/>
      </w:divBdr>
    </w:div>
    <w:div w:id="2140829828">
      <w:marLeft w:val="0"/>
      <w:marRight w:val="0"/>
      <w:marTop w:val="180"/>
      <w:marBottom w:val="180"/>
      <w:divBdr>
        <w:top w:val="none" w:sz="0" w:space="0" w:color="auto"/>
        <w:left w:val="none" w:sz="0" w:space="0" w:color="auto"/>
        <w:bottom w:val="none" w:sz="0" w:space="0" w:color="auto"/>
        <w:right w:val="none" w:sz="0" w:space="0" w:color="auto"/>
      </w:divBdr>
    </w:div>
    <w:div w:id="2140953720">
      <w:marLeft w:val="0"/>
      <w:marRight w:val="0"/>
      <w:marTop w:val="180"/>
      <w:marBottom w:val="180"/>
      <w:divBdr>
        <w:top w:val="none" w:sz="0" w:space="0" w:color="auto"/>
        <w:left w:val="none" w:sz="0" w:space="0" w:color="auto"/>
        <w:bottom w:val="none" w:sz="0" w:space="0" w:color="auto"/>
        <w:right w:val="none" w:sz="0" w:space="0" w:color="auto"/>
      </w:divBdr>
    </w:div>
    <w:div w:id="2143762556">
      <w:marLeft w:val="0"/>
      <w:marRight w:val="0"/>
      <w:marTop w:val="0"/>
      <w:marBottom w:val="0"/>
      <w:divBdr>
        <w:top w:val="none" w:sz="0" w:space="0" w:color="auto"/>
        <w:left w:val="none" w:sz="0" w:space="0" w:color="auto"/>
        <w:bottom w:val="none" w:sz="0" w:space="0" w:color="auto"/>
        <w:right w:val="none" w:sz="0" w:space="0" w:color="auto"/>
      </w:divBdr>
      <w:divsChild>
        <w:div w:id="896209741">
          <w:marLeft w:val="0"/>
          <w:marRight w:val="0"/>
          <w:marTop w:val="0"/>
          <w:marBottom w:val="0"/>
          <w:divBdr>
            <w:top w:val="none" w:sz="0" w:space="0" w:color="auto"/>
            <w:left w:val="none" w:sz="0" w:space="0" w:color="auto"/>
            <w:bottom w:val="none" w:sz="0" w:space="0" w:color="auto"/>
            <w:right w:val="none" w:sz="0" w:space="0" w:color="auto"/>
          </w:divBdr>
        </w:div>
      </w:divsChild>
    </w:div>
    <w:div w:id="2144495452">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93020exhibit31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333986/000156459020044388/eqh-ex31_16.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333986/000119312520216340/d64111dex31.htm" TargetMode="External"/><Relationship Id="rId11" Type="http://schemas.openxmlformats.org/officeDocument/2006/relationships/hyperlink" Target="eqh-93020exhibit322.htm" TargetMode="Externa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93020exhibit321.htm" TargetMode="External"/><Relationship Id="rId4" Type="http://schemas.openxmlformats.org/officeDocument/2006/relationships/image" Target="file:///E:\projects\LLMs\new_data_collection\data_new\htm\Equitable%20Holdings,%20Inc\eqh-20200930_g1.jpg" TargetMode="External"/><Relationship Id="rId9" Type="http://schemas.openxmlformats.org/officeDocument/2006/relationships/hyperlink" Target="eqh-93020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94721</Words>
  <Characters>539916</Characters>
  <Application>Microsoft Office Word</Application>
  <DocSecurity>0</DocSecurity>
  <Lines>4499</Lines>
  <Paragraphs>1266</Paragraphs>
  <ScaleCrop>false</ScaleCrop>
  <Company/>
  <LinksUpToDate>false</LinksUpToDate>
  <CharactersWithSpaces>633371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eqh-20200930</dc:title>
  <dc:subject/>
  <dc:creator>Chongjian.Yue</dc:creator>
  <cp:keywords/>
  <dc:description/>
  <cp:lastModifiedBy>Yue Chongjian</cp:lastModifiedBy>
  <cp:revision>1</cp:revision>
  <dcterms:created xsi:type="dcterms:W3CDTF">2024-01-04T15:42:00Z</dcterms:created>
  <dcterms:modified xsi:type="dcterms:W3CDTF">2024-01-04T15:42:00Z</dcterms:modified>
</cp:coreProperties>
</file>