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97B14">
      <w:pPr>
        <w:divId w:val="592972959"/>
        <w:rPr>
          <w:rFonts w:eastAsia="Times New Roman"/>
          <w:vanish/>
        </w:rPr>
      </w:pPr>
      <w:r>
        <w:rPr>
          <w:rFonts w:eastAsia="Times New Roman"/>
          <w:vanish/>
        </w:rPr>
        <w:t>Q22021FALSE0001333986--12-31http://fasb.org/us-gaap/2021-01-31#AccountingStandardsUpdate201613Member0.180.170.350.3251.468.775.270.655.333366.56.564.470.568.35.70.62.533366.56.50.00100013339862021-01-012021-06-300001333986</w:t>
      </w:r>
      <w:r>
        <w:rPr>
          <w:rFonts w:eastAsia="Times New Roman"/>
          <w:vanish/>
        </w:rPr>
        <w:t>us-gaap:CommonClassAMember2021-01-012021-06-300001333986us-gaap:SeriesAPreferredStockMember2021-01-012021-06-300001333986us-gaap:SeriesCPreferredStockMember2021-01-012021-06-30xbrli:shares00013339862021-08-03iso4217:USD00013339862021-06-3000013339862020-12</w:t>
      </w:r>
      <w:r>
        <w:rPr>
          <w:rFonts w:eastAsia="Times New Roman"/>
          <w:vanish/>
        </w:rPr>
        <w:t>-31iso4217:USDxbrli:shares00013339862021-04-012021-06-3000013339862020-04-012020-06-3000013339862020-01-012020-06-300001333986us-gaap:PreferredStockIncludingAdditionalPaidInCapitalMember2021-03-310001333986us-gaap:CommonStockMember2021-03-310001333986us-ga</w:t>
      </w:r>
      <w:r>
        <w:rPr>
          <w:rFonts w:eastAsia="Times New Roman"/>
          <w:vanish/>
        </w:rPr>
        <w:t>ap:AdditionalPaidInCapitalMember2021-03-310001333986us-gaap:TreasuryStockMember2021-03-310001333986us-gaap:RetainedEarningsMember2021-03-310001333986us-gaap:AccumulatedOtherComprehensiveIncomeMember2021-03-310001333986us-gaap:ParentMember2021-03-3100013339</w:t>
      </w:r>
      <w:r>
        <w:rPr>
          <w:rFonts w:eastAsia="Times New Roman"/>
          <w:vanish/>
        </w:rPr>
        <w:t>86us-gaap:NoncontrollingInterestMember2021-03-3100013339862021-03-310001333986us-gaap:AdditionalPaidInCapitalMember2021-04-012021-06-300001333986us-gaap:TreasuryStockMember2021-04-012021-06-300001333986us-gaap:ParentMember2021-04-012021-06-300001333986us-g</w:t>
      </w:r>
      <w:r>
        <w:rPr>
          <w:rFonts w:eastAsia="Times New Roman"/>
          <w:vanish/>
        </w:rPr>
        <w:t>aap:NoncontrollingInterestMember2021-04-012021-06-300001333986us-gaap:RetainedEarningsMember2021-04-012021-06-300001333986us-gaap:PreferredStockIncludingAdditionalPaidInCapitalMember2021-04-012021-06-300001333986us-gaap:AccumulatedOtherComprehensiveIncomeM</w:t>
      </w:r>
      <w:r>
        <w:rPr>
          <w:rFonts w:eastAsia="Times New Roman"/>
          <w:vanish/>
        </w:rPr>
        <w:t>ember2021-04-012021-06-300001333986us-gaap:PreferredStockIncludingAdditionalPaidInCapitalMember2021-06-300001333986us-gaap:CommonStockMember2021-06-300001333986us-gaap:AdditionalPaidInCapitalMember2021-06-300001333986us-gaap:TreasuryStockMember2021-06-3000</w:t>
      </w:r>
      <w:r>
        <w:rPr>
          <w:rFonts w:eastAsia="Times New Roman"/>
          <w:vanish/>
        </w:rPr>
        <w:t>01333986us-gaap:RetainedEarningsMember2021-06-300001333986us-gaap:AccumulatedOtherComprehensiveIncomeMember2021-06-300001333986us-gaap:ParentMember2021-06-300001333986us-gaap:NoncontrollingInterestMember2021-06-300001333986us-gaap:PreferredStockIncludingAd</w:t>
      </w:r>
      <w:r>
        <w:rPr>
          <w:rFonts w:eastAsia="Times New Roman"/>
          <w:vanish/>
        </w:rPr>
        <w:t>ditionalPaidInCapitalMember2020-03-310001333986us-gaap:CommonStockMember2020-03-310001333986us-gaap:AdditionalPaidInCapitalMember2020-03-310001333986us-gaap:TreasuryStockMember2020-03-310001333986us-gaap:RetainedEarningsMember2020-03-310001333986us-gaap:Ac</w:t>
      </w:r>
      <w:r>
        <w:rPr>
          <w:rFonts w:eastAsia="Times New Roman"/>
          <w:vanish/>
        </w:rPr>
        <w:t>cumulatedOtherComprehensiveIncomeMember2020-03-310001333986us-gaap:ParentMember2020-03-310001333986us-gaap:NoncontrollingInterestMember2020-03-3100013339862020-03-310001333986us-gaap:AdditionalPaidInCapitalMember2020-04-012020-06-300001333986us-gaap:Treasu</w:t>
      </w:r>
      <w:r>
        <w:rPr>
          <w:rFonts w:eastAsia="Times New Roman"/>
          <w:vanish/>
        </w:rPr>
        <w:t>ryStockMember2020-04-012020-06-300001333986us-gaap:ParentMember2020-04-012020-06-300001333986us-gaap:NoncontrollingInterestMember2020-04-012020-06-300001333986us-gaap:RetainedEarningsMember2020-04-012020-06-300001333986us-gaap:AccumulatedOtherComprehensive</w:t>
      </w:r>
      <w:r>
        <w:rPr>
          <w:rFonts w:eastAsia="Times New Roman"/>
          <w:vanish/>
        </w:rPr>
        <w:t>IncomeMember2020-04-012020-06-300001333986us-gaap:PreferredStockIncludingAdditionalPaidInCapitalMember2020-06-300001333986us-gaap:CommonStockMember2020-06-300001333986us-gaap:AdditionalPaidInCapitalMember2020-06-300001333986us-gaap:TreasuryStockMember2020-</w:t>
      </w:r>
      <w:r>
        <w:rPr>
          <w:rFonts w:eastAsia="Times New Roman"/>
          <w:vanish/>
        </w:rPr>
        <w:t>06-300001333986us-gaap:RetainedEarningsMember2020-06-300001333986us-gaap:AccumulatedOtherComprehensiveIncomeMember2020-06-300001333986us-gaap:ParentMember2020-06-300001333986us-gaap:NoncontrollingInterestMember2020-06-3000013339862020-06-300001333986us-gaa</w:t>
      </w:r>
      <w:r>
        <w:rPr>
          <w:rFonts w:eastAsia="Times New Roman"/>
          <w:vanish/>
        </w:rPr>
        <w:t>p:PreferredStockIncludingAdditionalPaidInCapitalMember2020-12-310001333986us-gaap:CommonStockMember2020-12-310001333986us-gaap:AdditionalPaidInCapitalMember2020-12-310001333986us-gaap:TreasuryStockMember2020-12-310001333986us-gaap:RetainedEarningsMember202</w:t>
      </w:r>
      <w:r>
        <w:rPr>
          <w:rFonts w:eastAsia="Times New Roman"/>
          <w:vanish/>
        </w:rPr>
        <w:t>0-12-310001333986us-gaap:AccumulatedOtherComprehensiveIncomeMember2020-12-310001333986us-gaap:ParentMember2020-12-310001333986us-gaap:NoncontrollingInterestMember2020-12-310001333986us-gaap:AdditionalPaidInCapitalMember2021-01-012021-06-300001333986us-gaap</w:t>
      </w:r>
      <w:r>
        <w:rPr>
          <w:rFonts w:eastAsia="Times New Roman"/>
          <w:vanish/>
        </w:rPr>
        <w:t>:TreasuryStockMember2021-01-012021-06-300001333986us-gaap:ParentMember2021-01-012021-06-300001333986us-gaap:NoncontrollingInterestMember2021-01-012021-06-300001333986us-gaap:RetainedEarningsMember2021-01-012021-06-300001333986us-gaap:PreferredStockIncludin</w:t>
      </w:r>
      <w:r>
        <w:rPr>
          <w:rFonts w:eastAsia="Times New Roman"/>
          <w:vanish/>
        </w:rPr>
        <w:t>gAdditionalPaidInCapitalMember2021-01-012021-06-300001333986us-gaap:AccumulatedOtherComprehensiveIncomeMember2021-01-012021-06-300001333986us-gaap:PreferredStockIncludingAdditionalPaidInCapitalMember2019-12-310001333986us-gaap:CommonStockMember2019-12-3100</w:t>
      </w:r>
      <w:r>
        <w:rPr>
          <w:rFonts w:eastAsia="Times New Roman"/>
          <w:vanish/>
        </w:rPr>
        <w:t>01333986us-gaap:AdditionalPaidInCapitalMember2019-12-310001333986us-gaap:TreasuryStockMember2019-12-310001333986us-gaap:RetainedEarningsMember2019-12-310001333986us-gaap:AccumulatedOtherComprehensiveIncomeMember2019-12-310001333986us-gaap:ParentMember2019-</w:t>
      </w:r>
      <w:r>
        <w:rPr>
          <w:rFonts w:eastAsia="Times New Roman"/>
          <w:vanish/>
        </w:rPr>
        <w:t>12-310001333986us-gaap:NoncontrollingInterestMember2019-12-3100013339862019-12-310001333986us-gaap:RetainedEarningsMembersrt:CumulativeEffectPeriodOfAdoptionAdjustedBalanceMember2019-12-310001333986us-gaap:ParentMembersrt:CumulativeEffectPeriodOfAdoptionAd</w:t>
      </w:r>
      <w:r>
        <w:rPr>
          <w:rFonts w:eastAsia="Times New Roman"/>
          <w:vanish/>
        </w:rPr>
        <w:t>justedBalanceMember2019-12-310001333986srt:CumulativeEffectPeriodOfAdoptionAdjustedBalanceMember2019-12-310001333986us-gaap:AdditionalPaidInCapitalMember2020-01-012020-06-300001333986us-gaap:TreasuryStockMember2020-01-012020-06-300001333986us-gaap:ParentMe</w:t>
      </w:r>
      <w:r>
        <w:rPr>
          <w:rFonts w:eastAsia="Times New Roman"/>
          <w:vanish/>
        </w:rPr>
        <w:t>mber2020-01-012020-06-300001333986us-gaap:NoncontrollingInterestMember2020-01-012020-06-300001333986us-gaap:RetainedEarningsMember2020-01-012020-06-300001333986us-gaap:AccumulatedOtherComprehensiveIncomeMember2020-01-012020-06-30eqh:numberOfOperatingSegmen</w:t>
      </w:r>
      <w:r>
        <w:rPr>
          <w:rFonts w:eastAsia="Times New Roman"/>
          <w:vanish/>
        </w:rPr>
        <w:t>txbrli:pure0001333986eqh:AllianceBernsteinMember2020-01-012020-12-310001333986eqh:AllianceBernsteinMember2021-01-012021-06-300001333986eqh:CorporateSolutionsLifeReinsuranceCompanyMember2021-06-010001333986eqh:VenerableInsuranceAndAnnuityCompanyMembereqh:Co</w:t>
      </w:r>
      <w:r>
        <w:rPr>
          <w:rFonts w:eastAsia="Times New Roman"/>
          <w:vanish/>
        </w:rPr>
        <w:t>rporateSolutionsLifeReinsuranceCompanyMember2021-06-012021-06-010001333986eqh:EquitableFinancialLifeInsuranceCompanyEFLICMembereqh:VenerableInsuranceAndAnnuityCompanyMember2021-06-010001333986eqh:AllianceBernsteinMembereqh:CorporateSolutionsLifeReinsurance</w:t>
      </w:r>
      <w:r>
        <w:rPr>
          <w:rFonts w:eastAsia="Times New Roman"/>
          <w:vanish/>
        </w:rPr>
        <w:t>CompanyMember2021-06-010001333986eqh:AllianceBernsteinMemberus-gaap:GuaranteedMinimumWithdrawalBenefitMembereqh:CorporateSolutionsLifeReinsuranceCompanyMember2021-06-010001333986eqh:VACapitalCompanyLLCMembereqh:EquitableInvestmentManagementGroupLLCMember20</w:t>
      </w:r>
      <w:r>
        <w:rPr>
          <w:rFonts w:eastAsia="Times New Roman"/>
          <w:vanish/>
        </w:rPr>
        <w:t>21-06-010001333986us-gaap:CollateralizedLoanObligationsMemberus-gaap:VariableInterestEntityPrimaryBeneficiaryMember2021-06-300001333986us-gaap:CollateralizedLoanObligationsMemberus-gaap:VariableInterestEntityPrimaryBeneficiaryMember2020-12-310001333986eqh:</w:t>
      </w:r>
      <w:r>
        <w:rPr>
          <w:rFonts w:eastAsia="Times New Roman"/>
          <w:vanish/>
        </w:rPr>
        <w:t>ConsolidatedLimitedPartnershipsMember2021-06-300001333986eqh:ConsolidatedLimitedPartnershipsMember2020-12-310001333986eqh:ABSponsoredInvestmentFundsMemberus-gaap:VariableInterestEntityPrimaryBeneficiaryMember2021-06-300001333986eqh:ABSponsoredInvestmentFun</w:t>
      </w:r>
      <w:r>
        <w:rPr>
          <w:rFonts w:eastAsia="Times New Roman"/>
          <w:vanish/>
        </w:rPr>
        <w:t>dsMemberus-gaap:VariableInterestEntityPrimaryBeneficiaryMember2020-12-310001333986eqh:VOEConsolidationModelMembereqh:ABSponsoredInvestmentFundsMember2021-06-300001333986eqh:VOEConsolidationModelMembereqh:ABSponsoredInvestmentFundsMember2020-12-310001333986</w:t>
      </w:r>
      <w:r>
        <w:rPr>
          <w:rFonts w:eastAsia="Times New Roman"/>
          <w:vanish/>
        </w:rPr>
        <w:t>eqh:NonConsolidatedVairableInterestEntitiesVIEMember2021-06-300001333986eqh:NonConsolidatedVairableInterestEntitiesVIEMember2020-12-310001333986eqh:NonConsolidatedVairableInterestEntitiesVIEMembereqh:ABSponsoredInvestmentFundsMember2021-06-300001333986eqh:</w:t>
      </w:r>
      <w:r>
        <w:rPr>
          <w:rFonts w:eastAsia="Times New Roman"/>
          <w:vanish/>
        </w:rPr>
        <w:t>NonConsolidatedVairableInterestEntitiesVIEMembereqh:ABSponsoredInvestmentFundsMember2020-12-310001333986eqh:A5yearHistoricalAverageOverA10yearPeriodMember2021-06-300001333986eqh:LongtermLapsesPartialWithdrawalRatesAndElectionAssumptionsUpdatesMember2020-01</w:t>
      </w:r>
      <w:r>
        <w:rPr>
          <w:rFonts w:eastAsia="Times New Roman"/>
          <w:vanish/>
        </w:rPr>
        <w:t>-012020-06-300001333986eqh:EconomicScenarioGeneratorMember2020-01-012020-06-300001333986us-gaap:FixedMaturitiesMember2021-06-300001333986us-gaap:FixedMaturitiesMember2021-01-012021-06-300001333986us-gaap:FixedMaturitiesMember2021-04-012021-06-300001333986u</w:t>
      </w:r>
      <w:r>
        <w:rPr>
          <w:rFonts w:eastAsia="Times New Roman"/>
          <w:vanish/>
        </w:rPr>
        <w:t>s-gaap:CorporateDebtSecuritiesMember2021-06-300001333986us-gaap:USTreasuryAndGovernmentMember2021-06-300001333986us-gaap:USStatesAndPoliticalSubdivisionsMember2021-06-300001333986us-gaap:ForeignGovernmentDebtSecuritiesMember2021-06-300001333986us-gaap:Resi</w:t>
      </w:r>
      <w:r>
        <w:rPr>
          <w:rFonts w:eastAsia="Times New Roman"/>
          <w:vanish/>
        </w:rPr>
        <w:t>dentialMortgageBackedSecuritiesMember2021-06-300001333986us-gaap:AssetBackedSecuritiesMember2021-06-300001333986us-gaap:CommercialMortgageBackedSecuritiesMember2021-06-300001333986us-gaap:RedeemablePreferredStockMember2021-06-300001333986us-gaap:CorporateD</w:t>
      </w:r>
      <w:r>
        <w:rPr>
          <w:rFonts w:eastAsia="Times New Roman"/>
          <w:vanish/>
        </w:rPr>
        <w:t>ebtSecuritiesMember2020-12-310001333986us-gaap:USTreasuryAndGovernmentMember2020-12-310001333986us-gaap:USStatesAndPoliticalSubdivisionsMember2020-12-310001333986us-gaap:ForeignGovernmentDebtSecuritiesMember2020-12-310001333986us-gaap:ResidentialMortgageBa</w:t>
      </w:r>
      <w:r>
        <w:rPr>
          <w:rFonts w:eastAsia="Times New Roman"/>
          <w:vanish/>
        </w:rPr>
        <w:t>ckedSecuritiesMember2020-12-310001333986us-gaap:AssetBackedSecuritiesMember2020-12-310001333986us-gaap:CommercialMortgageBackedSecuritiesMember2020-12-310001333986us-gaap:RedeemablePreferredStockMember2020-12-310001333986eqh:NetUnrealizedGainsLossesOnInves</w:t>
      </w:r>
      <w:r>
        <w:rPr>
          <w:rFonts w:eastAsia="Times New Roman"/>
          <w:vanish/>
        </w:rPr>
        <w:t>tmentsMembereqh:UnrealizedInvestmentGainsLossesAllOtherMemberus-gaap:AccumulatedNetUnrealizedInvestmentGainLossMember2021-03-310001333986eqh:UnrealizedInvestmentGainsLossesAllOtherMembereqh:DacMemberus-gaap:AccumulatedNetUnrealizedInvestmentGainLossMember2</w:t>
      </w:r>
      <w:r>
        <w:rPr>
          <w:rFonts w:eastAsia="Times New Roman"/>
          <w:vanish/>
        </w:rPr>
        <w:t>021-03-310001333986eqh:UnrealizedInvestmentGainsLossesAllOtherMembereqh:PolicyholdersLiabilitiesMemberus-gaap:AccumulatedNetUnrealizedInvestmentGainLossMember2021-03-310001333986eqh:DeferredIncomeTaxAssetLiabilityMembereqh:UnrealizedInvestmentGainsLossesAl</w:t>
      </w:r>
      <w:r>
        <w:rPr>
          <w:rFonts w:eastAsia="Times New Roman"/>
          <w:vanish/>
        </w:rPr>
        <w:t>lOtherMemberus-gaap:AccumulatedNetUnrealizedInvestmentGainLossMember2021-03-310001333986eqh:UnrealizedInvestmentGainsLossesAllOtherMembereqh:AociGainLossesRelatedToNetUnrealizedInvestmentGainsLossesMemberus-gaap:AccumulatedNetUnrealizedInvestmentGainLossMe</w:t>
      </w:r>
      <w:r>
        <w:rPr>
          <w:rFonts w:eastAsia="Times New Roman"/>
          <w:vanish/>
        </w:rPr>
        <w:t>mber2021-03-310001333986eqh:NetUnrealizedGainsLossesOnInvestmentsMembereqh:UnrealizedInvestmentGainsLossesAllOtherMemberus-gaap:AccumulatedNetUnrealizedInvestmentGainLossMember2021-04-012021-06-300001333986eqh:UnrealizedInvestmentGainsLossesAllOtherMembere</w:t>
      </w:r>
      <w:r>
        <w:rPr>
          <w:rFonts w:eastAsia="Times New Roman"/>
          <w:vanish/>
        </w:rPr>
        <w:t>qh:AociGainLossesRelatedToNetUnrealizedInvestmentGainsLossesMemberus-gaap:AccumulatedNetUnrealizedInvestmentGainLossMember2021-04-012021-06-300001333986eqh:UnrealizedInvestmentGainsLossesAllOtherMembereqh:DacMemberus-gaap:AccumulatedNetUnrealizedInvestment</w:t>
      </w:r>
      <w:r>
        <w:rPr>
          <w:rFonts w:eastAsia="Times New Roman"/>
          <w:vanish/>
        </w:rPr>
        <w:t>GainLossMember2021-04-012021-06-300001333986eqh:UnrealizedInvestmentGainsLossesAllOtherMembereqh:PolicyholdersLiabilitiesMemberus-gaap:AccumulatedNetUnrealizedInvestmentGainLossMember2021-04-012021-06-300001333986eqh:DeferredIncomeTaxAssetLiabilityMembereq</w:t>
      </w:r>
      <w:r>
        <w:rPr>
          <w:rFonts w:eastAsia="Times New Roman"/>
          <w:vanish/>
        </w:rPr>
        <w:t>h:UnrealizedInvestmentGainsLossesAllOtherMemberus-gaap:AccumulatedNetUnrealizedInvestmentGainLossMember2021-04-012021-06-300001333986us-gaap:FixedMaturitiesMembereqh:UnrealizedInvestmentGainsLossesAllOtherMembereqh:DacMemberus-gaap:AccumulatedNetUnrealized</w:t>
      </w:r>
      <w:r>
        <w:rPr>
          <w:rFonts w:eastAsia="Times New Roman"/>
          <w:vanish/>
        </w:rPr>
        <w:t>InvestmentGainLossMember2021-04-012021-06-300001333986us-gaap:FixedMaturitiesMembereqh:UnrealizedInvestmentGainsLossesAllOtherMembereqh:PolicyholdersLiabilitiesMemberus-gaap:AccumulatedNetUnrealizedInvestmentGainLossMember2021-04-012021-06-300001333986us-g</w:t>
      </w:r>
      <w:r>
        <w:rPr>
          <w:rFonts w:eastAsia="Times New Roman"/>
          <w:vanish/>
        </w:rPr>
        <w:t>aap:FixedMaturitiesMembereqh:DeferredIncomeTaxAssetLiabilityMembereqh:UnrealizedInvestmentGainsLossesAllOtherMemberus-gaap:AccumulatedNetUnrealizedInvestmentGainLossMember2021-04-012021-06-300001333986eqh:NetUnrealizedGainsLossesOnInvestmentsMembereqh:Unre</w:t>
      </w:r>
      <w:r>
        <w:rPr>
          <w:rFonts w:eastAsia="Times New Roman"/>
          <w:vanish/>
        </w:rPr>
        <w:t>alizedInvestmentGainsLossesAllOtherMemberus-gaap:AccumulatedNetUnrealizedInvestmentGainLossMember2021-06-300001333986eqh:UnrealizedInvestmentGainsLossesAllOtherMembereqh:DacMemberus-gaap:AccumulatedNetUnrealizedInvestmentGainLossMember2021-06-300001333986e</w:t>
      </w:r>
      <w:r>
        <w:rPr>
          <w:rFonts w:eastAsia="Times New Roman"/>
          <w:vanish/>
        </w:rPr>
        <w:t>qh:UnrealizedInvestmentGainsLossesAllOtherMembereqh:PolicyholdersLiabilitiesMemberus-gaap:AccumulatedNetUnrealizedInvestmentGainLossMember2021-06-300001333986eqh:DeferredIncomeTaxAssetLiabilityMembereqh:UnrealizedInvestmentGainsLossesAllOtherMemberus-gaap:</w:t>
      </w:r>
      <w:r>
        <w:rPr>
          <w:rFonts w:eastAsia="Times New Roman"/>
          <w:vanish/>
        </w:rPr>
        <w:t>AccumulatedNetUnrealizedInvestmentGainLossMember2021-06-300001333986eqh:UnrealizedInvestmentGainsLossesAllOtherMembereqh:AociGainLossesRelatedToNetUnrealizedInvestmentGainsLossesMemberus-gaap:AccumulatedNetUnrealizedInvestmentGainLossMember2021-06-30000133</w:t>
      </w:r>
      <w:r>
        <w:rPr>
          <w:rFonts w:eastAsia="Times New Roman"/>
          <w:vanish/>
        </w:rPr>
        <w:t>3986eqh:NetUnrealizedGainsLossesOnInvestmentsMembereqh:UnrealizedInvestmentGainsLossesAllOtherMemberus-gaap:AccumulatedNetUnrealizedInvestmentGainLossMember2020-03-310001333986eqh:UnrealizedInvestmentGainsLossesAllOtherMembereqh:DacMemberus-gaap:Accumulate</w:t>
      </w:r>
      <w:r>
        <w:rPr>
          <w:rFonts w:eastAsia="Times New Roman"/>
          <w:vanish/>
        </w:rPr>
        <w:t>dNetUnrealizedInvestmentGainLossMember2020-03-310001333986eqh:UnrealizedInvestmentGainsLossesAllOtherMembereqh:PolicyholdersLiabilitiesMemberus-gaap:AccumulatedNetUnrealizedInvestmentGainLossMember2020-03-310001333986eqh:DeferredIncomeTaxAssetLiabilityMemb</w:t>
      </w:r>
      <w:r>
        <w:rPr>
          <w:rFonts w:eastAsia="Times New Roman"/>
          <w:vanish/>
        </w:rPr>
        <w:t>ereqh:UnrealizedInvestmentGainsLossesAllOtherMemberus-gaap:AccumulatedNetUnrealizedInvestmentGainLossMember2020-03-310001333986eqh:UnrealizedInvestmentGainsLossesAllOtherMembereqh:AociGainLossesRelatedToNetUnrealizedInvestmentGainsLossesMemberus-gaap:Accum</w:t>
      </w:r>
      <w:r>
        <w:rPr>
          <w:rFonts w:eastAsia="Times New Roman"/>
          <w:vanish/>
        </w:rPr>
        <w:t>ulatedNetUnrealizedInvestmentGainLossMember2020-03-310001333986eqh:NetUnrealizedGainsLossesOnInvestmentsMembereqh:UnrealizedInvestmentGainsLossesAllOtherMemberus-gaap:AccumulatedNetUnrealizedInvestmentGainLossMember2020-04-012020-06-300001333986eqh:Unreali</w:t>
      </w:r>
      <w:r>
        <w:rPr>
          <w:rFonts w:eastAsia="Times New Roman"/>
          <w:vanish/>
        </w:rPr>
        <w:t>zedInvestmentGainsLossesAllOtherMembereqh:AociGainLossesRelatedToNetUnrealizedInvestmentGainsLossesMemberus-gaap:AccumulatedNetUnrealizedInvestmentGainLossMember2020-04-012020-06-300001333986eqh:UnrealizedInvestmentGainsLossesAllOtherMembereqh:DacMemberus-</w:t>
      </w:r>
      <w:r>
        <w:rPr>
          <w:rFonts w:eastAsia="Times New Roman"/>
          <w:vanish/>
        </w:rPr>
        <w:t>gaap:AccumulatedNetUnrealizedInvestmentGainLossMember2020-04-012020-06-300001333986eqh:UnrealizedInvestmentGainsLossesAllOtherMembereqh:PolicyholdersLiabilitiesMemberus-gaap:AccumulatedNetUnrealizedInvestmentGainLossMember2020-04-012020-06-300001333986eqh:</w:t>
      </w:r>
      <w:r>
        <w:rPr>
          <w:rFonts w:eastAsia="Times New Roman"/>
          <w:vanish/>
        </w:rPr>
        <w:t>DeferredIncomeTaxAssetLiabilityMembereqh:UnrealizedInvestmentGainsLossesAllOtherMemberus-gaap:AccumulatedNetUnrealizedInvestmentGainLossMember2020-04-012020-06-300001333986us-gaap:FixedMaturitiesMembereqh:UnrealizedInvestmentGainsLossesAllOtherMembereqh:Da</w:t>
      </w:r>
      <w:r>
        <w:rPr>
          <w:rFonts w:eastAsia="Times New Roman"/>
          <w:vanish/>
        </w:rPr>
        <w:t>cMemberus-gaap:AccumulatedNetUnrealizedInvestmentGainLossMember2020-04-012020-06-300001333986us-gaap:FixedMaturitiesMembereqh:UnrealizedInvestmentGainsLossesAllOtherMembereqh:PolicyholdersLiabilitiesMemberus-gaap:AccumulatedNetUnrealizedInvestmentGainLossM</w:t>
      </w:r>
      <w:r>
        <w:rPr>
          <w:rFonts w:eastAsia="Times New Roman"/>
          <w:vanish/>
        </w:rPr>
        <w:t>ember2020-04-012020-06-300001333986us-gaap:FixedMaturitiesMembereqh:DeferredIncomeTaxAssetLiabilityMembereqh:UnrealizedInvestmentGainsLossesAllOtherMemberus-gaap:AccumulatedNetUnrealizedInvestmentGainLossMember2020-04-012020-06-300001333986eqh:NetUnrealize</w:t>
      </w:r>
      <w:r>
        <w:rPr>
          <w:rFonts w:eastAsia="Times New Roman"/>
          <w:vanish/>
        </w:rPr>
        <w:t>dGainsLossesOnInvestmentsMembereqh:UnrealizedInvestmentGainsLossesAllOtherMemberus-gaap:AccumulatedNetUnrealizedInvestmentGainLossMember2020-06-300001333986eqh:UnrealizedInvestmentGainsLossesAllOtherMembereqh:DacMemberus-gaap:AccumulatedNetUnrealizedInvest</w:t>
      </w:r>
      <w:r>
        <w:rPr>
          <w:rFonts w:eastAsia="Times New Roman"/>
          <w:vanish/>
        </w:rPr>
        <w:t>mentGainLossMember2020-06-300001333986eqh:UnrealizedInvestmentGainsLossesAllOtherMembereqh:PolicyholdersLiabilitiesMemberus-gaap:AccumulatedNetUnrealizedInvestmentGainLossMember2020-06-300001333986eqh:DeferredIncomeTaxAssetLiabilityMembereqh:UnrealizedInve</w:t>
      </w:r>
      <w:r>
        <w:rPr>
          <w:rFonts w:eastAsia="Times New Roman"/>
          <w:vanish/>
        </w:rPr>
        <w:t>stmentGainsLossesAllOtherMemberus-gaap:AccumulatedNetUnrealizedInvestmentGainLossMember2020-06-300001333986eqh:UnrealizedInvestmentGainsLossesAllOtherMembereqh:AociGainLossesRelatedToNetUnrealizedInvestmentGainsLossesMemberus-gaap:AccumulatedNetUnrealizedI</w:t>
      </w:r>
      <w:r>
        <w:rPr>
          <w:rFonts w:eastAsia="Times New Roman"/>
          <w:vanish/>
        </w:rPr>
        <w:t>nvestmentGainLossMember2020-06-300001333986eqh:NetUnrealizedGainsLossesOnInvestmentsMembereqh:UnrealizedInvestmentGainsLossesAllOtherMemberus-gaap:AccumulatedNetUnrealizedInvestmentGainLossMember2020-12-310001333986eqh:UnrealizedInvestmentGainsLossesAllOth</w:t>
      </w:r>
      <w:r>
        <w:rPr>
          <w:rFonts w:eastAsia="Times New Roman"/>
          <w:vanish/>
        </w:rPr>
        <w:t>erMembereqh:DacMemberus-gaap:AccumulatedNetUnrealizedInvestmentGainLossMember2020-12-310001333986eqh:UnrealizedInvestmentGainsLossesAllOtherMembereqh:PolicyholdersLiabilitiesMemberus-gaap:AccumulatedNetUnrealizedInvestmentGainLossMember2020-12-310001333986</w:t>
      </w:r>
      <w:r>
        <w:rPr>
          <w:rFonts w:eastAsia="Times New Roman"/>
          <w:vanish/>
        </w:rPr>
        <w:t>eqh:DeferredIncomeTaxAssetLiabilityMembereqh:UnrealizedInvestmentGainsLossesAllOtherMemberus-gaap:AccumulatedNetUnrealizedInvestmentGainLossMember2020-12-310001333986eqh:UnrealizedInvestmentGainsLossesAllOtherMembereqh:AociGainLossesRelatedToNetUnrealizedI</w:t>
      </w:r>
      <w:r>
        <w:rPr>
          <w:rFonts w:eastAsia="Times New Roman"/>
          <w:vanish/>
        </w:rPr>
        <w:t>nvestmentGainsLossesMemberus-gaap:AccumulatedNetUnrealizedInvestmentGainLossMember2020-12-310001333986eqh:NetUnrealizedGainsLossesOnInvestmentsMembereqh:UnrealizedInvestmentGainsLossesAllOtherMemberus-gaap:AccumulatedNetUnrealizedInvestmentGainLossMember20</w:t>
      </w:r>
      <w:r>
        <w:rPr>
          <w:rFonts w:eastAsia="Times New Roman"/>
          <w:vanish/>
        </w:rPr>
        <w:t>21-01-012021-06-300001333986eqh:UnrealizedInvestmentGainsLossesAllOtherMembereqh:AociGainLossesRelatedToNetUnrealizedInvestmentGainsLossesMemberus-gaap:AccumulatedNetUnrealizedInvestmentGainLossMember2021-01-012021-06-300001333986eqh:UnrealizedInvestmentGa</w:t>
      </w:r>
      <w:r>
        <w:rPr>
          <w:rFonts w:eastAsia="Times New Roman"/>
          <w:vanish/>
        </w:rPr>
        <w:t>insLossesAllOtherMembereqh:DacMemberus-gaap:AccumulatedNetUnrealizedInvestmentGainLossMember2021-01-012021-06-300001333986eqh:UnrealizedInvestmentGainsLossesAllOtherMembereqh:PolicyholdersLiabilitiesMemberus-gaap:AccumulatedNetUnrealizedInvestmentGainLossM</w:t>
      </w:r>
      <w:r>
        <w:rPr>
          <w:rFonts w:eastAsia="Times New Roman"/>
          <w:vanish/>
        </w:rPr>
        <w:t>ember2021-01-012021-06-300001333986eqh:DeferredIncomeTaxAssetLiabilityMembereqh:UnrealizedInvestmentGainsLossesAllOtherMemberus-gaap:AccumulatedNetUnrealizedInvestmentGainLossMember2021-01-012021-06-300001333986us-gaap:FixedMaturitiesMembereqh:UnrealizedIn</w:t>
      </w:r>
      <w:r>
        <w:rPr>
          <w:rFonts w:eastAsia="Times New Roman"/>
          <w:vanish/>
        </w:rPr>
        <w:t>vestmentGainsLossesAllOtherMembereqh:DacMemberus-gaap:AccumulatedNetUnrealizedInvestmentGainLossMember2021-01-012021-06-300001333986us-gaap:FixedMaturitiesMembereqh:UnrealizedInvestmentGainsLossesAllOtherMembereqh:PolicyholdersLiabilitiesMemberus-gaap:Accu</w:t>
      </w:r>
      <w:r>
        <w:rPr>
          <w:rFonts w:eastAsia="Times New Roman"/>
          <w:vanish/>
        </w:rPr>
        <w:t>mulatedNetUnrealizedInvestmentGainLossMember2021-01-012021-06-300001333986us-gaap:FixedMaturitiesMembereqh:DeferredIncomeTaxAssetLiabilityMembereqh:UnrealizedInvestmentGainsLossesAllOtherMemberus-gaap:AccumulatedNetUnrealizedInvestmentGainLossMember2021-01</w:t>
      </w:r>
      <w:r>
        <w:rPr>
          <w:rFonts w:eastAsia="Times New Roman"/>
          <w:vanish/>
        </w:rPr>
        <w:t>-012021-06-300001333986eqh:NetUnrealizedGainsLossesOnInvestmentsMembereqh:UnrealizedInvestmentGainsLossesAllOtherMemberus-gaap:AccumulatedNetUnrealizedInvestmentGainLossMember2019-12-310001333986eqh:UnrealizedInvestmentGainsLossesAllOtherMembereqh:DacMembe</w:t>
      </w:r>
      <w:r>
        <w:rPr>
          <w:rFonts w:eastAsia="Times New Roman"/>
          <w:vanish/>
        </w:rPr>
        <w:t>rus-gaap:AccumulatedNetUnrealizedInvestmentGainLossMember2019-12-310001333986eqh:UnrealizedInvestmentGainsLossesAllOtherMembereqh:PolicyholdersLiabilitiesMemberus-gaap:AccumulatedNetUnrealizedInvestmentGainLossMember2019-12-310001333986eqh:DeferredIncomeTa</w:t>
      </w:r>
      <w:r>
        <w:rPr>
          <w:rFonts w:eastAsia="Times New Roman"/>
          <w:vanish/>
        </w:rPr>
        <w:t>xAssetLiabilityMembereqh:UnrealizedInvestmentGainsLossesAllOtherMemberus-gaap:AccumulatedNetUnrealizedInvestmentGainLossMember2019-12-310001333986eqh:UnrealizedInvestmentGainsLossesAllOtherMembereqh:AociGainLossesRelatedToNetUnrealizedInvestmentGainsLosses</w:t>
      </w:r>
      <w:r>
        <w:rPr>
          <w:rFonts w:eastAsia="Times New Roman"/>
          <w:vanish/>
        </w:rPr>
        <w:t>Memberus-gaap:AccumulatedNetUnrealizedInvestmentGainLossMember2019-12-310001333986eqh:NetUnrealizedGainsLossesOnInvestmentsMembereqh:UnrealizedInvestmentGainsLossesAllOtherMemberus-gaap:AccumulatedNetUnrealizedInvestmentGainLossMember2020-01-012020-06-3000</w:t>
      </w:r>
      <w:r>
        <w:rPr>
          <w:rFonts w:eastAsia="Times New Roman"/>
          <w:vanish/>
        </w:rPr>
        <w:t>01333986eqh:UnrealizedInvestmentGainsLossesAllOtherMembereqh:AociGainLossesRelatedToNetUnrealizedInvestmentGainsLossesMemberus-gaap:AccumulatedNetUnrealizedInvestmentGainLossMember2020-01-012020-06-300001333986eqh:UnrealizedInvestmentGainsLossesAllOtherMem</w:t>
      </w:r>
      <w:r>
        <w:rPr>
          <w:rFonts w:eastAsia="Times New Roman"/>
          <w:vanish/>
        </w:rPr>
        <w:t>bereqh:DacMemberus-gaap:AccumulatedNetUnrealizedInvestmentGainLossMember2020-01-012020-06-300001333986eqh:UnrealizedInvestmentGainsLossesAllOtherMembereqh:PolicyholdersLiabilitiesMemberus-gaap:AccumulatedNetUnrealizedInvestmentGainLossMember2020-01-012020-</w:t>
      </w:r>
      <w:r>
        <w:rPr>
          <w:rFonts w:eastAsia="Times New Roman"/>
          <w:vanish/>
        </w:rPr>
        <w:t>06-300001333986eqh:DeferredIncomeTaxAssetLiabilityMembereqh:UnrealizedInvestmentGainsLossesAllOtherMemberus-gaap:AccumulatedNetUnrealizedInvestmentGainLossMember2020-01-012020-06-300001333986us-gaap:FixedMaturitiesMembereqh:UnrealizedInvestmentGainsLossesA</w:t>
      </w:r>
      <w:r>
        <w:rPr>
          <w:rFonts w:eastAsia="Times New Roman"/>
          <w:vanish/>
        </w:rPr>
        <w:t>llOtherMembereqh:DacMemberus-gaap:AccumulatedNetUnrealizedInvestmentGainLossMember2020-01-012020-06-300001333986us-gaap:FixedMaturitiesMembereqh:UnrealizedInvestmentGainsLossesAllOtherMembereqh:PolicyholdersLiabilitiesMemberus-gaap:AccumulatedNetUnrealized</w:t>
      </w:r>
      <w:r>
        <w:rPr>
          <w:rFonts w:eastAsia="Times New Roman"/>
          <w:vanish/>
        </w:rPr>
        <w:t>InvestmentGainLossMember2020-01-012020-06-300001333986us-gaap:FixedMaturitiesMembereqh:DeferredIncomeTaxAssetLiabilityMembereqh:UnrealizedInvestmentGainsLossesAllOtherMemberus-gaap:AccumulatedNetUnrealizedInvestmentGainLossMember2020-01-012020-06-30eqh:iss</w:t>
      </w:r>
      <w:r>
        <w:rPr>
          <w:rFonts w:eastAsia="Times New Roman"/>
          <w:vanish/>
        </w:rPr>
        <w:t>ue0001333986eqh:OtherThanInvestmentGradeMemberus-gaap:ExternalCreditRatingNonInvestmentGradeMemberus-gaap:FixedMaturitiesMember2021-06-300001333986eqh:OtherThanInvestmentGradeMemberus-gaap:ExternalCreditRatingNonInvestmentGradeMemberus-gaap:FixedMaturities</w:t>
      </w:r>
      <w:r>
        <w:rPr>
          <w:rFonts w:eastAsia="Times New Roman"/>
          <w:vanish/>
        </w:rPr>
        <w:t>Member2020-12-310001333986us-gaap:FixedMaturitiesMember2020-12-310001333986us-gaap:CommercialLoanMember2021-06-300001333986eqh:AgriculturalMortgageLoansMember2021-06-300001333986eqh:AgriculturalMortgageLoansMember2021-04-012021-06-300001333986us-gaap:Comme</w:t>
      </w:r>
      <w:r>
        <w:rPr>
          <w:rFonts w:eastAsia="Times New Roman"/>
          <w:vanish/>
        </w:rPr>
        <w:t>rcialLoanMember2021-01-012021-06-300001333986us-gaap:CommercialLoanMember2021-04-012021-06-300001333986eqh:AgriculturalMortgageLoansMember2021-01-012021-06-300001333986eqh:IndividuallyAssessedMortgageLoansMember2021-06-300001333986us-gaap:CommercialRealEst</w:t>
      </w:r>
      <w:r>
        <w:rPr>
          <w:rFonts w:eastAsia="Times New Roman"/>
          <w:vanish/>
        </w:rPr>
        <w:t>atePortfolioSegmentMember2021-03-310001333986us-gaap:CommercialRealEstatePortfolioSegmentMember2020-03-310001333986us-gaap:CommercialRealEstatePortfolioSegmentMember2020-12-310001333986us-gaap:CommercialRealEstatePortfolioSegmentMember2019-12-310001333986u</w:t>
      </w:r>
      <w:r>
        <w:rPr>
          <w:rFonts w:eastAsia="Times New Roman"/>
          <w:vanish/>
        </w:rPr>
        <w:t>s-gaap:CommercialRealEstatePortfolioSegmentMember2021-04-012021-06-300001333986us-gaap:CommercialRealEstatePortfolioSegmentMember2020-04-012020-06-300001333986us-gaap:CommercialRealEstatePortfolioSegmentMember2021-01-012021-06-300001333986us-gaap:Commercia</w:t>
      </w:r>
      <w:r>
        <w:rPr>
          <w:rFonts w:eastAsia="Times New Roman"/>
          <w:vanish/>
        </w:rPr>
        <w:t>lRealEstatePortfolioSegmentMember2020-01-012020-06-300001333986us-gaap:CommercialRealEstatePortfolioSegmentMember2021-06-300001333986us-gaap:CommercialRealEstatePortfolioSegmentMember2020-06-300001333986eqh:AgriculturalRealEstatePortfolioSegmentMember2021-</w:t>
      </w:r>
      <w:r>
        <w:rPr>
          <w:rFonts w:eastAsia="Times New Roman"/>
          <w:vanish/>
        </w:rPr>
        <w:t>03-310001333986eqh:AgriculturalRealEstatePortfolioSegmentMember2020-03-310001333986eqh:AgriculturalRealEstatePortfolioSegmentMember2020-12-310001333986eqh:AgriculturalRealEstatePortfolioSegmentMember2019-12-310001333986eqh:AgriculturalRealEstatePortfolioSe</w:t>
      </w:r>
      <w:r>
        <w:rPr>
          <w:rFonts w:eastAsia="Times New Roman"/>
          <w:vanish/>
        </w:rPr>
        <w:t>gmentMember2021-04-012021-06-300001333986eqh:AgriculturalRealEstatePortfolioSegmentMember2020-04-012020-06-300001333986eqh:AgriculturalRealEstatePortfolioSegmentMember2021-01-012021-06-300001333986eqh:AgriculturalRealEstatePortfolioSegmentMember2020-01-012</w:t>
      </w:r>
      <w:r>
        <w:rPr>
          <w:rFonts w:eastAsia="Times New Roman"/>
          <w:vanish/>
        </w:rPr>
        <w:t>020-06-300001333986eqh:AgriculturalRealEstatePortfolioSegmentMember2021-06-300001333986eqh:AgriculturalRealEstatePortfolioSegmentMember2020-06-300001333986eqh:ZeroToFiftyPercentMemberus-gaap:CommercialRealEstatePortfolioSegmentMember2021-06-300001333986us-</w:t>
      </w:r>
      <w:r>
        <w:rPr>
          <w:rFonts w:eastAsia="Times New Roman"/>
          <w:vanish/>
        </w:rPr>
        <w:t>gaap:CommercialRealEstatePortfolioSegmentMembereqh:FiftyToSeventyPercentMember2021-06-300001333986us-gaap:CommercialRealEstatePortfolioSegmentMembereqh:SeventyToNinetyPercentMember2021-06-300001333986eqh:MoreThanNinetyPercentMemberus-gaap:CommercialRealEst</w:t>
      </w:r>
      <w:r>
        <w:rPr>
          <w:rFonts w:eastAsia="Times New Roman"/>
          <w:vanish/>
        </w:rPr>
        <w:t>atePortfolioSegmentMember2021-06-300001333986eqh:ZeroToFiftyPercentMembereqh:AgriculturalRealEstatePortfolioSegmentMember2021-06-300001333986eqh:AgriculturalRealEstatePortfolioSegmentMembereqh:FiftyToSeventyPercentMember2021-06-300001333986eqh:Agricultural</w:t>
      </w:r>
      <w:r>
        <w:rPr>
          <w:rFonts w:eastAsia="Times New Roman"/>
          <w:vanish/>
        </w:rPr>
        <w:t>RealEstatePortfolioSegmentMembereqh:SeventyToNinetyPercentMember2021-06-300001333986eqh:MoreThanNinetyPercentMembereqh:AgriculturalRealEstatePortfolioSegmentMember2021-06-300001333986eqh:ZeroToFiftyPercentMembereqh:TotalMortgagesLoanMember2021-06-300001333</w:t>
      </w:r>
      <w:r>
        <w:rPr>
          <w:rFonts w:eastAsia="Times New Roman"/>
          <w:vanish/>
        </w:rPr>
        <w:t>986eqh:TotalMortgagesLoanMembereqh:FiftyToSeventyPercentMember2021-06-300001333986eqh:TotalMortgagesLoanMembereqh:SeventyToNinetyPercentMember2021-06-300001333986eqh:MoreThanNinetyPercentMembereqh:TotalMortgagesLoanMember2021-06-300001333986eqh:TotalMortga</w:t>
      </w:r>
      <w:r>
        <w:rPr>
          <w:rFonts w:eastAsia="Times New Roman"/>
          <w:vanish/>
        </w:rPr>
        <w:t>gesLoanMember2021-06-300001333986us-gaap:CommercialRealEstatePortfolioSegmentMembereqh:RatioGreaterThan2TimesMember2021-06-300001333986eqh:RatioBetween18To2TimesMemberus-gaap:CommercialRealEstatePortfolioSegmentMember2021-06-300001333986eqh:RatioBetween15T</w:t>
      </w:r>
      <w:r>
        <w:rPr>
          <w:rFonts w:eastAsia="Times New Roman"/>
          <w:vanish/>
        </w:rPr>
        <w:t>o18TimesMemberus-gaap:CommercialRealEstatePortfolioSegmentMember2021-06-300001333986eqh:RatioBetween12To15TimesMemberus-gaap:CommercialRealEstatePortfolioSegmentMember2021-06-300001333986eqh:RatioBetween1To12TimesMemberus-gaap:CommercialRealEstatePortfolio</w:t>
      </w:r>
      <w:r>
        <w:rPr>
          <w:rFonts w:eastAsia="Times New Roman"/>
          <w:vanish/>
        </w:rPr>
        <w:t>SegmentMember2021-06-300001333986eqh:RatioLessThan1TimesMemberus-gaap:CommercialRealEstatePortfolioSegmentMember2021-06-300001333986eqh:AgriculturalRealEstatePortfolioSegmentMembereqh:RatioGreaterThan2TimesMember2021-06-300001333986eqh:RatioBetween18To2Tim</w:t>
      </w:r>
      <w:r>
        <w:rPr>
          <w:rFonts w:eastAsia="Times New Roman"/>
          <w:vanish/>
        </w:rPr>
        <w:t>esMembereqh:AgriculturalRealEstatePortfolioSegmentMember2021-06-300001333986eqh:RatioBetween15To18TimesMembereqh:AgriculturalRealEstatePortfolioSegmentMember2021-06-300001333986eqh:RatioBetween12To15TimesMembereqh:AgriculturalRealEstatePortfolioSegmentMemb</w:t>
      </w:r>
      <w:r>
        <w:rPr>
          <w:rFonts w:eastAsia="Times New Roman"/>
          <w:vanish/>
        </w:rPr>
        <w:t>er2021-06-300001333986eqh:RatioBetween1To12TimesMembereqh:AgriculturalRealEstatePortfolioSegmentMember2021-06-300001333986eqh:RatioLessThan1TimesMembereqh:AgriculturalRealEstatePortfolioSegmentMember2021-06-300001333986eqh:TotalMortgagesLoanMembereqh:Ratio</w:t>
      </w:r>
      <w:r>
        <w:rPr>
          <w:rFonts w:eastAsia="Times New Roman"/>
          <w:vanish/>
        </w:rPr>
        <w:t>GreaterThan2TimesMember2021-06-300001333986eqh:RatioBetween18To2TimesMembereqh:TotalMortgagesLoanMember2021-06-300001333986eqh:RatioBetween15To18TimesMembereqh:TotalMortgagesLoanMember2021-06-300001333986eqh:RatioBetween12To15TimesMembereqh:TotalMortgagesL</w:t>
      </w:r>
      <w:r>
        <w:rPr>
          <w:rFonts w:eastAsia="Times New Roman"/>
          <w:vanish/>
        </w:rPr>
        <w:t>oanMember2021-06-300001333986eqh:TotalMortgagesLoanMembereqh:RatioBetween1To12TimesMember2021-06-300001333986eqh:RatioLessThan1TimesMembereqh:TotalMortgagesLoanMember2021-06-300001333986eqh:ZeroToFiftyPercentMemberus-gaap:CommercialRealEstatePortfolioSegme</w:t>
      </w:r>
      <w:r>
        <w:rPr>
          <w:rFonts w:eastAsia="Times New Roman"/>
          <w:vanish/>
        </w:rPr>
        <w:t>ntMember2020-12-310001333986us-gaap:CommercialRealEstatePortfolioSegmentMembereqh:FiftyToSeventyPercentMember2020-12-310001333986us-gaap:CommercialRealEstatePortfolioSegmentMembereqh:SeventyToNinetyPercentMember2020-12-310001333986eqh:MoreThanNinetyPercent</w:t>
      </w:r>
      <w:r>
        <w:rPr>
          <w:rFonts w:eastAsia="Times New Roman"/>
          <w:vanish/>
        </w:rPr>
        <w:t>Memberus-gaap:CommercialRealEstatePortfolioSegmentMember2020-12-310001333986eqh:ZeroToFiftyPercentMembereqh:AgriculturalRealEstatePortfolioSegmentMember2020-12-310001333986eqh:AgriculturalRealEstatePortfolioSegmentMembereqh:FiftyToSeventyPercentMember2020-</w:t>
      </w:r>
      <w:r>
        <w:rPr>
          <w:rFonts w:eastAsia="Times New Roman"/>
          <w:vanish/>
        </w:rPr>
        <w:t>12-310001333986eqh:AgriculturalRealEstatePortfolioSegmentMembereqh:SeventyToNinetyPercentMember2020-12-310001333986eqh:MoreThanNinetyPercentMembereqh:AgriculturalRealEstatePortfolioSegmentMember2020-12-310001333986eqh:ZeroToFiftyPercentMembereqh:TotalMortg</w:t>
      </w:r>
      <w:r>
        <w:rPr>
          <w:rFonts w:eastAsia="Times New Roman"/>
          <w:vanish/>
        </w:rPr>
        <w:t>agesLoanMember2020-12-310001333986eqh:TotalMortgagesLoanMembereqh:FiftyToSeventyPercentMember2020-12-310001333986eqh:TotalMortgagesLoanMembereqh:SeventyToNinetyPercentMember2020-12-310001333986eqh:MoreThanNinetyPercentMembereqh:TotalMortgagesLoanMember2020</w:t>
      </w:r>
      <w:r>
        <w:rPr>
          <w:rFonts w:eastAsia="Times New Roman"/>
          <w:vanish/>
        </w:rPr>
        <w:t>-12-310001333986eqh:TotalMortgagesLoanMember2020-12-310001333986us-gaap:CommercialRealEstatePortfolioSegmentMembereqh:RatioGreaterThan2TimesMember2020-12-310001333986eqh:RatioBetween18To2TimesMemberus-gaap:CommercialRealEstatePortfolioSegmentMember2020-12-</w:t>
      </w:r>
      <w:r>
        <w:rPr>
          <w:rFonts w:eastAsia="Times New Roman"/>
          <w:vanish/>
        </w:rPr>
        <w:t>310001333986eqh:RatioBetween15To18TimesMemberus-gaap:CommercialRealEstatePortfolioSegmentMember2020-12-310001333986eqh:RatioBetween12To15TimesMemberus-gaap:CommercialRealEstatePortfolioSegmentMember2020-12-310001333986eqh:RatioBetween1To12TimesMemberus-gaa</w:t>
      </w:r>
      <w:r>
        <w:rPr>
          <w:rFonts w:eastAsia="Times New Roman"/>
          <w:vanish/>
        </w:rPr>
        <w:t>p:CommercialRealEstatePortfolioSegmentMember2020-12-310001333986eqh:RatioLessThan1TimesMemberus-gaap:CommercialRealEstatePortfolioSegmentMember2020-12-310001333986eqh:AgriculturalRealEstatePortfolioSegmentMembereqh:RatioGreaterThan2TimesMember2020-12-31000</w:t>
      </w:r>
      <w:r>
        <w:rPr>
          <w:rFonts w:eastAsia="Times New Roman"/>
          <w:vanish/>
        </w:rPr>
        <w:t>1333986eqh:RatioBetween18To2TimesMembereqh:AgriculturalRealEstatePortfolioSegmentMember2020-12-310001333986eqh:RatioBetween15To18TimesMembereqh:AgriculturalRealEstatePortfolioSegmentMember2020-12-310001333986eqh:RatioBetween12To15TimesMembereqh:Agricultura</w:t>
      </w:r>
      <w:r>
        <w:rPr>
          <w:rFonts w:eastAsia="Times New Roman"/>
          <w:vanish/>
        </w:rPr>
        <w:t>lRealEstatePortfolioSegmentMember2020-12-310001333986eqh:RatioBetween1To12TimesMembereqh:AgriculturalRealEstatePortfolioSegmentMember2020-12-310001333986eqh:RatioLessThan1TimesMembereqh:AgriculturalRealEstatePortfolioSegmentMember2020-12-310001333986eqh:To</w:t>
      </w:r>
      <w:r>
        <w:rPr>
          <w:rFonts w:eastAsia="Times New Roman"/>
          <w:vanish/>
        </w:rPr>
        <w:t>talMortgagesLoanMembereqh:RatioGreaterThan2TimesMember2020-12-310001333986eqh:RatioBetween18To2TimesMembereqh:TotalMortgagesLoanMember2020-12-310001333986eqh:RatioBetween15To18TimesMembereqh:TotalMortgagesLoanMember2020-12-310001333986eqh:RatioBetween12To1</w:t>
      </w:r>
      <w:r>
        <w:rPr>
          <w:rFonts w:eastAsia="Times New Roman"/>
          <w:vanish/>
        </w:rPr>
        <w:t>5TimesMembereqh:TotalMortgagesLoanMember2020-12-310001333986eqh:TotalMortgagesLoanMembereqh:RatioBetween1To12TimesMember2020-12-310001333986eqh:RatioLessThan1TimesMembereqh:TotalMortgagesLoanMember2020-12-310001333986eqh:ZeroToFiftyPercentMemberus-gaap:Com</w:t>
      </w:r>
      <w:r>
        <w:rPr>
          <w:rFonts w:eastAsia="Times New Roman"/>
          <w:vanish/>
        </w:rPr>
        <w:t>mercialRealEstatePortfolioSegmentMembereqh:RatioGreaterThan2TimesMember2021-06-300001333986eqh:ZeroToFiftyPercentMembereqh:RatioBetween18To2TimesMemberus-gaap:CommercialRealEstatePortfolioSegmentMember2021-06-300001333986eqh:ZeroToFiftyPercentMembereqh:Rat</w:t>
      </w:r>
      <w:r>
        <w:rPr>
          <w:rFonts w:eastAsia="Times New Roman"/>
          <w:vanish/>
        </w:rPr>
        <w:t>ioBetween15To18TimesMemberus-gaap:CommercialRealEstatePortfolioSegmentMember2021-06-300001333986eqh:ZeroToFiftyPercentMembereqh:RatioBetween12To15TimesMemberus-gaap:CommercialRealEstatePortfolioSegmentMember2021-06-300001333986eqh:ZeroToFiftyPercentMembere</w:t>
      </w:r>
      <w:r>
        <w:rPr>
          <w:rFonts w:eastAsia="Times New Roman"/>
          <w:vanish/>
        </w:rPr>
        <w:t>qh:RatioBetween1To12TimesMemberus-gaap:CommercialRealEstatePortfolioSegmentMember2021-06-300001333986eqh:ZeroToFiftyPercentMembereqh:RatioLessThan1TimesMemberus-gaap:CommercialRealEstatePortfolioSegmentMember2021-06-300001333986us-gaap:CommercialRealEstate</w:t>
      </w:r>
      <w:r>
        <w:rPr>
          <w:rFonts w:eastAsia="Times New Roman"/>
          <w:vanish/>
        </w:rPr>
        <w:t>PortfolioSegmentMembereqh:FiftyToSeventyPercentMembereqh:RatioGreaterThan2TimesMember2021-06-300001333986eqh:RatioBetween18To2TimesMemberus-gaap:CommercialRealEstatePortfolioSegmentMembereqh:FiftyToSeventyPercentMember2021-06-300001333986eqh:RatioBetween15</w:t>
      </w:r>
      <w:r>
        <w:rPr>
          <w:rFonts w:eastAsia="Times New Roman"/>
          <w:vanish/>
        </w:rPr>
        <w:t>To18TimesMemberus-gaap:CommercialRealEstatePortfolioSegmentMembereqh:FiftyToSeventyPercentMember2021-06-300001333986eqh:RatioBetween12To15TimesMemberus-gaap:CommercialRealEstatePortfolioSegmentMembereqh:FiftyToSeventyPercentMember2021-06-300001333986eqh:Ra</w:t>
      </w:r>
      <w:r>
        <w:rPr>
          <w:rFonts w:eastAsia="Times New Roman"/>
          <w:vanish/>
        </w:rPr>
        <w:t>tioBetween1To12TimesMemberus-gaap:CommercialRealEstatePortfolioSegmentMembereqh:FiftyToSeventyPercentMember2021-06-300001333986eqh:RatioLessThan1TimesMemberus-gaap:CommercialRealEstatePortfolioSegmentMembereqh:FiftyToSeventyPercentMember2021-06-30000133398</w:t>
      </w:r>
      <w:r>
        <w:rPr>
          <w:rFonts w:eastAsia="Times New Roman"/>
          <w:vanish/>
        </w:rPr>
        <w:t>6us-gaap:CommercialRealEstatePortfolioSegmentMembereqh:SeventyToNinetyPercentMembereqh:RatioGreaterThan2TimesMember2021-06-300001333986eqh:RatioBetween18To2TimesMemberus-gaap:CommercialRealEstatePortfolioSegmentMembereqh:SeventyToNinetyPercentMember2021-06</w:t>
      </w:r>
      <w:r>
        <w:rPr>
          <w:rFonts w:eastAsia="Times New Roman"/>
          <w:vanish/>
        </w:rPr>
        <w:t>-300001333986eqh:RatioBetween15To18TimesMemberus-gaap:CommercialRealEstatePortfolioSegmentMembereqh:SeventyToNinetyPercentMember2021-06-300001333986eqh:RatioBetween12To15TimesMemberus-gaap:CommercialRealEstatePortfolioSegmentMembereqh:SeventyToNinetyPercen</w:t>
      </w:r>
      <w:r>
        <w:rPr>
          <w:rFonts w:eastAsia="Times New Roman"/>
          <w:vanish/>
        </w:rPr>
        <w:t>tMember2021-06-300001333986eqh:RatioBetween1To12TimesMemberus-gaap:CommercialRealEstatePortfolioSegmentMembereqh:SeventyToNinetyPercentMember2021-06-300001333986eqh:RatioLessThan1TimesMemberus-gaap:CommercialRealEstatePortfolioSegmentMembereqh:SeventyToNin</w:t>
      </w:r>
      <w:r>
        <w:rPr>
          <w:rFonts w:eastAsia="Times New Roman"/>
          <w:vanish/>
        </w:rPr>
        <w:t>etyPercentMember2021-06-300001333986eqh:MoreThanNinetyPercentMemberus-gaap:CommercialRealEstatePortfolioSegmentMembereqh:RatioGreaterThan2TimesMember2021-06-300001333986eqh:MoreThanNinetyPercentMembereqh:RatioBetween18To2TimesMemberus-gaap:CommercialRealEs</w:t>
      </w:r>
      <w:r>
        <w:rPr>
          <w:rFonts w:eastAsia="Times New Roman"/>
          <w:vanish/>
        </w:rPr>
        <w:t>tatePortfolioSegmentMember2021-06-300001333986eqh:MoreThanNinetyPercentMembereqh:RatioBetween15To18TimesMemberus-gaap:CommercialRealEstatePortfolioSegmentMember2021-06-300001333986eqh:RatioBetween12To15TimesMembereqh:MoreThanNinetyPercentMemberus-gaap:Comm</w:t>
      </w:r>
      <w:r>
        <w:rPr>
          <w:rFonts w:eastAsia="Times New Roman"/>
          <w:vanish/>
        </w:rPr>
        <w:t>ercialRealEstatePortfolioSegmentMember2021-06-300001333986eqh:MoreThanNinetyPercentMembereqh:RatioBetween1To12TimesMemberus-gaap:CommercialRealEstatePortfolioSegmentMember2021-06-300001333986eqh:MoreThanNinetyPercentMembereqh:RatioLessThan1TimesMemberus-ga</w:t>
      </w:r>
      <w:r>
        <w:rPr>
          <w:rFonts w:eastAsia="Times New Roman"/>
          <w:vanish/>
        </w:rPr>
        <w:t>ap:CommercialRealEstatePortfolioSegmentMember2021-06-300001333986eqh:ZeroToFiftyPercentMembereqh:AgriculturalRealEstatePortfolioSegmentMembereqh:RatioGreaterThan2TimesMember2021-06-300001333986eqh:ZeroToFiftyPercentMembereqh:RatioBetween18To2TimesMembereqh</w:t>
      </w:r>
      <w:r>
        <w:rPr>
          <w:rFonts w:eastAsia="Times New Roman"/>
          <w:vanish/>
        </w:rPr>
        <w:t>:AgriculturalRealEstatePortfolioSegmentMember2021-06-300001333986eqh:ZeroToFiftyPercentMembereqh:RatioBetween15To18TimesMembereqh:AgriculturalRealEstatePortfolioSegmentMember2021-06-300001333986eqh:ZeroToFiftyPercentMembereqh:RatioBetween12To15TimesMembere</w:t>
      </w:r>
      <w:r>
        <w:rPr>
          <w:rFonts w:eastAsia="Times New Roman"/>
          <w:vanish/>
        </w:rPr>
        <w:t>qh:AgriculturalRealEstatePortfolioSegmentMember2021-06-300001333986eqh:ZeroToFiftyPercentMembereqh:RatioBetween1To12TimesMembereqh:AgriculturalRealEstatePortfolioSegmentMember2021-06-300001333986eqh:ZeroToFiftyPercentMembereqh:RatioLessThan1TimesMembereqh:</w:t>
      </w:r>
      <w:r>
        <w:rPr>
          <w:rFonts w:eastAsia="Times New Roman"/>
          <w:vanish/>
        </w:rPr>
        <w:t>AgriculturalRealEstatePortfolioSegmentMember2021-06-300001333986eqh:AgriculturalRealEstatePortfolioSegmentMembereqh:FiftyToSeventyPercentMembereqh:RatioGreaterThan2TimesMember2021-06-300001333986eqh:RatioBetween18To2TimesMembereqh:AgriculturalRealEstatePor</w:t>
      </w:r>
      <w:r>
        <w:rPr>
          <w:rFonts w:eastAsia="Times New Roman"/>
          <w:vanish/>
        </w:rPr>
        <w:t>tfolioSegmentMembereqh:FiftyToSeventyPercentMember2021-06-300001333986eqh:RatioBetween15To18TimesMembereqh:AgriculturalRealEstatePortfolioSegmentMembereqh:FiftyToSeventyPercentMember2021-06-300001333986eqh:RatioBetween12To15TimesMembereqh:AgriculturalRealE</w:t>
      </w:r>
      <w:r>
        <w:rPr>
          <w:rFonts w:eastAsia="Times New Roman"/>
          <w:vanish/>
        </w:rPr>
        <w:t>statePortfolioSegmentMembereqh:FiftyToSeventyPercentMember2021-06-300001333986eqh:RatioBetween1To12TimesMembereqh:AgriculturalRealEstatePortfolioSegmentMembereqh:FiftyToSeventyPercentMember2021-06-300001333986eqh:RatioLessThan1TimesMembereqh:AgriculturalRe</w:t>
      </w:r>
      <w:r>
        <w:rPr>
          <w:rFonts w:eastAsia="Times New Roman"/>
          <w:vanish/>
        </w:rPr>
        <w:t>alEstatePortfolioSegmentMembereqh:FiftyToSeventyPercentMember2021-06-300001333986eqh:AgriculturalRealEstatePortfolioSegmentMembereqh:SeventyToNinetyPercentMembereqh:RatioGreaterThan2TimesMember2021-06-300001333986eqh:RatioBetween18To2TimesMembereqh:Agricul</w:t>
      </w:r>
      <w:r>
        <w:rPr>
          <w:rFonts w:eastAsia="Times New Roman"/>
          <w:vanish/>
        </w:rPr>
        <w:t>turalRealEstatePortfolioSegmentMembereqh:SeventyToNinetyPercentMember2021-06-300001333986eqh:RatioBetween15To18TimesMembereqh:AgriculturalRealEstatePortfolioSegmentMembereqh:SeventyToNinetyPercentMember2021-06-300001333986eqh:RatioBetween12To15TimesMembere</w:t>
      </w:r>
      <w:r>
        <w:rPr>
          <w:rFonts w:eastAsia="Times New Roman"/>
          <w:vanish/>
        </w:rPr>
        <w:t>qh:AgriculturalRealEstatePortfolioSegmentMembereqh:SeventyToNinetyPercentMember2021-06-300001333986eqh:RatioBetween1To12TimesMembereqh:AgriculturalRealEstatePortfolioSegmentMembereqh:SeventyToNinetyPercentMember2021-06-300001333986eqh:RatioLessThan1TimesMe</w:t>
      </w:r>
      <w:r>
        <w:rPr>
          <w:rFonts w:eastAsia="Times New Roman"/>
          <w:vanish/>
        </w:rPr>
        <w:t>mbereqh:AgriculturalRealEstatePortfolioSegmentMembereqh:SeventyToNinetyPercentMember2021-06-300001333986eqh:MoreThanNinetyPercentMembereqh:AgriculturalRealEstatePortfolioSegmentMembereqh:RatioGreaterThan2TimesMember2021-06-300001333986eqh:MoreThanNinetyPer</w:t>
      </w:r>
      <w:r>
        <w:rPr>
          <w:rFonts w:eastAsia="Times New Roman"/>
          <w:vanish/>
        </w:rPr>
        <w:t>centMembereqh:RatioBetween18To2TimesMembereqh:AgriculturalRealEstatePortfolioSegmentMember2021-06-300001333986eqh:MoreThanNinetyPercentMembereqh:RatioBetween15To18TimesMembereqh:AgriculturalRealEstatePortfolioSegmentMember2021-06-300001333986eqh:RatioBetwe</w:t>
      </w:r>
      <w:r>
        <w:rPr>
          <w:rFonts w:eastAsia="Times New Roman"/>
          <w:vanish/>
        </w:rPr>
        <w:t>en12To15TimesMembereqh:MoreThanNinetyPercentMembereqh:AgriculturalRealEstatePortfolioSegmentMember2021-06-300001333986eqh:MoreThanNinetyPercentMembereqh:RatioBetween1To12TimesMembereqh:AgriculturalRealEstatePortfolioSegmentMember2021-06-300001333986eqh:Mor</w:t>
      </w:r>
      <w:r>
        <w:rPr>
          <w:rFonts w:eastAsia="Times New Roman"/>
          <w:vanish/>
        </w:rPr>
        <w:t>eThanNinetyPercentMembereqh:RatioLessThan1TimesMembereqh:AgriculturalRealEstatePortfolioSegmentMember2021-06-300001333986eqh:ZeroToFiftyPercentMembereqh:TotalMortgagesLoanMembereqh:RatioGreaterThan2TimesMember2021-06-300001333986eqh:ZeroToFiftyPercentMembe</w:t>
      </w:r>
      <w:r>
        <w:rPr>
          <w:rFonts w:eastAsia="Times New Roman"/>
          <w:vanish/>
        </w:rPr>
        <w:t>reqh:RatioBetween18To2TimesMembereqh:TotalMortgagesLoanMember2021-06-300001333986eqh:ZeroToFiftyPercentMembereqh:RatioBetween15To18TimesMembereqh:TotalMortgagesLoanMember2021-06-300001333986eqh:ZeroToFiftyPercentMembereqh:RatioBetween12To15TimesMembereqh:T</w:t>
      </w:r>
      <w:r>
        <w:rPr>
          <w:rFonts w:eastAsia="Times New Roman"/>
          <w:vanish/>
        </w:rPr>
        <w:t>otalMortgagesLoanMember2021-06-300001333986eqh:ZeroToFiftyPercentMembereqh:TotalMortgagesLoanMembereqh:RatioBetween1To12TimesMember2021-06-300001333986eqh:ZeroToFiftyPercentMembereqh:RatioLessThan1TimesMembereqh:TotalMortgagesLoanMember2021-06-300001333986</w:t>
      </w:r>
      <w:r>
        <w:rPr>
          <w:rFonts w:eastAsia="Times New Roman"/>
          <w:vanish/>
        </w:rPr>
        <w:t>eqh:TotalMortgagesLoanMembereqh:FiftyToSeventyPercentMembereqh:RatioGreaterThan2TimesMember2021-06-300001333986eqh:RatioBetween18To2TimesMembereqh:TotalMortgagesLoanMembereqh:FiftyToSeventyPercentMember2021-06-300001333986eqh:RatioBetween15To18TimesMembere</w:t>
      </w:r>
      <w:r>
        <w:rPr>
          <w:rFonts w:eastAsia="Times New Roman"/>
          <w:vanish/>
        </w:rPr>
        <w:t>qh:TotalMortgagesLoanMembereqh:FiftyToSeventyPercentMember2021-06-300001333986eqh:RatioBetween12To15TimesMembereqh:TotalMortgagesLoanMembereqh:FiftyToSeventyPercentMember2021-06-300001333986eqh:TotalMortgagesLoanMembereqh:RatioBetween1To12TimesMembereqh:Fi</w:t>
      </w:r>
      <w:r>
        <w:rPr>
          <w:rFonts w:eastAsia="Times New Roman"/>
          <w:vanish/>
        </w:rPr>
        <w:t>ftyToSeventyPercentMember2021-06-300001333986eqh:RatioLessThan1TimesMembereqh:TotalMortgagesLoanMembereqh:FiftyToSeventyPercentMember2021-06-300001333986eqh:TotalMortgagesLoanMembereqh:SeventyToNinetyPercentMembereqh:RatioGreaterThan2TimesMember2021-06-300</w:t>
      </w:r>
      <w:r>
        <w:rPr>
          <w:rFonts w:eastAsia="Times New Roman"/>
          <w:vanish/>
        </w:rPr>
        <w:t>001333986eqh:RatioBetween18To2TimesMembereqh:TotalMortgagesLoanMembereqh:SeventyToNinetyPercentMember2021-06-300001333986eqh:RatioBetween15To18TimesMembereqh:TotalMortgagesLoanMembereqh:SeventyToNinetyPercentMember2021-06-300001333986eqh:RatioBetween12To15</w:t>
      </w:r>
      <w:r>
        <w:rPr>
          <w:rFonts w:eastAsia="Times New Roman"/>
          <w:vanish/>
        </w:rPr>
        <w:t>TimesMembereqh:TotalMortgagesLoanMembereqh:SeventyToNinetyPercentMember2021-06-300001333986eqh:TotalMortgagesLoanMembereqh:RatioBetween1To12TimesMembereqh:SeventyToNinetyPercentMember2021-06-300001333986eqh:RatioLessThan1TimesMembereqh:TotalMortgagesLoanMe</w:t>
      </w:r>
      <w:r>
        <w:rPr>
          <w:rFonts w:eastAsia="Times New Roman"/>
          <w:vanish/>
        </w:rPr>
        <w:t>mbereqh:SeventyToNinetyPercentMember2021-06-300001333986eqh:MoreThanNinetyPercentMembereqh:TotalMortgagesLoanMembereqh:RatioGreaterThan2TimesMember2021-06-300001333986eqh:MoreThanNinetyPercentMembereqh:RatioBetween18To2TimesMembereqh:TotalMortgagesLoanMemb</w:t>
      </w:r>
      <w:r>
        <w:rPr>
          <w:rFonts w:eastAsia="Times New Roman"/>
          <w:vanish/>
        </w:rPr>
        <w:t>er2021-06-300001333986eqh:MoreThanNinetyPercentMembereqh:RatioBetween15To18TimesMembereqh:TotalMortgagesLoanMember2021-06-300001333986eqh:RatioBetween12To15TimesMembereqh:MoreThanNinetyPercentMembereqh:TotalMortgagesLoanMember2021-06-300001333986eqh:MoreTh</w:t>
      </w:r>
      <w:r>
        <w:rPr>
          <w:rFonts w:eastAsia="Times New Roman"/>
          <w:vanish/>
        </w:rPr>
        <w:t>anNinetyPercentMembereqh:TotalMortgagesLoanMembereqh:RatioBetween1To12TimesMember2021-06-300001333986eqh:MoreThanNinetyPercentMembereqh:RatioLessThan1TimesMembereqh:TotalMortgagesLoanMember2021-06-300001333986eqh:ZeroToFiftyPercentMemberus-gaap:CommercialR</w:t>
      </w:r>
      <w:r>
        <w:rPr>
          <w:rFonts w:eastAsia="Times New Roman"/>
          <w:vanish/>
        </w:rPr>
        <w:t>ealEstatePortfolioSegmentMembereqh:RatioGreaterThan2TimesMember2020-12-310001333986eqh:ZeroToFiftyPercentMembereqh:RatioBetween18To2TimesMemberus-gaap:CommercialRealEstatePortfolioSegmentMember2020-12-310001333986eqh:ZeroToFiftyPercentMembereqh:RatioBetwee</w:t>
      </w:r>
      <w:r>
        <w:rPr>
          <w:rFonts w:eastAsia="Times New Roman"/>
          <w:vanish/>
        </w:rPr>
        <w:t>n15To18TimesMemberus-gaap:CommercialRealEstatePortfolioSegmentMember2020-12-310001333986eqh:ZeroToFiftyPercentMembereqh:RatioBetween12To15TimesMemberus-gaap:CommercialRealEstatePortfolioSegmentMember2020-12-310001333986eqh:ZeroToFiftyPercentMembereqh:Ratio</w:t>
      </w:r>
      <w:r>
        <w:rPr>
          <w:rFonts w:eastAsia="Times New Roman"/>
          <w:vanish/>
        </w:rPr>
        <w:t>Between1To12TimesMemberus-gaap:CommercialRealEstatePortfolioSegmentMember2020-12-310001333986eqh:ZeroToFiftyPercentMembereqh:RatioLessThan1TimesMemberus-gaap:CommercialRealEstatePortfolioSegmentMember2020-12-310001333986us-gaap:CommercialRealEstatePortfoli</w:t>
      </w:r>
      <w:r>
        <w:rPr>
          <w:rFonts w:eastAsia="Times New Roman"/>
          <w:vanish/>
        </w:rPr>
        <w:t>oSegmentMembereqh:FiftyToSeventyPercentMembereqh:RatioGreaterThan2TimesMember2020-12-310001333986eqh:RatioBetween18To2TimesMemberus-gaap:CommercialRealEstatePortfolioSegmentMembereqh:FiftyToSeventyPercentMember2020-12-310001333986eqh:RatioBetween15To18Time</w:t>
      </w:r>
      <w:r>
        <w:rPr>
          <w:rFonts w:eastAsia="Times New Roman"/>
          <w:vanish/>
        </w:rPr>
        <w:t>sMemberus-gaap:CommercialRealEstatePortfolioSegmentMembereqh:FiftyToSeventyPercentMember2020-12-310001333986eqh:RatioBetween12To15TimesMemberus-gaap:CommercialRealEstatePortfolioSegmentMembereqh:FiftyToSeventyPercentMember2020-12-310001333986eqh:RatioBetwe</w:t>
      </w:r>
      <w:r>
        <w:rPr>
          <w:rFonts w:eastAsia="Times New Roman"/>
          <w:vanish/>
        </w:rPr>
        <w:t>en1To12TimesMemberus-gaap:CommercialRealEstatePortfolioSegmentMembereqh:FiftyToSeventyPercentMember2020-12-310001333986eqh:RatioLessThan1TimesMemberus-gaap:CommercialRealEstatePortfolioSegmentMembereqh:FiftyToSeventyPercentMember2020-12-310001333986us-gaap</w:t>
      </w:r>
      <w:r>
        <w:rPr>
          <w:rFonts w:eastAsia="Times New Roman"/>
          <w:vanish/>
        </w:rPr>
        <w:t>:CommercialRealEstatePortfolioSegmentMembereqh:SeventyToNinetyPercentMembereqh:RatioGreaterThan2TimesMember2020-12-310001333986eqh:RatioBetween18To2TimesMemberus-gaap:CommercialRealEstatePortfolioSegmentMembereqh:SeventyToNinetyPercentMember2020-12-3100013</w:t>
      </w:r>
      <w:r>
        <w:rPr>
          <w:rFonts w:eastAsia="Times New Roman"/>
          <w:vanish/>
        </w:rPr>
        <w:t>33986eqh:RatioBetween15To18TimesMemberus-gaap:CommercialRealEstatePortfolioSegmentMembereqh:SeventyToNinetyPercentMember2020-12-310001333986eqh:RatioBetween12To15TimesMemberus-gaap:CommercialRealEstatePortfolioSegmentMembereqh:SeventyToNinetyPercentMember2</w:t>
      </w:r>
      <w:r>
        <w:rPr>
          <w:rFonts w:eastAsia="Times New Roman"/>
          <w:vanish/>
        </w:rPr>
        <w:t>020-12-310001333986eqh:RatioBetween1To12TimesMemberus-gaap:CommercialRealEstatePortfolioSegmentMembereqh:SeventyToNinetyPercentMember2020-12-310001333986eqh:RatioLessThan1TimesMemberus-gaap:CommercialRealEstatePortfolioSegmentMembereqh:SeventyToNinetyPerce</w:t>
      </w:r>
      <w:r>
        <w:rPr>
          <w:rFonts w:eastAsia="Times New Roman"/>
          <w:vanish/>
        </w:rPr>
        <w:t>ntMember2020-12-310001333986eqh:MoreThanNinetyPercentMemberus-gaap:CommercialRealEstatePortfolioSegmentMembereqh:RatioGreaterThan2TimesMember2020-12-310001333986eqh:MoreThanNinetyPercentMembereqh:RatioBetween18To2TimesMemberus-gaap:CommercialRealEstatePort</w:t>
      </w:r>
      <w:r>
        <w:rPr>
          <w:rFonts w:eastAsia="Times New Roman"/>
          <w:vanish/>
        </w:rPr>
        <w:t>folioSegmentMember2020-12-310001333986eqh:MoreThanNinetyPercentMembereqh:RatioBetween15To18TimesMemberus-gaap:CommercialRealEstatePortfolioSegmentMember2020-12-310001333986eqh:RatioBetween12To15TimesMembereqh:MoreThanNinetyPercentMemberus-gaap:CommercialRe</w:t>
      </w:r>
      <w:r>
        <w:rPr>
          <w:rFonts w:eastAsia="Times New Roman"/>
          <w:vanish/>
        </w:rPr>
        <w:t>alEstatePortfolioSegmentMember2020-12-310001333986eqh:MoreThanNinetyPercentMembereqh:RatioBetween1To12TimesMemberus-gaap:CommercialRealEstatePortfolioSegmentMember2020-12-310001333986eqh:MoreThanNinetyPercentMembereqh:RatioLessThan1TimesMemberus-gaap:Comme</w:t>
      </w:r>
      <w:r>
        <w:rPr>
          <w:rFonts w:eastAsia="Times New Roman"/>
          <w:vanish/>
        </w:rPr>
        <w:t>rcialRealEstatePortfolioSegmentMember2020-12-310001333986eqh:ZeroToFiftyPercentMembereqh:AgriculturalRealEstatePortfolioSegmentMembereqh:RatioGreaterThan2TimesMember2020-12-310001333986eqh:ZeroToFiftyPercentMembereqh:RatioBetween18To2TimesMembereqh:Agricul</w:t>
      </w:r>
      <w:r>
        <w:rPr>
          <w:rFonts w:eastAsia="Times New Roman"/>
          <w:vanish/>
        </w:rPr>
        <w:t>turalRealEstatePortfolioSegmentMember2020-12-310001333986eqh:ZeroToFiftyPercentMembereqh:RatioBetween15To18TimesMembereqh:AgriculturalRealEstatePortfolioSegmentMember2020-12-310001333986eqh:ZeroToFiftyPercentMembereqh:RatioBetween12To15TimesMembereqh:Agric</w:t>
      </w:r>
      <w:r>
        <w:rPr>
          <w:rFonts w:eastAsia="Times New Roman"/>
          <w:vanish/>
        </w:rPr>
        <w:t>ulturalRealEstatePortfolioSegmentMember2020-12-310001333986eqh:ZeroToFiftyPercentMembereqh:RatioBetween1To12TimesMembereqh:AgriculturalRealEstatePortfolioSegmentMember2020-12-310001333986eqh:ZeroToFiftyPercentMembereqh:RatioLessThan1TimesMembereqh:Agricult</w:t>
      </w:r>
      <w:r>
        <w:rPr>
          <w:rFonts w:eastAsia="Times New Roman"/>
          <w:vanish/>
        </w:rPr>
        <w:t>uralRealEstatePortfolioSegmentMember2020-12-310001333986eqh:AgriculturalRealEstatePortfolioSegmentMembereqh:FiftyToSeventyPercentMembereqh:RatioGreaterThan2TimesMember2020-12-310001333986eqh:RatioBetween18To2TimesMembereqh:AgriculturalRealEstatePortfolioSe</w:t>
      </w:r>
      <w:r>
        <w:rPr>
          <w:rFonts w:eastAsia="Times New Roman"/>
          <w:vanish/>
        </w:rPr>
        <w:t>gmentMembereqh:FiftyToSeventyPercentMember2020-12-310001333986eqh:RatioBetween15To18TimesMembereqh:AgriculturalRealEstatePortfolioSegmentMembereqh:FiftyToSeventyPercentMember2020-12-310001333986eqh:RatioBetween12To15TimesMembereqh:AgriculturalRealEstatePor</w:t>
      </w:r>
      <w:r>
        <w:rPr>
          <w:rFonts w:eastAsia="Times New Roman"/>
          <w:vanish/>
        </w:rPr>
        <w:t>tfolioSegmentMembereqh:FiftyToSeventyPercentMember2020-12-310001333986eqh:RatioBetween1To12TimesMembereqh:AgriculturalRealEstatePortfolioSegmentMembereqh:FiftyToSeventyPercentMember2020-12-310001333986eqh:RatioLessThan1TimesMembereqh:AgriculturalRealEstate</w:t>
      </w:r>
      <w:r>
        <w:rPr>
          <w:rFonts w:eastAsia="Times New Roman"/>
          <w:vanish/>
        </w:rPr>
        <w:t>PortfolioSegmentMembereqh:FiftyToSeventyPercentMember2020-12-310001333986eqh:AgriculturalRealEstatePortfolioSegmentMembereqh:SeventyToNinetyPercentMembereqh:RatioGreaterThan2TimesMember2020-12-310001333986eqh:RatioBetween18To2TimesMembereqh:AgriculturalRea</w:t>
      </w:r>
      <w:r>
        <w:rPr>
          <w:rFonts w:eastAsia="Times New Roman"/>
          <w:vanish/>
        </w:rPr>
        <w:t>lEstatePortfolioSegmentMembereqh:SeventyToNinetyPercentMember2020-12-310001333986eqh:RatioBetween15To18TimesMembereqh:AgriculturalRealEstatePortfolioSegmentMembereqh:SeventyToNinetyPercentMember2020-12-310001333986eqh:RatioBetween12To15TimesMembereqh:Agric</w:t>
      </w:r>
      <w:r>
        <w:rPr>
          <w:rFonts w:eastAsia="Times New Roman"/>
          <w:vanish/>
        </w:rPr>
        <w:t>ulturalRealEstatePortfolioSegmentMembereqh:SeventyToNinetyPercentMember2020-12-310001333986eqh:RatioBetween1To12TimesMembereqh:AgriculturalRealEstatePortfolioSegmentMembereqh:SeventyToNinetyPercentMember2020-12-310001333986eqh:RatioLessThan1TimesMembereqh:</w:t>
      </w:r>
      <w:r>
        <w:rPr>
          <w:rFonts w:eastAsia="Times New Roman"/>
          <w:vanish/>
        </w:rPr>
        <w:t>AgriculturalRealEstatePortfolioSegmentMembereqh:SeventyToNinetyPercentMember2020-12-310001333986eqh:MoreThanNinetyPercentMembereqh:AgriculturalRealEstatePortfolioSegmentMembereqh:RatioGreaterThan2TimesMember2020-12-310001333986eqh:MoreThanNinetyPercentMemb</w:t>
      </w:r>
      <w:r>
        <w:rPr>
          <w:rFonts w:eastAsia="Times New Roman"/>
          <w:vanish/>
        </w:rPr>
        <w:t>ereqh:RatioBetween18To2TimesMembereqh:AgriculturalRealEstatePortfolioSegmentMember2020-12-310001333986eqh:MoreThanNinetyPercentMembereqh:RatioBetween15To18TimesMembereqh:AgriculturalRealEstatePortfolioSegmentMember2020-12-310001333986eqh:RatioBetween12To15</w:t>
      </w:r>
      <w:r>
        <w:rPr>
          <w:rFonts w:eastAsia="Times New Roman"/>
          <w:vanish/>
        </w:rPr>
        <w:t>TimesMembereqh:MoreThanNinetyPercentMembereqh:AgriculturalRealEstatePortfolioSegmentMember2020-12-310001333986eqh:MoreThanNinetyPercentMembereqh:RatioBetween1To12TimesMembereqh:AgriculturalRealEstatePortfolioSegmentMember2020-12-310001333986eqh:MoreThanNin</w:t>
      </w:r>
      <w:r>
        <w:rPr>
          <w:rFonts w:eastAsia="Times New Roman"/>
          <w:vanish/>
        </w:rPr>
        <w:t>etyPercentMembereqh:RatioLessThan1TimesMembereqh:AgriculturalRealEstatePortfolioSegmentMember2020-12-310001333986eqh:ZeroToFiftyPercentMembereqh:TotalMortgagesLoanMembereqh:RatioGreaterThan2TimesMember2020-12-310001333986eqh:ZeroToFiftyPercentMembereqh:Rat</w:t>
      </w:r>
      <w:r>
        <w:rPr>
          <w:rFonts w:eastAsia="Times New Roman"/>
          <w:vanish/>
        </w:rPr>
        <w:t>ioBetween18To2TimesMembereqh:TotalMortgagesLoanMember2020-12-310001333986eqh:ZeroToFiftyPercentMembereqh:RatioBetween15To18TimesMembereqh:TotalMortgagesLoanMember2020-12-310001333986eqh:ZeroToFiftyPercentMembereqh:RatioBetween12To15TimesMembereqh:TotalMort</w:t>
      </w:r>
      <w:r>
        <w:rPr>
          <w:rFonts w:eastAsia="Times New Roman"/>
          <w:vanish/>
        </w:rPr>
        <w:t>gagesLoanMember2020-12-310001333986eqh:ZeroToFiftyPercentMembereqh:TotalMortgagesLoanMembereqh:RatioBetween1To12TimesMember2020-12-310001333986eqh:ZeroToFiftyPercentMembereqh:RatioLessThan1TimesMembereqh:TotalMortgagesLoanMember2020-12-310001333986eqh:Tota</w:t>
      </w:r>
      <w:r>
        <w:rPr>
          <w:rFonts w:eastAsia="Times New Roman"/>
          <w:vanish/>
        </w:rPr>
        <w:t>lMortgagesLoanMembereqh:FiftyToSeventyPercentMembereqh:RatioGreaterThan2TimesMember2020-12-310001333986eqh:RatioBetween18To2TimesMembereqh:TotalMortgagesLoanMembereqh:FiftyToSeventyPercentMember2020-12-310001333986eqh:RatioBetween15To18TimesMembereqh:Total</w:t>
      </w:r>
      <w:r>
        <w:rPr>
          <w:rFonts w:eastAsia="Times New Roman"/>
          <w:vanish/>
        </w:rPr>
        <w:t>MortgagesLoanMembereqh:FiftyToSeventyPercentMember2020-12-310001333986eqh:RatioBetween12To15TimesMembereqh:TotalMortgagesLoanMembereqh:FiftyToSeventyPercentMember2020-12-310001333986eqh:TotalMortgagesLoanMembereqh:RatioBetween1To12TimesMembereqh:FiftyToSev</w:t>
      </w:r>
      <w:r>
        <w:rPr>
          <w:rFonts w:eastAsia="Times New Roman"/>
          <w:vanish/>
        </w:rPr>
        <w:t>entyPercentMember2020-12-310001333986eqh:RatioLessThan1TimesMembereqh:TotalMortgagesLoanMembereqh:FiftyToSeventyPercentMember2020-12-310001333986eqh:TotalMortgagesLoanMembereqh:SeventyToNinetyPercentMembereqh:RatioGreaterThan2TimesMember2020-12-31000133398</w:t>
      </w:r>
      <w:r>
        <w:rPr>
          <w:rFonts w:eastAsia="Times New Roman"/>
          <w:vanish/>
        </w:rPr>
        <w:t>6eqh:RatioBetween18To2TimesMembereqh:TotalMortgagesLoanMembereqh:SeventyToNinetyPercentMember2020-12-310001333986eqh:RatioBetween15To18TimesMembereqh:TotalMortgagesLoanMembereqh:SeventyToNinetyPercentMember2020-12-310001333986eqh:RatioBetween12To15TimesMem</w:t>
      </w:r>
      <w:r>
        <w:rPr>
          <w:rFonts w:eastAsia="Times New Roman"/>
          <w:vanish/>
        </w:rPr>
        <w:t>bereqh:TotalMortgagesLoanMembereqh:SeventyToNinetyPercentMember2020-12-310001333986eqh:TotalMortgagesLoanMembereqh:RatioBetween1To12TimesMembereqh:SeventyToNinetyPercentMember2020-12-310001333986eqh:RatioLessThan1TimesMembereqh:TotalMortgagesLoanMembereqh:</w:t>
      </w:r>
      <w:r>
        <w:rPr>
          <w:rFonts w:eastAsia="Times New Roman"/>
          <w:vanish/>
        </w:rPr>
        <w:t>SeventyToNinetyPercentMember2020-12-310001333986eqh:MoreThanNinetyPercentMembereqh:TotalMortgagesLoanMembereqh:RatioGreaterThan2TimesMember2020-12-310001333986eqh:MoreThanNinetyPercentMembereqh:RatioBetween18To2TimesMembereqh:TotalMortgagesLoanMember2020-1</w:t>
      </w:r>
      <w:r>
        <w:rPr>
          <w:rFonts w:eastAsia="Times New Roman"/>
          <w:vanish/>
        </w:rPr>
        <w:t>2-310001333986eqh:MoreThanNinetyPercentMembereqh:RatioBetween15To18TimesMembereqh:TotalMortgagesLoanMember2020-12-310001333986eqh:RatioBetween12To15TimesMembereqh:MoreThanNinetyPercentMembereqh:TotalMortgagesLoanMember2020-12-310001333986eqh:MoreThanNinety</w:t>
      </w:r>
      <w:r>
        <w:rPr>
          <w:rFonts w:eastAsia="Times New Roman"/>
          <w:vanish/>
        </w:rPr>
        <w:t>PercentMembereqh:TotalMortgagesLoanMembereqh:RatioBetween1To12TimesMember2020-12-310001333986eqh:MoreThanNinetyPercentMembereqh:RatioLessThan1TimesMembereqh:TotalMortgagesLoanMember2020-12-310001333986us-gaap:FinancingReceivables30To59DaysPastDueMemberus-g</w:t>
      </w:r>
      <w:r>
        <w:rPr>
          <w:rFonts w:eastAsia="Times New Roman"/>
          <w:vanish/>
        </w:rPr>
        <w:t>aap:CommercialRealEstatePortfolioSegmentMember2021-06-300001333986us-gaap:FinancingReceivables60To89DaysPastDueMemberus-gaap:CommercialRealEstatePortfolioSegmentMember2021-06-300001333986us-gaap:FinancingReceivablesEqualToGreaterThan90DaysPastDueMemberus-g</w:t>
      </w:r>
      <w:r>
        <w:rPr>
          <w:rFonts w:eastAsia="Times New Roman"/>
          <w:vanish/>
        </w:rPr>
        <w:t>aap:CommercialRealEstatePortfolioSegmentMember2021-06-300001333986us-gaap:FinancialAssetPastDueMemberus-gaap:CommercialRealEstatePortfolioSegmentMember2021-06-300001333986us-gaap:FinancialAssetNotPastDueMemberus-gaap:CommercialRealEstatePortfolioSegmentMem</w:t>
      </w:r>
      <w:r>
        <w:rPr>
          <w:rFonts w:eastAsia="Times New Roman"/>
          <w:vanish/>
        </w:rPr>
        <w:t>ber2021-06-300001333986us-gaap:FinancingReceivables30To59DaysPastDueMembereqh:AgriculturalRealEstatePortfolioSegmentMember2021-06-300001333986us-gaap:FinancingReceivables60To89DaysPastDueMembereqh:AgriculturalRealEstatePortfolioSegmentMember2021-06-3000013</w:t>
      </w:r>
      <w:r>
        <w:rPr>
          <w:rFonts w:eastAsia="Times New Roman"/>
          <w:vanish/>
        </w:rPr>
        <w:t>33986us-gaap:FinancingReceivablesEqualToGreaterThan90DaysPastDueMembereqh:AgriculturalRealEstatePortfolioSegmentMember2021-06-300001333986us-gaap:FinancialAssetPastDueMembereqh:AgriculturalRealEstatePortfolioSegmentMember2021-06-300001333986us-gaap:Financi</w:t>
      </w:r>
      <w:r>
        <w:rPr>
          <w:rFonts w:eastAsia="Times New Roman"/>
          <w:vanish/>
        </w:rPr>
        <w:t>alAssetNotPastDueMembereqh:AgriculturalRealEstatePortfolioSegmentMember2021-06-300001333986us-gaap:FinancingReceivables30To59DaysPastDueMembereqh:TotalMortgagesLoanMember2021-06-300001333986us-gaap:FinancingReceivables60To89DaysPastDueMembereqh:TotalMortga</w:t>
      </w:r>
      <w:r>
        <w:rPr>
          <w:rFonts w:eastAsia="Times New Roman"/>
          <w:vanish/>
        </w:rPr>
        <w:t>gesLoanMember2021-06-300001333986eqh:TotalMortgagesLoanMemberus-gaap:FinancingReceivablesEqualToGreaterThan90DaysPastDueMember2021-06-300001333986us-gaap:FinancialAssetPastDueMembereqh:TotalMortgagesLoanMember2021-06-300001333986us-gaap:FinancialAssetNotPa</w:t>
      </w:r>
      <w:r>
        <w:rPr>
          <w:rFonts w:eastAsia="Times New Roman"/>
          <w:vanish/>
        </w:rPr>
        <w:t>stDueMembereqh:TotalMortgagesLoanMember2021-06-300001333986eqh:TotalMortgagesLoanMember2021-01-012021-06-300001333986us-gaap:FinancingReceivables30To59DaysPastDueMemberus-gaap:CommercialRealEstatePortfolioSegmentMember2020-12-310001333986us-gaap:FinancingR</w:t>
      </w:r>
      <w:r>
        <w:rPr>
          <w:rFonts w:eastAsia="Times New Roman"/>
          <w:vanish/>
        </w:rPr>
        <w:t>eceivables60To89DaysPastDueMemberus-gaap:CommercialRealEstatePortfolioSegmentMember2020-12-310001333986us-gaap:FinancingReceivablesEqualToGreaterThan90DaysPastDueMemberus-gaap:CommercialRealEstatePortfolioSegmentMember2020-12-310001333986us-gaap:FinancialA</w:t>
      </w:r>
      <w:r>
        <w:rPr>
          <w:rFonts w:eastAsia="Times New Roman"/>
          <w:vanish/>
        </w:rPr>
        <w:t>ssetPastDueMemberus-gaap:CommercialRealEstatePortfolioSegmentMember2020-12-310001333986us-gaap:FinancialAssetNotPastDueMemberus-gaap:CommercialRealEstatePortfolioSegmentMember2020-12-310001333986us-gaap:CommercialRealEstatePortfolioSegmentMember2020-01-012</w:t>
      </w:r>
      <w:r>
        <w:rPr>
          <w:rFonts w:eastAsia="Times New Roman"/>
          <w:vanish/>
        </w:rPr>
        <w:t>020-12-310001333986us-gaap:FinancingReceivables30To59DaysPastDueMembereqh:AgriculturalRealEstatePortfolioSegmentMember2020-12-310001333986us-gaap:FinancingReceivables60To89DaysPastDueMembereqh:AgriculturalRealEstatePortfolioSegmentMember2020-12-31000133398</w:t>
      </w:r>
      <w:r>
        <w:rPr>
          <w:rFonts w:eastAsia="Times New Roman"/>
          <w:vanish/>
        </w:rPr>
        <w:t>6us-gaap:FinancingReceivablesEqualToGreaterThan90DaysPastDueMembereqh:AgriculturalRealEstatePortfolioSegmentMember2020-12-310001333986us-gaap:FinancialAssetPastDueMembereqh:AgriculturalRealEstatePortfolioSegmentMember2020-12-310001333986us-gaap:FinancialAs</w:t>
      </w:r>
      <w:r>
        <w:rPr>
          <w:rFonts w:eastAsia="Times New Roman"/>
          <w:vanish/>
        </w:rPr>
        <w:t>setNotPastDueMembereqh:AgriculturalRealEstatePortfolioSegmentMember2020-12-310001333986eqh:AgriculturalRealEstatePortfolioSegmentMember2020-01-012020-12-310001333986us-gaap:FinancingReceivables30To59DaysPastDueMembereqh:TotalMortgagesLoanMember2020-12-3100</w:t>
      </w:r>
      <w:r>
        <w:rPr>
          <w:rFonts w:eastAsia="Times New Roman"/>
          <w:vanish/>
        </w:rPr>
        <w:t>01333986us-gaap:FinancingReceivables60To89DaysPastDueMembereqh:TotalMortgagesLoanMember2020-12-310001333986eqh:TotalMortgagesLoanMemberus-gaap:FinancingReceivablesEqualToGreaterThan90DaysPastDueMember2020-12-310001333986us-gaap:FinancialAssetPastDueMembere</w:t>
      </w:r>
      <w:r>
        <w:rPr>
          <w:rFonts w:eastAsia="Times New Roman"/>
          <w:vanish/>
        </w:rPr>
        <w:t>qh:TotalMortgagesLoanMember2020-12-310001333986us-gaap:FinancialAssetNotPastDueMembereqh:TotalMortgagesLoanMember2020-12-310001333986eqh:TotalMortgagesLoanMember2020-01-012020-12-31eqh:numberOfLoan0001333986eqh:PrivatelyNegotiatedFixedMaturityMember2021-04</w:t>
      </w:r>
      <w:r>
        <w:rPr>
          <w:rFonts w:eastAsia="Times New Roman"/>
          <w:vanish/>
        </w:rPr>
        <w:t>-012021-06-300001333986eqh:PrivatelyNegotiatedFixedMaturityMember2021-01-012021-06-300001333986eqh:PrivatelyNegotiatedFixedMaturityMember2021-06-300001333986eqh:PrivatelyNegotiatedFixedMaturityMember2020-04-012020-06-300001333986eqh:PrivatelyNegotiatedFixe</w:t>
      </w:r>
      <w:r>
        <w:rPr>
          <w:rFonts w:eastAsia="Times New Roman"/>
          <w:vanish/>
        </w:rPr>
        <w:t>dMaturityMember2020-01-012020-06-300001333986eqh:PrivatelyNegotiatedFixedMaturityMember2020-06-300001333986us-gaap:FairValueMeasurementsRecurringMember2021-06-300001333986us-gaap:FairValueMeasurementsRecurringMember2020-12-310001333986eqh:EquityContractsFu</w:t>
      </w:r>
      <w:r>
        <w:rPr>
          <w:rFonts w:eastAsia="Times New Roman"/>
          <w:vanish/>
        </w:rPr>
        <w:t>turesMember2021-06-300001333986eqh:EquityContractsFuturesMember2021-01-012021-06-300001333986us-gaap:EquitySwapMember2021-06-300001333986us-gaap:EquitySwapMember2021-01-012021-06-300001333986us-gaap:StockOptionMember2021-06-300001333986us-gaap:StockOptionM</w:t>
      </w:r>
      <w:r>
        <w:rPr>
          <w:rFonts w:eastAsia="Times New Roman"/>
          <w:vanish/>
        </w:rPr>
        <w:t>ember2021-01-012021-06-300001333986us-gaap:InterestRateSwapMember2021-06-300001333986us-gaap:InterestRateSwapMember2021-01-012021-06-300001333986eqh:InterestRateContractsFuturesMember2021-06-300001333986eqh:InterestRateContractsFuturesMember2021-01-012021-</w:t>
      </w:r>
      <w:r>
        <w:rPr>
          <w:rFonts w:eastAsia="Times New Roman"/>
          <w:vanish/>
        </w:rPr>
        <w:t>06-300001333986us-gaap:InterestRateSwaptionMember2021-06-300001333986us-gaap:InterestRateSwaptionMember2021-01-012021-06-300001333986us-gaap:CreditDefaultSwapMember2021-06-300001333986us-gaap:CreditDefaultSwapMember2021-01-012021-06-300001333986us-gaap:For</w:t>
      </w:r>
      <w:r>
        <w:rPr>
          <w:rFonts w:eastAsia="Times New Roman"/>
          <w:vanish/>
        </w:rPr>
        <w:t>eignExchangeContractMember2021-06-300001333986us-gaap:ForeignExchangeContractMember2021-01-012021-06-300001333986eqh:MarginMember2021-06-300001333986eqh:MarginMember2021-01-012021-06-300001333986us-gaap:CollateralizedSecuritiesMember2021-06-300001333986us-</w:t>
      </w:r>
      <w:r>
        <w:rPr>
          <w:rFonts w:eastAsia="Times New Roman"/>
          <w:vanish/>
        </w:rPr>
        <w:t>gaap:CollateralizedSecuritiesMember2021-01-012021-06-300001333986eqh:DueFromReinsuranceReinsurersMember2021-06-300001333986eqh:DueFromReinsuranceReinsurersMember2021-01-012021-06-300001333986eqh:GmibReinsuranceMember2021-06-300001333986eqh:GmibReinsuranceM</w:t>
      </w:r>
      <w:r>
        <w:rPr>
          <w:rFonts w:eastAsia="Times New Roman"/>
          <w:vanish/>
        </w:rPr>
        <w:t>ember2021-01-012021-06-300001333986us-gaap:GuaranteedMinimumWithdrawalBenefitMember2021-06-300001333986us-gaap:GuaranteedMinimumWithdrawalBenefitMember2021-01-012021-06-300001333986eqh:NonGmxbEmbeddedDerivativeInsuranceProductsMember2021-06-300001333986eqh</w:t>
      </w:r>
      <w:r>
        <w:rPr>
          <w:rFonts w:eastAsia="Times New Roman"/>
          <w:vanish/>
        </w:rPr>
        <w:t>:NonGmxbEmbeddedDerivativeInsuranceProductsMember2021-01-012021-06-300001333986eqh:EquityContractsFuturesMember2020-12-310001333986eqh:EquityContractsFuturesMember2020-01-012020-06-300001333986us-gaap:EquitySwapMember2020-12-310001333986us-gaap:EquitySwapM</w:t>
      </w:r>
      <w:r>
        <w:rPr>
          <w:rFonts w:eastAsia="Times New Roman"/>
          <w:vanish/>
        </w:rPr>
        <w:t>ember2020-01-012020-06-300001333986us-gaap:StockOptionMember2020-12-310001333986us-gaap:StockOptionMember2020-01-012020-06-300001333986us-gaap:InterestRateSwapMember2020-12-310001333986us-gaap:InterestRateSwapMember2020-01-012020-06-300001333986eqh:Interes</w:t>
      </w:r>
      <w:r>
        <w:rPr>
          <w:rFonts w:eastAsia="Times New Roman"/>
          <w:vanish/>
        </w:rPr>
        <w:t>tRateContractsFuturesMember2020-12-310001333986eqh:InterestRateContractsFuturesMember2020-01-012020-06-300001333986us-gaap:InterestRateSwaptionMember2020-12-310001333986us-gaap:InterestRateSwaptionMember2020-01-012020-06-300001333986us-gaap:CreditDefaultSw</w:t>
      </w:r>
      <w:r>
        <w:rPr>
          <w:rFonts w:eastAsia="Times New Roman"/>
          <w:vanish/>
        </w:rPr>
        <w:t>apMember2020-12-310001333986us-gaap:CreditDefaultSwapMember2020-01-012020-06-300001333986us-gaap:ForeignExchangeContractMember2020-12-310001333986us-gaap:ForeignExchangeContractMember2020-01-012020-06-300001333986eqh:MarginMember2020-12-310001333986eqh:Mar</w:t>
      </w:r>
      <w:r>
        <w:rPr>
          <w:rFonts w:eastAsia="Times New Roman"/>
          <w:vanish/>
        </w:rPr>
        <w:t>ginMember2020-01-012020-06-300001333986us-gaap:CollateralizedSecuritiesMember2020-12-310001333986us-gaap:CollateralizedSecuritiesMember2020-01-012020-06-300001333986eqh:GmibReinsuranceMember2020-12-310001333986eqh:GmibReinsuranceMember2020-01-012020-06-300</w:t>
      </w:r>
      <w:r>
        <w:rPr>
          <w:rFonts w:eastAsia="Times New Roman"/>
          <w:vanish/>
        </w:rPr>
        <w:t>001333986us-gaap:GuaranteedMinimumWithdrawalBenefitMember2020-12-310001333986us-gaap:GuaranteedMinimumWithdrawalBenefitMember2020-01-012020-06-300001333986eqh:NonGmxbEmbeddedDerivativeInsuranceProductsMember2020-12-310001333986eqh:NonGmxbEmbeddedDerivative</w:t>
      </w:r>
      <w:r>
        <w:rPr>
          <w:rFonts w:eastAsia="Times New Roman"/>
          <w:vanish/>
        </w:rPr>
        <w:t>InsuranceProductsMember2020-01-012020-06-300001333986eqh:Sp500Russell1000Nasdaq100AndEmergingMarketIndicesMember2021-06-300001333986eqh:Sp500Russell1000Nasdaq100AndEmergingMarketIndicesMember2020-12-310001333986eqh:UsTreasuryNotesUltraLongBondsAndEuroDolla</w:t>
      </w:r>
      <w:r>
        <w:rPr>
          <w:rFonts w:eastAsia="Times New Roman"/>
          <w:vanish/>
        </w:rPr>
        <w:t>rMember2021-06-300001333986eqh:UsTreasuryNotesUltraLongBondsAndEuroDollarMember2020-12-310001333986eqh:EuroStoxxFTSE100TopixASX200AndEAFEIndicesMember2021-06-300001333986eqh:EuroStoxxFTSE100TopixASX200AndEAFEIndicesMember2020-12-310001333986us-gaap:Derivat</w:t>
      </w:r>
      <w:r>
        <w:rPr>
          <w:rFonts w:eastAsia="Times New Roman"/>
          <w:vanish/>
        </w:rPr>
        <w:t>iveMember2021-06-300001333986eqh:OtherFinancialInstrumentsMember2021-06-300001333986eqh:OtherInvestedAssetsMember2021-06-300001333986eqh:OtherFinancialLiabilitiesMember2021-06-300001333986us-gaap:OtherLiabilitiesMember2021-06-300001333986us-gaap:Derivative</w:t>
      </w:r>
      <w:r>
        <w:rPr>
          <w:rFonts w:eastAsia="Times New Roman"/>
          <w:vanish/>
        </w:rPr>
        <w:t>Member2020-12-310001333986eqh:OtherFinancialInstrumentsMember2020-12-310001333986eqh:OtherInvestedAssetsMember2020-12-310001333986eqh:OtherFinancialLiabilitiesMember2020-12-310001333986us-gaap:OtherLiabilitiesMember2020-12-310001333986eqh:GMDBDirectMember2</w:t>
      </w:r>
      <w:r>
        <w:rPr>
          <w:rFonts w:eastAsia="Times New Roman"/>
          <w:vanish/>
        </w:rPr>
        <w:t>021-03-310001333986eqh:GMDBAssumedMember2021-03-310001333986eqh:GMDBCededMember2021-03-310001333986eqh:GMIBDirectMember2021-03-310001333986eqh:GMIBAssumedMember2021-03-310001333986eqh:GMIBCededMember2021-03-310001333986eqh:GMDBDirectMember2021-04-012021-06</w:t>
      </w:r>
      <w:r>
        <w:rPr>
          <w:rFonts w:eastAsia="Times New Roman"/>
          <w:vanish/>
        </w:rPr>
        <w:t>-300001333986eqh:GMDBAssumedMember2021-04-012021-06-300001333986eqh:GMDBCededMember2021-04-012021-06-300001333986eqh:GMIBDirectMember2021-04-012021-06-300001333986eqh:GMIBAssumedMember2021-04-012021-06-300001333986eqh:GMIBCededMember2021-04-012021-06-30000</w:t>
      </w:r>
      <w:r>
        <w:rPr>
          <w:rFonts w:eastAsia="Times New Roman"/>
          <w:vanish/>
        </w:rPr>
        <w:t>1333986eqh:GMDBDirectMember2021-06-300001333986eqh:GMDBAssumedMember2021-06-300001333986eqh:GMDBCededMember2021-06-300001333986eqh:GMIBDirectMember2021-06-300001333986eqh:GMIBAssumedMember2021-06-300001333986eqh:GMIBCededMember2021-06-300001333986eqh:GMDBD</w:t>
      </w:r>
      <w:r>
        <w:rPr>
          <w:rFonts w:eastAsia="Times New Roman"/>
          <w:vanish/>
        </w:rPr>
        <w:t>irectMember2020-03-310001333986eqh:GMDBAssumedMember2020-03-310001333986eqh:GMDBCededMember2020-03-310001333986eqh:GMIBDirectMember2020-03-310001333986eqh:GMIBAssumedMember2020-03-310001333986eqh:GMIBCededMember2020-03-310001333986eqh:GMDBDirectMember2020-</w:t>
      </w:r>
      <w:r>
        <w:rPr>
          <w:rFonts w:eastAsia="Times New Roman"/>
          <w:vanish/>
        </w:rPr>
        <w:t>04-012020-06-300001333986eqh:GMDBAssumedMember2020-04-012020-06-300001333986eqh:GMDBCededMember2020-04-012020-06-300001333986eqh:GMIBDirectMember2020-04-012020-06-300001333986eqh:GMIBAssumedMember2020-04-012020-06-300001333986eqh:GMIBCededMember2020-04-012</w:t>
      </w:r>
      <w:r>
        <w:rPr>
          <w:rFonts w:eastAsia="Times New Roman"/>
          <w:vanish/>
        </w:rPr>
        <w:t>020-06-300001333986eqh:GMDBDirectMember2020-06-300001333986eqh:GMDBAssumedMember2020-06-300001333986eqh:GMDBCededMember2020-06-300001333986eqh:GMIBDirectMember2020-06-300001333986eqh:GMIBAssumedMember2020-06-300001333986eqh:GMIBCededMember2020-06-300001333</w:t>
      </w:r>
      <w:r>
        <w:rPr>
          <w:rFonts w:eastAsia="Times New Roman"/>
          <w:vanish/>
        </w:rPr>
        <w:t>986eqh:GMDBDirectMember2020-12-310001333986eqh:GMDBAssumedMember2020-12-310001333986eqh:GMDBCededMember2020-12-310001333986eqh:GMIBDirectMember2020-12-310001333986eqh:GMIBAssumedMember2020-12-310001333986eqh:GMIBCededMember2020-12-310001333986eqh:GMDBDirec</w:t>
      </w:r>
      <w:r>
        <w:rPr>
          <w:rFonts w:eastAsia="Times New Roman"/>
          <w:vanish/>
        </w:rPr>
        <w:t>tMember2021-01-012021-06-300001333986eqh:GMDBAssumedMember2021-01-012021-06-300001333986eqh:GMDBCededMember2021-01-012021-06-300001333986eqh:GMIBDirectMember2021-01-012021-06-300001333986eqh:GMIBAssumedMember2021-01-012021-06-300001333986eqh:GMIBCededMembe</w:t>
      </w:r>
      <w:r>
        <w:rPr>
          <w:rFonts w:eastAsia="Times New Roman"/>
          <w:vanish/>
        </w:rPr>
        <w:t>r2021-01-012021-06-300001333986eqh:GMDBDirectMember2019-12-310001333986eqh:GMDBAssumedMember2019-12-310001333986eqh:GMDBCededMember2019-12-310001333986eqh:GMIBDirectMember2019-12-310001333986eqh:GMIBAssumedMember2019-12-310001333986eqh:GMIBCededMember2019-</w:t>
      </w:r>
      <w:r>
        <w:rPr>
          <w:rFonts w:eastAsia="Times New Roman"/>
          <w:vanish/>
        </w:rPr>
        <w:t>12-310001333986eqh:GMDBDirectMember2020-01-012020-06-300001333986eqh:GMDBAssumedMember2020-01-012020-06-300001333986eqh:GMDBCededMember2020-01-012020-06-300001333986eqh:GMIBDirectMember2020-01-012020-06-300001333986eqh:GMIBAssumedMember2020-01-012020-06-30</w:t>
      </w:r>
      <w:r>
        <w:rPr>
          <w:rFonts w:eastAsia="Times New Roman"/>
          <w:vanish/>
        </w:rPr>
        <w:t>0001333986eqh:GMIBCededMember2020-01-012020-06-300001333986us-gaap:ImmediateVariableAnnuityMembereqh:ReturnOfPremiumMemberus-gaap:GuaranteedMinimumDeathBenefitMember2021-06-300001333986us-gaap:ImmediateVariableAnnuityMembereqh:RatchetMemberus-gaap:Guarante</w:t>
      </w:r>
      <w:r>
        <w:rPr>
          <w:rFonts w:eastAsia="Times New Roman"/>
          <w:vanish/>
        </w:rPr>
        <w:t>edMinimumDeathBenefitMember2021-06-300001333986us-gaap:ImmediateVariableAnnuityMembereqh:RollUpMemberus-gaap:GuaranteedMinimumDeathBenefitMember2021-06-300001333986us-gaap:ImmediateVariableAnnuityMembereqh:ComboMemberus-gaap:GuaranteedMinimumDeathBenefitMe</w:t>
      </w:r>
      <w:r>
        <w:rPr>
          <w:rFonts w:eastAsia="Times New Roman"/>
          <w:vanish/>
        </w:rPr>
        <w:t>mber2021-06-300001333986us-gaap:ImmediateVariableAnnuityMemberus-gaap:GuaranteedMinimumDeathBenefitMember2021-06-300001333986us-gaap:ImmediateVariableAnnuityMembereqh:ReturnOfPremiumMemberus-gaap:GuaranteedMinimumDeathBenefitMember2021-01-012021-06-3000013</w:t>
      </w:r>
      <w:r>
        <w:rPr>
          <w:rFonts w:eastAsia="Times New Roman"/>
          <w:vanish/>
        </w:rPr>
        <w:t>33986us-gaap:ImmediateVariableAnnuityMembereqh:RatchetMemberus-gaap:GuaranteedMinimumDeathBenefitMember2021-01-012021-06-300001333986us-gaap:ImmediateVariableAnnuityMembereqh:RollUpMemberus-gaap:GuaranteedMinimumDeathBenefitMember2021-01-012021-06-30000133</w:t>
      </w:r>
      <w:r>
        <w:rPr>
          <w:rFonts w:eastAsia="Times New Roman"/>
          <w:vanish/>
        </w:rPr>
        <w:t>3986us-gaap:ImmediateVariableAnnuityMembereqh:ComboMemberus-gaap:GuaranteedMinimumDeathBenefitMember2021-01-012021-06-300001333986us-gaap:ImmediateVariableAnnuityMemberus-gaap:GuaranteedMinimumDeathBenefitMember2021-01-012021-06-300001333986us-gaap:Guarant</w:t>
      </w:r>
      <w:r>
        <w:rPr>
          <w:rFonts w:eastAsia="Times New Roman"/>
          <w:vanish/>
        </w:rPr>
        <w:t>eedMinimumIncomeBenefitMemberus-gaap:ImmediateVariableAnnuityMembereqh:ReturnOfPremiumMember2021-06-300001333986us-gaap:GuaranteedMinimumIncomeBenefitMemberus-gaap:ImmediateVariableAnnuityMembereqh:RatchetMember2021-06-300001333986us-gaap:GuaranteedMinimum</w:t>
      </w:r>
      <w:r>
        <w:rPr>
          <w:rFonts w:eastAsia="Times New Roman"/>
          <w:vanish/>
        </w:rPr>
        <w:t>IncomeBenefitMemberus-gaap:ImmediateVariableAnnuityMembereqh:RollUpMember2021-06-300001333986us-gaap:GuaranteedMinimumIncomeBenefitMemberus-gaap:ImmediateVariableAnnuityMembereqh:ComboMember2021-06-300001333986us-gaap:GuaranteedMinimumIncomeBenefitMemberus</w:t>
      </w:r>
      <w:r>
        <w:rPr>
          <w:rFonts w:eastAsia="Times New Roman"/>
          <w:vanish/>
        </w:rPr>
        <w:t>-gaap:ImmediateVariableAnnuityMember2021-06-300001333986us-gaap:CommonStockMemberus-gaap:GuaranteedMinimumDeathBenefitMember2021-06-300001333986us-gaap:GuaranteedMinimumIncomeBenefitMemberus-gaap:CommonStockMember2021-06-300001333986us-gaap:CommonStockMemb</w:t>
      </w:r>
      <w:r>
        <w:rPr>
          <w:rFonts w:eastAsia="Times New Roman"/>
          <w:vanish/>
        </w:rPr>
        <w:t>erus-gaap:GuaranteedMinimumDeathBenefitMember2020-12-310001333986us-gaap:GuaranteedMinimumIncomeBenefitMemberus-gaap:CommonStockMember2020-12-310001333986us-gaap:FixedIncomeInvestmentsMemberus-gaap:GuaranteedMinimumDeathBenefitMember2021-06-300001333986us-</w:t>
      </w:r>
      <w:r>
        <w:rPr>
          <w:rFonts w:eastAsia="Times New Roman"/>
          <w:vanish/>
        </w:rPr>
        <w:t>gaap:GuaranteedMinimumIncomeBenefitMemberus-gaap:FixedIncomeInvestmentsMember2021-06-300001333986us-gaap:FixedIncomeInvestmentsMemberus-gaap:GuaranteedMinimumDeathBenefitMember2020-12-310001333986us-gaap:GuaranteedMinimumIncomeBenefitMemberus-gaap:FixedInc</w:t>
      </w:r>
      <w:r>
        <w:rPr>
          <w:rFonts w:eastAsia="Times New Roman"/>
          <w:vanish/>
        </w:rPr>
        <w:t>omeInvestmentsMember2020-12-310001333986us-gaap:BalancedFundsMemberus-gaap:GuaranteedMinimumDeathBenefitMember2021-06-300001333986us-gaap:GuaranteedMinimumIncomeBenefitMemberus-gaap:BalancedFundsMember2021-06-300001333986us-gaap:BalancedFundsMemberus-gaap:</w:t>
      </w:r>
      <w:r>
        <w:rPr>
          <w:rFonts w:eastAsia="Times New Roman"/>
          <w:vanish/>
        </w:rPr>
        <w:t>GuaranteedMinimumDeathBenefitMember2020-12-310001333986us-gaap:GuaranteedMinimumIncomeBenefitMemberus-gaap:BalancedFundsMember2020-12-310001333986us-gaap:OtherInvestmentsMemberus-gaap:GuaranteedMinimumDeathBenefitMember2021-06-300001333986us-gaap:Guarantee</w:t>
      </w:r>
      <w:r>
        <w:rPr>
          <w:rFonts w:eastAsia="Times New Roman"/>
          <w:vanish/>
        </w:rPr>
        <w:t>dMinimumIncomeBenefitMemberus-gaap:OtherInvestmentsMember2021-06-300001333986us-gaap:OtherInvestmentsMemberus-gaap:GuaranteedMinimumDeathBenefitMember2020-12-310001333986us-gaap:GuaranteedMinimumIncomeBenefitMemberus-gaap:OtherInvestmentsMember2020-12-3100</w:t>
      </w:r>
      <w:r>
        <w:rPr>
          <w:rFonts w:eastAsia="Times New Roman"/>
          <w:vanish/>
        </w:rPr>
        <w:t>01333986us-gaap:GuaranteedMinimumDeathBenefitMember2021-06-300001333986us-gaap:GuaranteedMinimumIncomeBenefitMember2021-06-300001333986us-gaap:GuaranteedMinimumDeathBenefitMember2020-12-310001333986us-gaap:GuaranteedMinimumIncomeBenefitMember2020-12-310001</w:t>
      </w:r>
      <w:r>
        <w:rPr>
          <w:rFonts w:eastAsia="Times New Roman"/>
          <w:vanish/>
        </w:rPr>
        <w:t>333986eqh:DirectLiabilitiesForGuaranteesMember2021-03-310001333986eqh:DirectLiabilitiesForGuaranteesMember2020-03-310001333986eqh:DirectLiabilitiesForGuaranteesMember2020-12-310001333986eqh:DirectLiabilitiesForGuaranteesMember2019-12-310001333986eqh:Direct</w:t>
      </w:r>
      <w:r>
        <w:rPr>
          <w:rFonts w:eastAsia="Times New Roman"/>
          <w:vanish/>
        </w:rPr>
        <w:t>LiabilitiesForGuaranteesMember2021-04-012021-06-300001333986eqh:DirectLiabilitiesForGuaranteesMember2020-04-012020-06-300001333986eqh:DirectLiabilitiesForGuaranteesMember2021-01-012021-06-300001333986eqh:DirectLiabilitiesForGuaranteesMember2020-01-012020-0</w:t>
      </w:r>
      <w:r>
        <w:rPr>
          <w:rFonts w:eastAsia="Times New Roman"/>
          <w:vanish/>
        </w:rPr>
        <w:t>6-300001333986eqh:DirectLiabilitiesForGuaranteesMember2021-06-300001333986eqh:DirectLiabilitiesForGuaranteesMember2020-06-300001333986us-gaap:ImmediateVariableAnnuityMembersrt:MinimumMembereqh:RollUpMemberus-gaap:GuaranteedMinimumDeathBenefitMember2021-01-</w:t>
      </w:r>
      <w:r>
        <w:rPr>
          <w:rFonts w:eastAsia="Times New Roman"/>
          <w:vanish/>
        </w:rPr>
        <w:t>012021-06-300001333986us-gaap:ImmediateVariableAnnuityMembersrt:MinimumMembereqh:ComboMemberus-gaap:GuaranteedMinimumDeathBenefitMember2021-01-012021-06-300001333986us-gaap:ImmediateVariableAnnuityMembersrt:MinimumMemberus-gaap:GuaranteedMinimumDeathBenefi</w:t>
      </w:r>
      <w:r>
        <w:rPr>
          <w:rFonts w:eastAsia="Times New Roman"/>
          <w:vanish/>
        </w:rPr>
        <w:t>tMember2021-01-012021-06-300001333986us-gaap:ImmediateVariableAnnuityMembersrt:MaximumMembereqh:RollUpMemberus-gaap:GuaranteedMinimumDeathBenefitMember2021-01-012021-06-300001333986us-gaap:ImmediateVariableAnnuityMembersrt:MaximumMembereqh:ComboMemberus-ga</w:t>
      </w:r>
      <w:r>
        <w:rPr>
          <w:rFonts w:eastAsia="Times New Roman"/>
          <w:vanish/>
        </w:rPr>
        <w:t>ap:GuaranteedMinimumDeathBenefitMember2021-01-012021-06-300001333986us-gaap:ImmediateVariableAnnuityMembersrt:MaximumMemberus-gaap:GuaranteedMinimumDeathBenefitMember2021-01-012021-06-300001333986us-gaap:GuaranteedMinimumIncomeBenefitMemberus-gaap:Immediat</w:t>
      </w:r>
      <w:r>
        <w:rPr>
          <w:rFonts w:eastAsia="Times New Roman"/>
          <w:vanish/>
        </w:rPr>
        <w:t>eVariableAnnuityMembereqh:RollUpMember2021-01-012021-06-300001333986us-gaap:GuaranteedMinimumIncomeBenefitMemberus-gaap:ImmediateVariableAnnuityMembereqh:ComboMember2021-01-012021-06-300001333986us-gaap:GuaranteedMinimumIncomeBenefitMemberus-gaap:Immediate</w:t>
      </w:r>
      <w:r>
        <w:rPr>
          <w:rFonts w:eastAsia="Times New Roman"/>
          <w:vanish/>
        </w:rPr>
        <w:t>VariableAnnuityMember2021-01-012021-06-300001333986us-gaap:GuaranteedMinimumIncomeBenefitMemberus-gaap:ImmediateVariableAnnuityMembersrt:MinimumMembereqh:RollUpMember2021-01-012021-06-300001333986us-gaap:GuaranteedMinimumIncomeBenefitMemberus-gaap:Immediat</w:t>
      </w:r>
      <w:r>
        <w:rPr>
          <w:rFonts w:eastAsia="Times New Roman"/>
          <w:vanish/>
        </w:rPr>
        <w:t>eVariableAnnuityMembersrt:MinimumMembereqh:ComboMember2021-01-012021-06-300001333986us-gaap:GuaranteedMinimumIncomeBenefitMemberus-gaap:ImmediateVariableAnnuityMembersrt:MinimumMember2021-01-012021-06-300001333986us-gaap:GuaranteedMinimumIncomeBenefitMembe</w:t>
      </w:r>
      <w:r>
        <w:rPr>
          <w:rFonts w:eastAsia="Times New Roman"/>
          <w:vanish/>
        </w:rPr>
        <w:t>rus-gaap:ImmediateVariableAnnuityMembersrt:MaximumMembereqh:RollUpMember2021-01-012021-06-300001333986us-gaap:GuaranteedMinimumIncomeBenefitMemberus-gaap:ImmediateVariableAnnuityMembersrt:MaximumMembereqh:ComboMember2021-01-012021-06-300001333986us-gaap:Gu</w:t>
      </w:r>
      <w:r>
        <w:rPr>
          <w:rFonts w:eastAsia="Times New Roman"/>
          <w:vanish/>
        </w:rPr>
        <w:t>aranteedMinimumIncomeBenefitMemberus-gaap:ImmediateVariableAnnuityMembersrt:MaximumMember2021-01-012021-06-300001333986us-gaap:FairValueMeasurementsRecurringMemberus-gaap:FairValueInputsLevel1Membereqh:PublicCorporateMember2021-06-300001333986us-gaap:FairV</w:t>
      </w:r>
      <w:r>
        <w:rPr>
          <w:rFonts w:eastAsia="Times New Roman"/>
          <w:vanish/>
        </w:rPr>
        <w:t>alueInputsLevel2Memberus-gaap:FairValueMeasurementsRecurringMembereqh:PublicCorporateMember2021-06-300001333986us-gaap:FairValueInputsLevel3Memberus-gaap:FairValueMeasurementsRecurringMembereqh:PublicCorporateMember2021-06-300001333986us-gaap:FairValueMeas</w:t>
      </w:r>
      <w:r>
        <w:rPr>
          <w:rFonts w:eastAsia="Times New Roman"/>
          <w:vanish/>
        </w:rPr>
        <w:t>urementsRecurringMembereqh:PublicCorporateMember2021-06-300001333986us-gaap:FairValueMeasurementsRecurringMemberus-gaap:FairValueInputsLevel1Memberus-gaap:USTreasuryAndGovernmentMember2021-06-300001333986us-gaap:FairValueInputsLevel2Memberus-gaap:FairValue</w:t>
      </w:r>
      <w:r>
        <w:rPr>
          <w:rFonts w:eastAsia="Times New Roman"/>
          <w:vanish/>
        </w:rPr>
        <w:t>MeasurementsRecurringMemberus-gaap:USTreasuryAndGovernmentMember2021-06-300001333986us-gaap:FairValueInputsLevel3Memberus-gaap:FairValueMeasurementsRecurringMemberus-gaap:USTreasuryAndGovernmentMember2021-06-300001333986us-gaap:FairValueMeasurementsRecurri</w:t>
      </w:r>
      <w:r>
        <w:rPr>
          <w:rFonts w:eastAsia="Times New Roman"/>
          <w:vanish/>
        </w:rPr>
        <w:t>ngMemberus-gaap:USTreasuryAndGovernmentMember2021-06-300001333986us-gaap:USStatesAndPoliticalSubdivisionsMemberus-gaap:FairValueMeasurementsRecurringMemberus-gaap:FairValueInputsLevel1Member2021-06-300001333986us-gaap:FairValueInputsLevel2Memberus-gaap:USS</w:t>
      </w:r>
      <w:r>
        <w:rPr>
          <w:rFonts w:eastAsia="Times New Roman"/>
          <w:vanish/>
        </w:rPr>
        <w:t>tatesAndPoliticalSubdivisionsMemberus-gaap:FairValueMeasurementsRecurringMember2021-06-300001333986us-gaap:FairValueInputsLevel3Memberus-gaap:USStatesAndPoliticalSubdivisionsMemberus-gaap:FairValueMeasurementsRecurringMember2021-06-300001333986us-gaap:USSt</w:t>
      </w:r>
      <w:r>
        <w:rPr>
          <w:rFonts w:eastAsia="Times New Roman"/>
          <w:vanish/>
        </w:rPr>
        <w:t>atesAndPoliticalSubdivisionsMemberus-gaap:FairValueMeasurementsRecurringMember2021-06-300001333986us-gaap:FairValueMeasurementsRecurringMemberus-gaap:FairValueInputsLevel1Memberus-gaap:ForeignGovernmentDebtSecuritiesMember2021-06-300001333986us-gaap:FairVa</w:t>
      </w:r>
      <w:r>
        <w:rPr>
          <w:rFonts w:eastAsia="Times New Roman"/>
          <w:vanish/>
        </w:rPr>
        <w:t>lueInputsLevel2Memberus-gaap:FairValueMeasurementsRecurringMemberus-gaap:ForeignGovernmentDebtSecuritiesMember2021-06-300001333986us-gaap:FairValueInputsLevel3Memberus-gaap:FairValueMeasurementsRecurringMemberus-gaap:ForeignGovernmentDebtSecuritiesMember20</w:t>
      </w:r>
      <w:r>
        <w:rPr>
          <w:rFonts w:eastAsia="Times New Roman"/>
          <w:vanish/>
        </w:rPr>
        <w:t>21-06-300001333986us-gaap:FairValueMeasurementsRecurringMemberus-gaap:ForeignGovernmentDebtSecuritiesMember2021-06-300001333986us-gaap:FairValueMeasurementsRecurringMemberus-gaap:ResidentialMortgageBackedSecuritiesMemberus-gaap:FairValueInputsLevel1Member2</w:t>
      </w:r>
      <w:r>
        <w:rPr>
          <w:rFonts w:eastAsia="Times New Roman"/>
          <w:vanish/>
        </w:rPr>
        <w:t>021-06-300001333986us-gaap:FairValueInputsLevel2Memberus-gaap:FairValueMeasurementsRecurringMemberus-gaap:ResidentialMortgageBackedSecuritiesMember2021-06-300001333986us-gaap:FairValueInputsLevel3Memberus-gaap:FairValueMeasurementsRecurringMemberus-gaap:Re</w:t>
      </w:r>
      <w:r>
        <w:rPr>
          <w:rFonts w:eastAsia="Times New Roman"/>
          <w:vanish/>
        </w:rPr>
        <w:t>sidentialMortgageBackedSecuritiesMember2021-06-300001333986us-gaap:FairValueMeasurementsRecurringMemberus-gaap:ResidentialMortgageBackedSecuritiesMember2021-06-300001333986us-gaap:AssetBackedSecuritiesMemberus-gaap:FairValueMeasurementsRecurringMemberus-ga</w:t>
      </w:r>
      <w:r>
        <w:rPr>
          <w:rFonts w:eastAsia="Times New Roman"/>
          <w:vanish/>
        </w:rPr>
        <w:t>ap:FairValueInputsLevel1Member2021-06-300001333986us-gaap:FairValueInputsLevel2Memberus-gaap:AssetBackedSecuritiesMemberus-gaap:FairValueMeasurementsRecurringMember2021-06-300001333986us-gaap:FairValueInputsLevel3Memberus-gaap:AssetBackedSecuritiesMemberus</w:t>
      </w:r>
      <w:r>
        <w:rPr>
          <w:rFonts w:eastAsia="Times New Roman"/>
          <w:vanish/>
        </w:rPr>
        <w:t>-gaap:FairValueMeasurementsRecurringMember2021-06-300001333986us-gaap:AssetBackedSecuritiesMemberus-gaap:FairValueMeasurementsRecurringMember2021-06-300001333986us-gaap:CommercialMortgageBackedSecuritiesMemberus-gaap:FairValueMeasurementsRecurringMemberus-</w:t>
      </w:r>
      <w:r>
        <w:rPr>
          <w:rFonts w:eastAsia="Times New Roman"/>
          <w:vanish/>
        </w:rPr>
        <w:t>gaap:FairValueInputsLevel1Member2021-06-300001333986us-gaap:FairValueInputsLevel2Memberus-gaap:CommercialMortgageBackedSecuritiesMemberus-gaap:FairValueMeasurementsRecurringMember2021-06-300001333986us-gaap:FairValueInputsLevel3Memberus-gaap:CommercialMort</w:t>
      </w:r>
      <w:r>
        <w:rPr>
          <w:rFonts w:eastAsia="Times New Roman"/>
          <w:vanish/>
        </w:rPr>
        <w:t>gageBackedSecuritiesMemberus-gaap:FairValueMeasurementsRecurringMember2021-06-300001333986us-gaap:CommercialMortgageBackedSecuritiesMemberus-gaap:FairValueMeasurementsRecurringMember2021-06-300001333986us-gaap:FairValueMeasurementsRecurringMemberus-gaap:Fa</w:t>
      </w:r>
      <w:r>
        <w:rPr>
          <w:rFonts w:eastAsia="Times New Roman"/>
          <w:vanish/>
        </w:rPr>
        <w:t>irValueInputsLevel1Memberus-gaap:RedeemablePreferredStockMember2021-06-300001333986us-gaap:FairValueInputsLevel2Memberus-gaap:FairValueMeasurementsRecurringMemberus-gaap:RedeemablePreferredStockMember2021-06-300001333986us-gaap:FairValueInputsLevel3Memberu</w:t>
      </w:r>
      <w:r>
        <w:rPr>
          <w:rFonts w:eastAsia="Times New Roman"/>
          <w:vanish/>
        </w:rPr>
        <w:t>s-gaap:FairValueMeasurementsRecurringMemberus-gaap:RedeemablePreferredStockMember2021-06-300001333986us-gaap:FairValueMeasurementsRecurringMemberus-gaap:RedeemablePreferredStockMember2021-06-300001333986us-gaap:FairValueMeasurementsRecurringMemberus-gaap:F</w:t>
      </w:r>
      <w:r>
        <w:rPr>
          <w:rFonts w:eastAsia="Times New Roman"/>
          <w:vanish/>
        </w:rPr>
        <w:t>airValueInputsLevel1Member2021-06-300001333986us-gaap:FairValueInputsLevel2Memberus-gaap:FairValueMeasurementsRecurringMember2021-06-300001333986us-gaap:FairValueInputsLevel3Memberus-gaap:FairValueMeasurementsRecurringMember2021-06-300001333986us-gaap:Fair</w:t>
      </w:r>
      <w:r>
        <w:rPr>
          <w:rFonts w:eastAsia="Times New Roman"/>
          <w:vanish/>
        </w:rPr>
        <w:t>ValueMeasurementsRecurringMemberus-gaap:ShortTermInvestmentsMemberus-gaap:FairValueInputsLevel1Member2021-06-300001333986us-gaap:FairValueInputsLevel2Memberus-gaap:FairValueMeasurementsRecurringMemberus-gaap:ShortTermInvestmentsMember2021-06-300001333986us</w:t>
      </w:r>
      <w:r>
        <w:rPr>
          <w:rFonts w:eastAsia="Times New Roman"/>
          <w:vanish/>
        </w:rPr>
        <w:t>-gaap:FairValueInputsLevel3Memberus-gaap:FairValueMeasurementsRecurringMemberus-gaap:ShortTermInvestmentsMember2021-06-300001333986us-gaap:FairValueMeasurementsRecurringMemberus-gaap:ShortTermInvestmentsMember2021-06-300001333986eqh:AssetsofConsolidatedVIE</w:t>
      </w:r>
      <w:r>
        <w:rPr>
          <w:rFonts w:eastAsia="Times New Roman"/>
          <w:vanish/>
        </w:rPr>
        <w:t>sVOEsMemberus-gaap:FairValueMeasurementsRecurringMemberus-gaap:FairValueInputsLevel1Member2021-06-300001333986us-gaap:FairValueInputsLevel2Membereqh:AssetsofConsolidatedVIEsVOEsMemberus-gaap:FairValueMeasurementsRecurringMember2021-06-300001333986us-gaap:F</w:t>
      </w:r>
      <w:r>
        <w:rPr>
          <w:rFonts w:eastAsia="Times New Roman"/>
          <w:vanish/>
        </w:rPr>
        <w:t>airValueInputsLevel3Membereqh:AssetsofConsolidatedVIEsVOEsMemberus-gaap:FairValueMeasurementsRecurringMember2021-06-300001333986eqh:AssetsofConsolidatedVIEsVOEsMemberus-gaap:FairValueMeasurementsRecurringMember2021-06-300001333986us-gaap:SwapMemberus-gaap:</w:t>
      </w:r>
      <w:r>
        <w:rPr>
          <w:rFonts w:eastAsia="Times New Roman"/>
          <w:vanish/>
        </w:rPr>
        <w:t>FairValueMeasurementsRecurringMemberus-gaap:FairValueInputsLevel1Member2021-06-300001333986us-gaap:SwapMemberus-gaap:FairValueInputsLevel2Memberus-gaap:FairValueMeasurementsRecurringMember2021-06-300001333986us-gaap:SwapMemberus-gaap:FairValueInputsLevel3M</w:t>
      </w:r>
      <w:r>
        <w:rPr>
          <w:rFonts w:eastAsia="Times New Roman"/>
          <w:vanish/>
        </w:rPr>
        <w:t>emberus-gaap:FairValueMeasurementsRecurringMember2021-06-300001333986us-gaap:SwapMemberus-gaap:FairValueMeasurementsRecurringMember2021-06-300001333986us-gaap:CreditDefaultSwapMemberus-gaap:FairValueMeasurementsRecurringMemberus-gaap:FairValueInputsLevel1M</w:t>
      </w:r>
      <w:r>
        <w:rPr>
          <w:rFonts w:eastAsia="Times New Roman"/>
          <w:vanish/>
        </w:rPr>
        <w:t>ember2021-06-300001333986us-gaap:CreditDefaultSwapMemberus-gaap:FairValueInputsLevel2Memberus-gaap:FairValueMeasurementsRecurringMember2021-06-300001333986us-gaap:CreditDefaultSwapMemberus-gaap:FairValueInputsLevel3Memberus-gaap:FairValueMeasurementsRecurr</w:t>
      </w:r>
      <w:r>
        <w:rPr>
          <w:rFonts w:eastAsia="Times New Roman"/>
          <w:vanish/>
        </w:rPr>
        <w:t>ingMember2021-06-300001333986us-gaap:CreditDefaultSwapMemberus-gaap:FairValueMeasurementsRecurringMember2021-06-300001333986us-gaap:FutureMemberus-gaap:FairValueMeasurementsRecurringMemberus-gaap:FairValueInputsLevel1Member2021-06-300001333986us-gaap:FairV</w:t>
      </w:r>
      <w:r>
        <w:rPr>
          <w:rFonts w:eastAsia="Times New Roman"/>
          <w:vanish/>
        </w:rPr>
        <w:t>alueInputsLevel2Memberus-gaap:FutureMemberus-gaap:FairValueMeasurementsRecurringMember2021-06-300001333986us-gaap:FairValueInputsLevel3Memberus-gaap:FutureMemberus-gaap:FairValueMeasurementsRecurringMember2021-06-300001333986us-gaap:FutureMemberus-gaap:Fai</w:t>
      </w:r>
      <w:r>
        <w:rPr>
          <w:rFonts w:eastAsia="Times New Roman"/>
          <w:vanish/>
        </w:rPr>
        <w:t>rValueMeasurementsRecurringMember2021-06-300001333986us-gaap:OptionMemberus-gaap:FairValueMeasurementsRecurringMemberus-gaap:FairValueInputsLevel1Member2021-06-300001333986us-gaap:OptionMemberus-gaap:FairValueInputsLevel2Memberus-gaap:FairValueMeasurements</w:t>
      </w:r>
      <w:r>
        <w:rPr>
          <w:rFonts w:eastAsia="Times New Roman"/>
          <w:vanish/>
        </w:rPr>
        <w:t>RecurringMember2021-06-300001333986us-gaap:OptionMemberus-gaap:FairValueInputsLevel3Memberus-gaap:FairValueMeasurementsRecurringMember2021-06-300001333986us-gaap:OptionMemberus-gaap:FairValueMeasurementsRecurringMember2021-06-300001333986us-gaap:FairValueM</w:t>
      </w:r>
      <w:r>
        <w:rPr>
          <w:rFonts w:eastAsia="Times New Roman"/>
          <w:vanish/>
        </w:rPr>
        <w:t>easurementsRecurringMemberus-gaap:GuaranteedMinimumWithdrawalBenefitMemberus-gaap:FairValueInputsLevel1Member2021-06-300001333986us-gaap:FairValueInputsLevel2Memberus-gaap:FairValueMeasurementsRecurringMemberus-gaap:GuaranteedMinimumWithdrawalBenefitMember</w:t>
      </w:r>
      <w:r>
        <w:rPr>
          <w:rFonts w:eastAsia="Times New Roman"/>
          <w:vanish/>
        </w:rPr>
        <w:t>2021-06-300001333986us-gaap:FairValueInputsLevel3Memberus-gaap:FairValueMeasurementsRecurringMemberus-gaap:GuaranteedMinimumWithdrawalBenefitMember2021-06-300001333986us-gaap:FairValueMeasurementsRecurringMemberus-gaap:GuaranteedMinimumWithdrawalBenefitMem</w:t>
      </w:r>
      <w:r>
        <w:rPr>
          <w:rFonts w:eastAsia="Times New Roman"/>
          <w:vanish/>
        </w:rPr>
        <w:t>ber2021-06-300001333986eqh:NonGmxbEmbeddedDerivativeInsuranceProductsMemberus-gaap:FairValueMeasurementsRecurringMemberus-gaap:FairValueInputsLevel1Member2021-06-300001333986us-gaap:FairValueInputsLevel2Membereqh:NonGmxbEmbeddedDerivativeInsuranceProductsM</w:t>
      </w:r>
      <w:r>
        <w:rPr>
          <w:rFonts w:eastAsia="Times New Roman"/>
          <w:vanish/>
        </w:rPr>
        <w:t>emberus-gaap:FairValueMeasurementsRecurringMember2021-06-300001333986us-gaap:FairValueInputsLevel3Membereqh:NonGmxbEmbeddedDerivativeInsuranceProductsMemberus-gaap:FairValueMeasurementsRecurringMember2021-06-300001333986eqh:NonGmxbEmbeddedDerivativeInsuran</w:t>
      </w:r>
      <w:r>
        <w:rPr>
          <w:rFonts w:eastAsia="Times New Roman"/>
          <w:vanish/>
        </w:rPr>
        <w:t>ceProductsMemberus-gaap:FairValueMeasurementsRecurringMember2021-06-300001333986us-gaap:FairValueMeasurementsRecurringMemberus-gaap:FairValueInputsLevel1Memberus-gaap:VariableInterestEntityPrimaryBeneficiaryMember2021-06-300001333986us-gaap:FairValueInputs</w:t>
      </w:r>
      <w:r>
        <w:rPr>
          <w:rFonts w:eastAsia="Times New Roman"/>
          <w:vanish/>
        </w:rPr>
        <w:t>Level2Memberus-gaap:FairValueMeasurementsRecurringMemberus-gaap:VariableInterestEntityPrimaryBeneficiaryMember2021-06-300001333986us-gaap:FairValueInputsLevel3Memberus-gaap:FairValueMeasurementsRecurringMemberus-gaap:VariableInterestEntityPrimaryBeneficiar</w:t>
      </w:r>
      <w:r>
        <w:rPr>
          <w:rFonts w:eastAsia="Times New Roman"/>
          <w:vanish/>
        </w:rPr>
        <w:t>yMember2021-06-300001333986us-gaap:FairValueMeasurementsRecurringMemberus-gaap:VariableInterestEntityPrimaryBeneficiaryMember2021-06-300001333986us-gaap:FairValueMeasuredAtNetAssetValuePerShareMemberus-gaap:FairValueMeasurementsRecurringMember2021-06-30000</w:t>
      </w:r>
      <w:r>
        <w:rPr>
          <w:rFonts w:eastAsia="Times New Roman"/>
          <w:vanish/>
        </w:rPr>
        <w:t>1333986us-gaap:CarryingReportedAmountFairValueDisclosureMemberus-gaap:CollateralizedLoanObligationsMember2021-06-300001333986us-gaap:FairValueMeasurementsRecurringMemberus-gaap:FairValueInputsLevel1Membereqh:PublicCorporateMember2020-12-310001333986us-gaap</w:t>
      </w:r>
      <w:r>
        <w:rPr>
          <w:rFonts w:eastAsia="Times New Roman"/>
          <w:vanish/>
        </w:rPr>
        <w:t>:FairValueInputsLevel2Memberus-gaap:FairValueMeasurementsRecurringMembereqh:PublicCorporateMember2020-12-310001333986us-gaap:FairValueInputsLevel3Memberus-gaap:FairValueMeasurementsRecurringMembereqh:PublicCorporateMember2020-12-310001333986us-gaap:FairVal</w:t>
      </w:r>
      <w:r>
        <w:rPr>
          <w:rFonts w:eastAsia="Times New Roman"/>
          <w:vanish/>
        </w:rPr>
        <w:t>ueMeasurementsRecurringMembereqh:PublicCorporateMember2020-12-310001333986us-gaap:FairValueMeasurementsRecurringMemberus-gaap:FairValueInputsLevel1Memberus-gaap:USTreasuryAndGovernmentMember2020-12-310001333986us-gaap:FairValueInputsLevel2Memberus-gaap:Fai</w:t>
      </w:r>
      <w:r>
        <w:rPr>
          <w:rFonts w:eastAsia="Times New Roman"/>
          <w:vanish/>
        </w:rPr>
        <w:t>rValueMeasurementsRecurringMemberus-gaap:USTreasuryAndGovernmentMember2020-12-310001333986us-gaap:FairValueInputsLevel3Memberus-gaap:FairValueMeasurementsRecurringMemberus-gaap:USTreasuryAndGovernmentMember2020-12-310001333986us-gaap:FairValueMeasurementsR</w:t>
      </w:r>
      <w:r>
        <w:rPr>
          <w:rFonts w:eastAsia="Times New Roman"/>
          <w:vanish/>
        </w:rPr>
        <w:t>ecurringMemberus-gaap:USTreasuryAndGovernmentMember2020-12-310001333986us-gaap:USStatesAndPoliticalSubdivisionsMemberus-gaap:FairValueMeasurementsRecurringMemberus-gaap:FairValueInputsLevel1Member2020-12-310001333986us-gaap:FairValueInputsLevel2Memberus-ga</w:t>
      </w:r>
      <w:r>
        <w:rPr>
          <w:rFonts w:eastAsia="Times New Roman"/>
          <w:vanish/>
        </w:rPr>
        <w:t>ap:USStatesAndPoliticalSubdivisionsMemberus-gaap:FairValueMeasurementsRecurringMember2020-12-310001333986us-gaap:FairValueInputsLevel3Memberus-gaap:USStatesAndPoliticalSubdivisionsMemberus-gaap:FairValueMeasurementsRecurringMember2020-12-310001333986us-gaa</w:t>
      </w:r>
      <w:r>
        <w:rPr>
          <w:rFonts w:eastAsia="Times New Roman"/>
          <w:vanish/>
        </w:rPr>
        <w:t>p:USStatesAndPoliticalSubdivisionsMemberus-gaap:FairValueMeasurementsRecurringMember2020-12-310001333986us-gaap:FairValueMeasurementsRecurringMemberus-gaap:FairValueInputsLevel1Memberus-gaap:ForeignGovernmentDebtSecuritiesMember2020-12-310001333986us-gaap:</w:t>
      </w:r>
      <w:r>
        <w:rPr>
          <w:rFonts w:eastAsia="Times New Roman"/>
          <w:vanish/>
        </w:rPr>
        <w:t>FairValueInputsLevel2Memberus-gaap:FairValueMeasurementsRecurringMemberus-gaap:ForeignGovernmentDebtSecuritiesMember2020-12-310001333986us-gaap:FairValueInputsLevel3Memberus-gaap:FairValueMeasurementsRecurringMemberus-gaap:ForeignGovernmentDebtSecuritiesMe</w:t>
      </w:r>
      <w:r>
        <w:rPr>
          <w:rFonts w:eastAsia="Times New Roman"/>
          <w:vanish/>
        </w:rPr>
        <w:t>mber2020-12-310001333986us-gaap:FairValueMeasurementsRecurringMemberus-gaap:ForeignGovernmentDebtSecuritiesMember2020-12-310001333986us-gaap:FairValueMeasurementsRecurringMemberus-gaap:ResidentialMortgageBackedSecuritiesMemberus-gaap:FairValueInputsLevel1M</w:t>
      </w:r>
      <w:r>
        <w:rPr>
          <w:rFonts w:eastAsia="Times New Roman"/>
          <w:vanish/>
        </w:rPr>
        <w:t>ember2020-12-310001333986us-gaap:FairValueInputsLevel2Memberus-gaap:FairValueMeasurementsRecurringMemberus-gaap:ResidentialMortgageBackedSecuritiesMember2020-12-310001333986us-gaap:FairValueInputsLevel3Memberus-gaap:FairValueMeasurementsRecurringMemberus-g</w:t>
      </w:r>
      <w:r>
        <w:rPr>
          <w:rFonts w:eastAsia="Times New Roman"/>
          <w:vanish/>
        </w:rPr>
        <w:t>aap:ResidentialMortgageBackedSecuritiesMember2020-12-310001333986us-gaap:FairValueMeasurementsRecurringMemberus-gaap:ResidentialMortgageBackedSecuritiesMember2020-12-310001333986us-gaap:AssetBackedSecuritiesMemberus-gaap:FairValueMeasurementsRecurringMembe</w:t>
      </w:r>
      <w:r>
        <w:rPr>
          <w:rFonts w:eastAsia="Times New Roman"/>
          <w:vanish/>
        </w:rPr>
        <w:t>rus-gaap:FairValueInputsLevel1Member2020-12-310001333986us-gaap:FairValueInputsLevel2Memberus-gaap:AssetBackedSecuritiesMemberus-gaap:FairValueMeasurementsRecurringMember2020-12-310001333986us-gaap:FairValueInputsLevel3Memberus-gaap:AssetBackedSecuritiesMe</w:t>
      </w:r>
      <w:r>
        <w:rPr>
          <w:rFonts w:eastAsia="Times New Roman"/>
          <w:vanish/>
        </w:rPr>
        <w:t>mberus-gaap:FairValueMeasurementsRecurringMember2020-12-310001333986us-gaap:AssetBackedSecuritiesMemberus-gaap:FairValueMeasurementsRecurringMember2020-12-310001333986us-gaap:CommercialMortgageBackedSecuritiesMemberus-gaap:FairValueMeasurementsRecurringMem</w:t>
      </w:r>
      <w:r>
        <w:rPr>
          <w:rFonts w:eastAsia="Times New Roman"/>
          <w:vanish/>
        </w:rPr>
        <w:t>berus-gaap:FairValueInputsLevel1Member2020-12-310001333986us-gaap:FairValueInputsLevel2Memberus-gaap:CommercialMortgageBackedSecuritiesMemberus-gaap:FairValueMeasurementsRecurringMember2020-12-310001333986us-gaap:FairValueInputsLevel3Memberus-gaap:Commerci</w:t>
      </w:r>
      <w:r>
        <w:rPr>
          <w:rFonts w:eastAsia="Times New Roman"/>
          <w:vanish/>
        </w:rPr>
        <w:t>alMortgageBackedSecuritiesMemberus-gaap:FairValueMeasurementsRecurringMember2020-12-310001333986us-gaap:CommercialMortgageBackedSecuritiesMemberus-gaap:FairValueMeasurementsRecurringMember2020-12-310001333986us-gaap:FairValueMeasurementsRecurringMemberus-g</w:t>
      </w:r>
      <w:r>
        <w:rPr>
          <w:rFonts w:eastAsia="Times New Roman"/>
          <w:vanish/>
        </w:rPr>
        <w:t>aap:FairValueInputsLevel1Memberus-gaap:RedeemablePreferredStockMember2020-12-310001333986us-gaap:FairValueInputsLevel2Memberus-gaap:FairValueMeasurementsRecurringMemberus-gaap:RedeemablePreferredStockMember2020-12-310001333986us-gaap:FairValueInputsLevel3M</w:t>
      </w:r>
      <w:r>
        <w:rPr>
          <w:rFonts w:eastAsia="Times New Roman"/>
          <w:vanish/>
        </w:rPr>
        <w:t>emberus-gaap:FairValueMeasurementsRecurringMemberus-gaap:RedeemablePreferredStockMember2020-12-310001333986us-gaap:FairValueMeasurementsRecurringMemberus-gaap:RedeemablePreferredStockMember2020-12-310001333986us-gaap:FairValueMeasurementsRecurringMemberus-</w:t>
      </w:r>
      <w:r>
        <w:rPr>
          <w:rFonts w:eastAsia="Times New Roman"/>
          <w:vanish/>
        </w:rPr>
        <w:t>gaap:FairValueInputsLevel1Member2020-12-310001333986us-gaap:FairValueInputsLevel2Memberus-gaap:FairValueMeasurementsRecurringMember2020-12-310001333986us-gaap:FairValueInputsLevel3Memberus-gaap:FairValueMeasurementsRecurringMember2020-12-310001333986us-gaa</w:t>
      </w:r>
      <w:r>
        <w:rPr>
          <w:rFonts w:eastAsia="Times New Roman"/>
          <w:vanish/>
        </w:rPr>
        <w:t>p:FairValueMeasurementsRecurringMemberus-gaap:ShortTermInvestmentsMemberus-gaap:FairValueInputsLevel1Member2020-12-310001333986us-gaap:FairValueInputsLevel2Memberus-gaap:FairValueMeasurementsRecurringMemberus-gaap:ShortTermInvestmentsMember2020-12-31000133</w:t>
      </w:r>
      <w:r>
        <w:rPr>
          <w:rFonts w:eastAsia="Times New Roman"/>
          <w:vanish/>
        </w:rPr>
        <w:t>3986us-gaap:FairValueInputsLevel3Memberus-gaap:FairValueMeasurementsRecurringMemberus-gaap:ShortTermInvestmentsMember2020-12-310001333986us-gaap:FairValueMeasurementsRecurringMemberus-gaap:ShortTermInvestmentsMember2020-12-310001333986eqh:AssetsofConsolida</w:t>
      </w:r>
      <w:r>
        <w:rPr>
          <w:rFonts w:eastAsia="Times New Roman"/>
          <w:vanish/>
        </w:rPr>
        <w:t>tedVIEsVOEsMemberus-gaap:FairValueMeasurementsRecurringMemberus-gaap:FairValueInputsLevel1Member2020-12-310001333986us-gaap:FairValueInputsLevel2Membereqh:AssetsofConsolidatedVIEsVOEsMemberus-gaap:FairValueMeasurementsRecurringMember2020-12-310001333986us-</w:t>
      </w:r>
      <w:r>
        <w:rPr>
          <w:rFonts w:eastAsia="Times New Roman"/>
          <w:vanish/>
        </w:rPr>
        <w:t>gaap:FairValueInputsLevel3Membereqh:AssetsofConsolidatedVIEsVOEsMemberus-gaap:FairValueMeasurementsRecurringMember2020-12-310001333986eqh:AssetsofConsolidatedVIEsVOEsMemberus-gaap:FairValueMeasurementsRecurringMember2020-12-310001333986us-gaap:SwapMemberus</w:t>
      </w:r>
      <w:r>
        <w:rPr>
          <w:rFonts w:eastAsia="Times New Roman"/>
          <w:vanish/>
        </w:rPr>
        <w:t>-gaap:FairValueMeasurementsRecurringMemberus-gaap:FairValueInputsLevel1Member2020-12-310001333986us-gaap:SwapMemberus-gaap:FairValueInputsLevel2Memberus-gaap:FairValueMeasurementsRecurringMember2020-12-310001333986us-gaap:SwapMemberus-gaap:FairValueInputsL</w:t>
      </w:r>
      <w:r>
        <w:rPr>
          <w:rFonts w:eastAsia="Times New Roman"/>
          <w:vanish/>
        </w:rPr>
        <w:t>evel3Memberus-gaap:FairValueMeasurementsRecurringMember2020-12-310001333986us-gaap:SwapMemberus-gaap:FairValueMeasurementsRecurringMember2020-12-310001333986us-gaap:CreditDefaultSwapMemberus-gaap:FairValueMeasurementsRecurringMemberus-gaap:FairValueInputsL</w:t>
      </w:r>
      <w:r>
        <w:rPr>
          <w:rFonts w:eastAsia="Times New Roman"/>
          <w:vanish/>
        </w:rPr>
        <w:t>evel1Member2020-12-310001333986us-gaap:CreditDefaultSwapMemberus-gaap:FairValueInputsLevel2Memberus-gaap:FairValueMeasurementsRecurringMember2020-12-310001333986us-gaap:CreditDefaultSwapMemberus-gaap:FairValueInputsLevel3Memberus-gaap:FairValueMeasurements</w:t>
      </w:r>
      <w:r>
        <w:rPr>
          <w:rFonts w:eastAsia="Times New Roman"/>
          <w:vanish/>
        </w:rPr>
        <w:t>RecurringMember2020-12-310001333986us-gaap:CreditDefaultSwapMemberus-gaap:FairValueMeasurementsRecurringMember2020-12-310001333986us-gaap:FutureMemberus-gaap:FairValueMeasurementsRecurringMemberus-gaap:FairValueInputsLevel1Member2020-12-310001333986us-gaap</w:t>
      </w:r>
      <w:r>
        <w:rPr>
          <w:rFonts w:eastAsia="Times New Roman"/>
          <w:vanish/>
        </w:rPr>
        <w:t>:FairValueInputsLevel2Memberus-gaap:FutureMemberus-gaap:FairValueMeasurementsRecurringMember2020-12-310001333986us-gaap:FairValueInputsLevel3Memberus-gaap:FutureMemberus-gaap:FairValueMeasurementsRecurringMember2020-12-310001333986us-gaap:FutureMemberus-ga</w:t>
      </w:r>
      <w:r>
        <w:rPr>
          <w:rFonts w:eastAsia="Times New Roman"/>
          <w:vanish/>
        </w:rPr>
        <w:t>ap:FairValueMeasurementsRecurringMember2020-12-310001333986us-gaap:OptionMemberus-gaap:FairValueMeasurementsRecurringMemberus-gaap:FairValueInputsLevel1Member2020-12-310001333986us-gaap:OptionMemberus-gaap:FairValueInputsLevel2Memberus-gaap:FairValueMeasur</w:t>
      </w:r>
      <w:r>
        <w:rPr>
          <w:rFonts w:eastAsia="Times New Roman"/>
          <w:vanish/>
        </w:rPr>
        <w:t>ementsRecurringMember2020-12-310001333986us-gaap:OptionMemberus-gaap:FairValueInputsLevel3Memberus-gaap:FairValueMeasurementsRecurringMember2020-12-310001333986us-gaap:OptionMemberus-gaap:FairValueMeasurementsRecurringMember2020-12-310001333986us-gaap:Inte</w:t>
      </w:r>
      <w:r>
        <w:rPr>
          <w:rFonts w:eastAsia="Times New Roman"/>
          <w:vanish/>
        </w:rPr>
        <w:t>restRateSwaptionMemberus-gaap:FairValueMeasurementsRecurringMemberus-gaap:FairValueInputsLevel1Member2020-12-310001333986us-gaap:FairValueInputsLevel2Memberus-gaap:InterestRateSwaptionMemberus-gaap:FairValueMeasurementsRecurringMember2020-12-310001333986us</w:t>
      </w:r>
      <w:r>
        <w:rPr>
          <w:rFonts w:eastAsia="Times New Roman"/>
          <w:vanish/>
        </w:rPr>
        <w:t>-gaap:FairValueInputsLevel3Memberus-gaap:InterestRateSwaptionMemberus-gaap:FairValueMeasurementsRecurringMember2020-12-310001333986us-gaap:InterestRateSwaptionMemberus-gaap:FairValueMeasurementsRecurringMember2020-12-310001333986us-gaap:FairValueMeasuremen</w:t>
      </w:r>
      <w:r>
        <w:rPr>
          <w:rFonts w:eastAsia="Times New Roman"/>
          <w:vanish/>
        </w:rPr>
        <w:t>tsRecurringMemberus-gaap:GuaranteedMinimumWithdrawalBenefitMemberus-gaap:FairValueInputsLevel1Member2020-12-310001333986us-gaap:FairValueInputsLevel2Memberus-gaap:FairValueMeasurementsRecurringMemberus-gaap:GuaranteedMinimumWithdrawalBenefitMember2020-12-3</w:t>
      </w:r>
      <w:r>
        <w:rPr>
          <w:rFonts w:eastAsia="Times New Roman"/>
          <w:vanish/>
        </w:rPr>
        <w:t>10001333986us-gaap:FairValueInputsLevel3Memberus-gaap:FairValueMeasurementsRecurringMemberus-gaap:GuaranteedMinimumWithdrawalBenefitMember2020-12-310001333986us-gaap:FairValueMeasurementsRecurringMemberus-gaap:GuaranteedMinimumWithdrawalBenefitMember2020-1</w:t>
      </w:r>
      <w:r>
        <w:rPr>
          <w:rFonts w:eastAsia="Times New Roman"/>
          <w:vanish/>
        </w:rPr>
        <w:t>2-310001333986eqh:NonGmxbEmbeddedDerivativeInsuranceProductsMemberus-gaap:FairValueMeasurementsRecurringMemberus-gaap:FairValueInputsLevel1Member2020-12-310001333986us-gaap:FairValueInputsLevel2Membereqh:NonGmxbEmbeddedDerivativeInsuranceProductsMemberus-g</w:t>
      </w:r>
      <w:r>
        <w:rPr>
          <w:rFonts w:eastAsia="Times New Roman"/>
          <w:vanish/>
        </w:rPr>
        <w:t>aap:FairValueMeasurementsRecurringMember2020-12-310001333986us-gaap:FairValueInputsLevel3Membereqh:NonGmxbEmbeddedDerivativeInsuranceProductsMemberus-gaap:FairValueMeasurementsRecurringMember2020-12-310001333986eqh:NonGmxbEmbeddedDerivativeInsuranceProduct</w:t>
      </w:r>
      <w:r>
        <w:rPr>
          <w:rFonts w:eastAsia="Times New Roman"/>
          <w:vanish/>
        </w:rPr>
        <w:t>sMemberus-gaap:FairValueMeasurementsRecurringMember2020-12-310001333986us-gaap:FairValueMeasurementsRecurringMemberus-gaap:FairValueInputsLevel1Memberus-gaap:VariableInterestEntityPrimaryBeneficiaryMember2020-12-310001333986us-gaap:FairValueInputsLevel2Mem</w:t>
      </w:r>
      <w:r>
        <w:rPr>
          <w:rFonts w:eastAsia="Times New Roman"/>
          <w:vanish/>
        </w:rPr>
        <w:t>berus-gaap:FairValueMeasurementsRecurringMemberus-gaap:VariableInterestEntityPrimaryBeneficiaryMember2020-12-310001333986us-gaap:FairValueInputsLevel3Memberus-gaap:FairValueMeasurementsRecurringMemberus-gaap:VariableInterestEntityPrimaryBeneficiaryMember20</w:t>
      </w:r>
      <w:r>
        <w:rPr>
          <w:rFonts w:eastAsia="Times New Roman"/>
          <w:vanish/>
        </w:rPr>
        <w:t>20-12-310001333986us-gaap:FairValueMeasurementsRecurringMemberus-gaap:VariableInterestEntityPrimaryBeneficiaryMember2020-12-310001333986us-gaap:FairValueMeasuredAtNetAssetValuePerShareMemberus-gaap:FairValueMeasurementsRecurringMember2020-12-31000133398620</w:t>
      </w:r>
      <w:r>
        <w:rPr>
          <w:rFonts w:eastAsia="Times New Roman"/>
          <w:vanish/>
        </w:rPr>
        <w:t>20-01-012020-12-310001333986us-gaap:FairValueInputsLevel3Memberus-gaap:CorporateDebtSecuritiesMember2021-03-310001333986us-gaap:FairValueInputsLevel3Memberus-gaap:USStatesAndPoliticalSubdivisionsMember2021-03-310001333986us-gaap:FairValueInputsLevel3Member</w:t>
      </w:r>
      <w:r>
        <w:rPr>
          <w:rFonts w:eastAsia="Times New Roman"/>
          <w:vanish/>
        </w:rPr>
        <w:t>us-gaap:AssetBackedSecuritiesMember2021-03-310001333986us-gaap:FairValueInputsLevel3Memberus-gaap:CommercialMortgageBackedSecuritiesMember2021-03-310001333986us-gaap:FairValueInputsLevel3Membereqh:FixedMaturitiesAtFairValueUsingTheFairValueOptionMember2021</w:t>
      </w:r>
      <w:r>
        <w:rPr>
          <w:rFonts w:eastAsia="Times New Roman"/>
          <w:vanish/>
        </w:rPr>
        <w:t>-03-310001333986us-gaap:FairValueInputsLevel3Memberus-gaap:CorporateDebtSecuritiesMember2021-04-012021-06-300001333986us-gaap:FairValueInputsLevel3Memberus-gaap:USStatesAndPoliticalSubdivisionsMember2021-04-012021-06-300001333986us-gaap:FairValueInputsLeve</w:t>
      </w:r>
      <w:r>
        <w:rPr>
          <w:rFonts w:eastAsia="Times New Roman"/>
          <w:vanish/>
        </w:rPr>
        <w:t>l3Memberus-gaap:AssetBackedSecuritiesMember2021-04-012021-06-300001333986us-gaap:FairValueInputsLevel3Memberus-gaap:CommercialMortgageBackedSecuritiesMember2021-04-012021-06-300001333986us-gaap:FairValueInputsLevel3Membereqh:FixedMaturitiesAtFairValueUsing</w:t>
      </w:r>
      <w:r>
        <w:rPr>
          <w:rFonts w:eastAsia="Times New Roman"/>
          <w:vanish/>
        </w:rPr>
        <w:t>TheFairValueOptionMember2021-04-012021-06-300001333986us-gaap:FairValueInputsLevel3Memberus-gaap:CorporateDebtSecuritiesMember2021-06-300001333986us-gaap:FairValueInputsLevel3Memberus-gaap:USStatesAndPoliticalSubdivisionsMember2021-06-300001333986us-gaap:F</w:t>
      </w:r>
      <w:r>
        <w:rPr>
          <w:rFonts w:eastAsia="Times New Roman"/>
          <w:vanish/>
        </w:rPr>
        <w:t>airValueInputsLevel3Memberus-gaap:AssetBackedSecuritiesMember2021-06-300001333986us-gaap:FairValueInputsLevel3Memberus-gaap:CommercialMortgageBackedSecuritiesMember2021-06-300001333986us-gaap:FairValueInputsLevel3Membereqh:FixedMaturitiesAtFairValueUsingTh</w:t>
      </w:r>
      <w:r>
        <w:rPr>
          <w:rFonts w:eastAsia="Times New Roman"/>
          <w:vanish/>
        </w:rPr>
        <w:t>eFairValueOptionMember2021-06-300001333986us-gaap:FairValueInputsLevel3Memberus-gaap:CorporateDebtSecuritiesMember2020-03-310001333986us-gaap:FairValueInputsLevel3Memberus-gaap:USStatesAndPoliticalSubdivisionsMember2020-03-310001333986us-gaap:FairValueInpu</w:t>
      </w:r>
      <w:r>
        <w:rPr>
          <w:rFonts w:eastAsia="Times New Roman"/>
          <w:vanish/>
        </w:rPr>
        <w:t>tsLevel3Memberus-gaap:AssetBackedSecuritiesMember2020-03-310001333986us-gaap:FairValueInputsLevel3Memberus-gaap:CommercialMortgageBackedSecuritiesMember2020-03-310001333986us-gaap:FairValueInputsLevel3Membereqh:FixedMaturitiesAtFairValueUsingTheFairValueOp</w:t>
      </w:r>
      <w:r>
        <w:rPr>
          <w:rFonts w:eastAsia="Times New Roman"/>
          <w:vanish/>
        </w:rPr>
        <w:t>tionMember2020-03-310001333986us-gaap:FairValueInputsLevel3Memberus-gaap:CorporateDebtSecuritiesMember2020-04-012020-06-300001333986us-gaap:FairValueInputsLevel3Memberus-gaap:USStatesAndPoliticalSubdivisionsMember2020-04-012020-06-300001333986us-gaap:FairV</w:t>
      </w:r>
      <w:r>
        <w:rPr>
          <w:rFonts w:eastAsia="Times New Roman"/>
          <w:vanish/>
        </w:rPr>
        <w:t>alueInputsLevel3Memberus-gaap:AssetBackedSecuritiesMember2020-04-012020-06-300001333986us-gaap:FairValueInputsLevel3Memberus-gaap:CommercialMortgageBackedSecuritiesMember2020-04-012020-06-300001333986us-gaap:FairValueInputsLevel3Membereqh:FixedMaturitiesAt</w:t>
      </w:r>
      <w:r>
        <w:rPr>
          <w:rFonts w:eastAsia="Times New Roman"/>
          <w:vanish/>
        </w:rPr>
        <w:t>FairValueUsingTheFairValueOptionMember2020-04-012020-06-300001333986us-gaap:FairValueInputsLevel3Memberus-gaap:CorporateDebtSecuritiesMember2020-06-300001333986us-gaap:FairValueInputsLevel3Memberus-gaap:USStatesAndPoliticalSubdivisionsMember2020-06-3000013</w:t>
      </w:r>
      <w:r>
        <w:rPr>
          <w:rFonts w:eastAsia="Times New Roman"/>
          <w:vanish/>
        </w:rPr>
        <w:t>33986us-gaap:FairValueInputsLevel3Memberus-gaap:AssetBackedSecuritiesMember2020-06-300001333986us-gaap:FairValueInputsLevel3Memberus-gaap:CommercialMortgageBackedSecuritiesMember2020-06-300001333986us-gaap:FairValueInputsLevel3Membereqh:FixedMaturitiesAtFa</w:t>
      </w:r>
      <w:r>
        <w:rPr>
          <w:rFonts w:eastAsia="Times New Roman"/>
          <w:vanish/>
        </w:rPr>
        <w:t>irValueUsingTheFairValueOptionMember2020-06-300001333986us-gaap:FairValueInputsLevel3Memberus-gaap:CorporateDebtSecuritiesMember2020-12-310001333986us-gaap:FairValueInputsLevel3Memberus-gaap:USStatesAndPoliticalSubdivisionsMember2020-12-310001333986us-gaap</w:t>
      </w:r>
      <w:r>
        <w:rPr>
          <w:rFonts w:eastAsia="Times New Roman"/>
          <w:vanish/>
        </w:rPr>
        <w:t>:FairValueInputsLevel3Memberus-gaap:AssetBackedSecuritiesMember2020-12-310001333986us-gaap:FairValueInputsLevel3Memberus-gaap:CommercialMortgageBackedSecuritiesMember2020-12-310001333986us-gaap:FairValueInputsLevel3Membereqh:FixedMaturitiesAtFairValueUsing</w:t>
      </w:r>
      <w:r>
        <w:rPr>
          <w:rFonts w:eastAsia="Times New Roman"/>
          <w:vanish/>
        </w:rPr>
        <w:t>TheFairValueOptionMember2020-12-310001333986us-gaap:FairValueInputsLevel3Memberus-gaap:CorporateDebtSecuritiesMember2021-01-012021-06-300001333986us-gaap:FairValueInputsLevel3Memberus-gaap:USStatesAndPoliticalSubdivisionsMember2021-01-012021-06-30000133398</w:t>
      </w:r>
      <w:r>
        <w:rPr>
          <w:rFonts w:eastAsia="Times New Roman"/>
          <w:vanish/>
        </w:rPr>
        <w:t>6us-gaap:FairValueInputsLevel3Memberus-gaap:AssetBackedSecuritiesMember2021-01-012021-06-300001333986us-gaap:FairValueInputsLevel3Memberus-gaap:CommercialMortgageBackedSecuritiesMember2021-01-012021-06-300001333986us-gaap:FairValueInputsLevel3Membereqh:Fix</w:t>
      </w:r>
      <w:r>
        <w:rPr>
          <w:rFonts w:eastAsia="Times New Roman"/>
          <w:vanish/>
        </w:rPr>
        <w:t>edMaturitiesAtFairValueUsingTheFairValueOptionMember2021-01-012021-06-300001333986us-gaap:FairValueInputsLevel3Memberus-gaap:CorporateDebtSecuritiesMember2019-12-310001333986us-gaap:FairValueInputsLevel3Memberus-gaap:USStatesAndPoliticalSubdivisionsMember2</w:t>
      </w:r>
      <w:r>
        <w:rPr>
          <w:rFonts w:eastAsia="Times New Roman"/>
          <w:vanish/>
        </w:rPr>
        <w:t>019-12-310001333986us-gaap:FairValueInputsLevel3Memberus-gaap:AssetBackedSecuritiesMember2019-12-310001333986us-gaap:FairValueInputsLevel3Memberus-gaap:CommercialMortgageBackedSecuritiesMember2019-12-310001333986us-gaap:FairValueInputsLevel3Membereqh:Fixed</w:t>
      </w:r>
      <w:r>
        <w:rPr>
          <w:rFonts w:eastAsia="Times New Roman"/>
          <w:vanish/>
        </w:rPr>
        <w:t>MaturitiesAtFairValueUsingTheFairValueOptionMember2019-12-310001333986us-gaap:FairValueInputsLevel3Memberus-gaap:CorporateDebtSecuritiesMember2020-01-012020-06-300001333986us-gaap:FairValueInputsLevel3Memberus-gaap:USStatesAndPoliticalSubdivisionsMember202</w:t>
      </w:r>
      <w:r>
        <w:rPr>
          <w:rFonts w:eastAsia="Times New Roman"/>
          <w:vanish/>
        </w:rPr>
        <w:t>0-01-012020-06-300001333986us-gaap:FairValueInputsLevel3Memberus-gaap:AssetBackedSecuritiesMember2020-01-012020-06-300001333986us-gaap:FairValueInputsLevel3Memberus-gaap:CommercialMortgageBackedSecuritiesMember2020-01-012020-06-300001333986us-gaap:FairValu</w:t>
      </w:r>
      <w:r>
        <w:rPr>
          <w:rFonts w:eastAsia="Times New Roman"/>
          <w:vanish/>
        </w:rPr>
        <w:t>eInputsLevel3Membereqh:FixedMaturitiesAtFairValueUsingTheFairValueOptionMember2020-01-012020-06-300001333986us-gaap:FairValueInputsLevel3Memberus-gaap:EquityMethodInvestmentsMember2021-03-310001333986us-gaap:FairValueInputsLevel3Membereqh:GmibReinsuranceMe</w:t>
      </w:r>
      <w:r>
        <w:rPr>
          <w:rFonts w:eastAsia="Times New Roman"/>
          <w:vanish/>
        </w:rPr>
        <w:t>mber2021-03-310001333986us-gaap:FairValueInputsLevel3Membereqh:DueFromReinsuranceReinsurersMember2021-03-310001333986us-gaap:FairValueInputsLevel3Membereqh:SeparateAccountsMember2021-03-310001333986us-gaap:FairValueInputsLevel3Membereqh:GuaranteedIncomeBen</w:t>
      </w:r>
      <w:r>
        <w:rPr>
          <w:rFonts w:eastAsia="Times New Roman"/>
          <w:vanish/>
        </w:rPr>
        <w:t>efitGuaranteedWithdrawalBenefitAndOtherFeaturesLiabilityMember2021-03-310001333986us-gaap:FairValueInputsLevel3Membereqh:ContingentPaymentArrangementsMember2021-03-310001333986us-gaap:FairValueInputsLevel3Memberus-gaap:EquityMethodInvestmentsMember2021-04-</w:t>
      </w:r>
      <w:r>
        <w:rPr>
          <w:rFonts w:eastAsia="Times New Roman"/>
          <w:vanish/>
        </w:rPr>
        <w:t>012021-06-300001333986us-gaap:FairValueInputsLevel3Membereqh:GmibReinsuranceMember2021-04-012021-06-300001333986us-gaap:FairValueInputsLevel3Membereqh:DueFromReinsuranceReinsurersMember2021-04-012021-06-300001333986us-gaap:FairValueInputsLevel3Membereqh:Se</w:t>
      </w:r>
      <w:r>
        <w:rPr>
          <w:rFonts w:eastAsia="Times New Roman"/>
          <w:vanish/>
        </w:rPr>
        <w:t>parateAccountsMember2021-04-012021-06-300001333986us-gaap:FairValueInputsLevel3Membereqh:GuaranteedIncomeBenefitGuaranteedWithdrawalBenefitAndOtherFeaturesLiabilityMember2021-04-012021-06-300001333986us-gaap:FairValueInputsLevel3Membereqh:ContingentPayment</w:t>
      </w:r>
      <w:r>
        <w:rPr>
          <w:rFonts w:eastAsia="Times New Roman"/>
          <w:vanish/>
        </w:rPr>
        <w:t>ArrangementsMember2021-04-012021-06-300001333986us-gaap:FairValueInputsLevel3Memberus-gaap:EquityMethodInvestmentsMember2021-06-300001333986us-gaap:FairValueInputsLevel3Membereqh:GmibReinsuranceMember2021-06-300001333986us-gaap:FairValueInputsLevel3Membere</w:t>
      </w:r>
      <w:r>
        <w:rPr>
          <w:rFonts w:eastAsia="Times New Roman"/>
          <w:vanish/>
        </w:rPr>
        <w:t>qh:DueFromReinsuranceReinsurersMember2021-06-300001333986us-gaap:FairValueInputsLevel3Membereqh:SeparateAccountsMember2021-06-300001333986us-gaap:FairValueInputsLevel3Membereqh:GuaranteedIncomeBenefitGuaranteedWithdrawalBenefitAndOtherFeaturesLiabilityMemb</w:t>
      </w:r>
      <w:r>
        <w:rPr>
          <w:rFonts w:eastAsia="Times New Roman"/>
          <w:vanish/>
        </w:rPr>
        <w:t>er2021-06-300001333986us-gaap:FairValueInputsLevel3Membereqh:ContingentPaymentArrangementsMember2021-06-300001333986us-gaap:FairValueInputsLevel3Memberus-gaap:EquityMethodInvestmentsMember2020-03-310001333986us-gaap:FairValueInputsLevel3Membereqh:GmibReins</w:t>
      </w:r>
      <w:r>
        <w:rPr>
          <w:rFonts w:eastAsia="Times New Roman"/>
          <w:vanish/>
        </w:rPr>
        <w:t>uranceMember2020-03-310001333986us-gaap:FairValueInputsLevel3Membereqh:DueFromReinsuranceReinsurersMember2020-03-310001333986us-gaap:FairValueInputsLevel3Membereqh:SeparateAccountsMember2020-03-310001333986us-gaap:FairValueInputsLevel3Membereqh:GuaranteedI</w:t>
      </w:r>
      <w:r>
        <w:rPr>
          <w:rFonts w:eastAsia="Times New Roman"/>
          <w:vanish/>
        </w:rPr>
        <w:t>ncomeBenefitGuaranteedWithdrawalBenefitAndOtherFeaturesLiabilityMember2020-03-310001333986us-gaap:FairValueInputsLevel3Membereqh:ContingentPaymentArrangementsMember2020-03-310001333986us-gaap:FairValueInputsLevel3Memberus-gaap:EquityMethodInvestmentsMember</w:t>
      </w:r>
      <w:r>
        <w:rPr>
          <w:rFonts w:eastAsia="Times New Roman"/>
          <w:vanish/>
        </w:rPr>
        <w:t>2020-04-012020-06-300001333986us-gaap:FairValueInputsLevel3Membereqh:GmibReinsuranceMember2020-04-012020-06-300001333986us-gaap:FairValueInputsLevel3Membereqh:DueFromReinsuranceReinsurersMember2020-04-012020-06-300001333986us-gaap:FairValueInputsLevel3Memb</w:t>
      </w:r>
      <w:r>
        <w:rPr>
          <w:rFonts w:eastAsia="Times New Roman"/>
          <w:vanish/>
        </w:rPr>
        <w:t>ereqh:SeparateAccountsMember2020-04-012020-06-300001333986us-gaap:FairValueInputsLevel3Membereqh:GuaranteedIncomeBenefitGuaranteedWithdrawalBenefitAndOtherFeaturesLiabilityMember2020-04-012020-06-300001333986us-gaap:FairValueInputsLevel3Membereqh:Contingen</w:t>
      </w:r>
      <w:r>
        <w:rPr>
          <w:rFonts w:eastAsia="Times New Roman"/>
          <w:vanish/>
        </w:rPr>
        <w:t>tPaymentArrangementsMember2020-04-012020-06-300001333986us-gaap:FairValueInputsLevel3Memberus-gaap:EquityMethodInvestmentsMember2020-06-300001333986us-gaap:FairValueInputsLevel3Membereqh:GmibReinsuranceMember2020-06-300001333986us-gaap:FairValueInputsLevel</w:t>
      </w:r>
      <w:r>
        <w:rPr>
          <w:rFonts w:eastAsia="Times New Roman"/>
          <w:vanish/>
        </w:rPr>
        <w:t>3Membereqh:DueFromReinsuranceReinsurersMember2020-06-300001333986us-gaap:FairValueInputsLevel3Membereqh:SeparateAccountsMember2020-06-300001333986us-gaap:FairValueInputsLevel3Membereqh:GuaranteedIncomeBenefitGuaranteedWithdrawalBenefitAndOtherFeaturesLiabi</w:t>
      </w:r>
      <w:r>
        <w:rPr>
          <w:rFonts w:eastAsia="Times New Roman"/>
          <w:vanish/>
        </w:rPr>
        <w:t>lityMember2020-06-300001333986us-gaap:FairValueInputsLevel3Membereqh:ContingentPaymentArrangementsMember2020-06-300001333986us-gaap:FairValueInputsLevel3Memberus-gaap:EquityMethodInvestmentsMember2020-12-310001333986us-gaap:FairValueInputsLevel3Membereqh:G</w:t>
      </w:r>
      <w:r>
        <w:rPr>
          <w:rFonts w:eastAsia="Times New Roman"/>
          <w:vanish/>
        </w:rPr>
        <w:t>mibReinsuranceMember2020-12-310001333986us-gaap:FairValueInputsLevel3Membereqh:DueFromReinsuranceReinsurersMember2020-12-310001333986us-gaap:FairValueInputsLevel3Membereqh:SeparateAccountsMember2020-12-310001333986us-gaap:FairValueInputsLevel3Membereqh:Gua</w:t>
      </w:r>
      <w:r>
        <w:rPr>
          <w:rFonts w:eastAsia="Times New Roman"/>
          <w:vanish/>
        </w:rPr>
        <w:t>ranteedIncomeBenefitGuaranteedWithdrawalBenefitAndOtherFeaturesLiabilityMember2020-12-310001333986us-gaap:FairValueInputsLevel3Membereqh:ContingentPaymentArrangementsMember2020-12-310001333986us-gaap:FairValueInputsLevel3Memberus-gaap:EquityMethodInvestmen</w:t>
      </w:r>
      <w:r>
        <w:rPr>
          <w:rFonts w:eastAsia="Times New Roman"/>
          <w:vanish/>
        </w:rPr>
        <w:t>tsMember2021-01-012021-06-300001333986us-gaap:FairValueInputsLevel3Membereqh:GmibReinsuranceMember2021-01-012021-06-300001333986us-gaap:FairValueInputsLevel3Membereqh:DueFromReinsuranceReinsurersMember2021-01-012021-06-300001333986us-gaap:FairValueInputsLe</w:t>
      </w:r>
      <w:r>
        <w:rPr>
          <w:rFonts w:eastAsia="Times New Roman"/>
          <w:vanish/>
        </w:rPr>
        <w:t>vel3Membereqh:SeparateAccountsMember2021-01-012021-06-300001333986us-gaap:FairValueInputsLevel3Membereqh:GuaranteedIncomeBenefitGuaranteedWithdrawalBenefitAndOtherFeaturesLiabilityMember2021-01-012021-06-300001333986us-gaap:FairValueInputsLevel3Membereqh:C</w:t>
      </w:r>
      <w:r>
        <w:rPr>
          <w:rFonts w:eastAsia="Times New Roman"/>
          <w:vanish/>
        </w:rPr>
        <w:t>ontingentPaymentArrangementsMember2021-01-012021-06-300001333986us-gaap:FairValueInputsLevel3Memberus-gaap:EquityMethodInvestmentsMember2019-12-310001333986us-gaap:FairValueInputsLevel3Membereqh:GmibReinsuranceMember2019-12-310001333986us-gaap:FairValueInp</w:t>
      </w:r>
      <w:r>
        <w:rPr>
          <w:rFonts w:eastAsia="Times New Roman"/>
          <w:vanish/>
        </w:rPr>
        <w:t>utsLevel3Membereqh:DueFromReinsuranceReinsurersMember2019-12-310001333986us-gaap:FairValueInputsLevel3Membereqh:SeparateAccountsMember2019-12-310001333986us-gaap:FairValueInputsLevel3Membereqh:GuaranteedIncomeBenefitGuaranteedWithdrawalBenefitAndOtherFeatu</w:t>
      </w:r>
      <w:r>
        <w:rPr>
          <w:rFonts w:eastAsia="Times New Roman"/>
          <w:vanish/>
        </w:rPr>
        <w:t>resLiabilityMember2019-12-310001333986us-gaap:FairValueInputsLevel3Membereqh:ContingentPaymentArrangementsMember2019-12-310001333986us-gaap:FairValueInputsLevel3Memberus-gaap:EquityMethodInvestmentsMember2020-01-012020-06-300001333986us-gaap:FairValueInput</w:t>
      </w:r>
      <w:r>
        <w:rPr>
          <w:rFonts w:eastAsia="Times New Roman"/>
          <w:vanish/>
        </w:rPr>
        <w:t>sLevel3Membereqh:GmibReinsuranceMember2020-01-012020-06-300001333986us-gaap:FairValueInputsLevel3Membereqh:DueFromReinsuranceReinsurersMember2020-01-012020-06-300001333986us-gaap:FairValueInputsLevel3Membereqh:SeparateAccountsMember2020-01-012020-06-300001</w:t>
      </w:r>
      <w:r>
        <w:rPr>
          <w:rFonts w:eastAsia="Times New Roman"/>
          <w:vanish/>
        </w:rPr>
        <w:t>333986us-gaap:FairValueInputsLevel3Membereqh:GuaranteedIncomeBenefitGuaranteedWithdrawalBenefitAndOtherFeaturesLiabilityMember2020-01-012020-06-300001333986us-gaap:FairValueInputsLevel3Membereqh:ContingentPaymentArrangementsMember2020-01-012020-06-30000133</w:t>
      </w:r>
      <w:r>
        <w:rPr>
          <w:rFonts w:eastAsia="Times New Roman"/>
          <w:vanish/>
        </w:rPr>
        <w:t>3986eqh:GuaranteedIncomeBenefitGuaranteedWithdrawalBenefitAndOtherFeaturesLiabilityMember2021-04-012021-06-300001333986eqh:GuaranteedIncomeBenefitGuaranteedWithdrawalBenefitAndOtherFeaturesLiabilityMember2021-01-012021-06-300001333986eqh:GmibReinsuranceMem</w:t>
      </w:r>
      <w:r>
        <w:rPr>
          <w:rFonts w:eastAsia="Times New Roman"/>
          <w:vanish/>
        </w:rPr>
        <w:t>ber2021-04-012021-06-300001333986eqh:GmibReinsuranceMember2021-01-012021-06-300001333986eqh:DueFromReinsuranceReinsurersMember2021-04-012021-06-300001333986eqh:DueFromReinsuranceReinsurersMember2021-01-012021-06-300001333986us-gaap:CorporateDebtSecuritiesM</w:t>
      </w:r>
      <w:r>
        <w:rPr>
          <w:rFonts w:eastAsia="Times New Roman"/>
          <w:vanish/>
        </w:rPr>
        <w:t>ember2021-01-012021-06-300001333986us-gaap:USStatesAndPoliticalSubdivisionsMember2021-01-012021-06-300001333986us-gaap:AssetBackedSecuritiesMember2021-01-012021-06-300001333986eqh:FixedMaturitiesAvailableforSaleMember2021-01-012021-06-300001333986eqh:Separ</w:t>
      </w:r>
      <w:r>
        <w:rPr>
          <w:rFonts w:eastAsia="Times New Roman"/>
          <w:vanish/>
        </w:rPr>
        <w:t>ateAccountAssetsMember2021-01-012021-06-300001333986eqh:GMxBderivativefeaturesliabilityMember2021-01-012021-06-300001333986us-gaap:CorporateDebtSecuritiesMember2020-01-012020-06-300001333986us-gaap:USStatesAndPoliticalSubdivisionsMember2020-01-012020-06-30</w:t>
      </w:r>
      <w:r>
        <w:rPr>
          <w:rFonts w:eastAsia="Times New Roman"/>
          <w:vanish/>
        </w:rPr>
        <w:t>0001333986us-gaap:AssetBackedSecuritiesMember2020-01-012020-06-300001333986eqh:FixedMaturitiesAvailableforSaleMember2020-01-012020-06-300001333986eqh:GmibReinsuranceMember2020-01-012020-06-300001333986eqh:SeparateAccountAssetsMember2020-01-012020-06-300001</w:t>
      </w:r>
      <w:r>
        <w:rPr>
          <w:rFonts w:eastAsia="Times New Roman"/>
          <w:vanish/>
        </w:rPr>
        <w:t>333986eqh:GMxBderivativefeaturesliabilityMember2020-01-012020-06-300001333986us-gaap:FairValueInputsLevel3Memberus-gaap:CorporateDebtSecuritiesMembereqh:MatrixPricingModelValuationTechniqueMember2021-06-300001333986us-gaap:FairValueInputsLevel3Membersrt:Mi</w:t>
      </w:r>
      <w:r>
        <w:rPr>
          <w:rFonts w:eastAsia="Times New Roman"/>
          <w:vanish/>
        </w:rPr>
        <w:t>nimumMemberus-gaap:CorporateDebtSecuritiesMembereqh:MatrixPricingModelValuationTechniqueMember2021-01-012021-06-300001333986us-gaap:FairValueInputsLevel3Membersrt:MaximumMemberus-gaap:CorporateDebtSecuritiesMembereqh:MatrixPricingModelValuationTechniqueMem</w:t>
      </w:r>
      <w:r>
        <w:rPr>
          <w:rFonts w:eastAsia="Times New Roman"/>
          <w:vanish/>
        </w:rPr>
        <w:t>ber2021-01-012021-06-300001333986us-gaap:FairValueInputsLevel3Memberus-gaap:CorporateDebtSecuritiesMembereqh:MatrixPricingModelValuationTechniqueMembersrt:WeightedAverageMember2021-01-012021-06-300001333986us-gaap:FairValueInputsLevel3Memberus-gaap:Corpora</w:t>
      </w:r>
      <w:r>
        <w:rPr>
          <w:rFonts w:eastAsia="Times New Roman"/>
          <w:vanish/>
        </w:rPr>
        <w:t>teDebtSecuritiesMembereqh:MarketComparableCompaniesValuationTechniqueMember2021-06-300001333986us-gaap:FairValueInputsLevel3Membersrt:MinimumMemberus-gaap:MeasurementInputEbitdaMultipleMemberus-gaap:CorporateDebtSecuritiesMembereqh:MarketComparableCompanie</w:t>
      </w:r>
      <w:r>
        <w:rPr>
          <w:rFonts w:eastAsia="Times New Roman"/>
          <w:vanish/>
        </w:rPr>
        <w:t>sValuationTechniqueMember2021-06-300001333986us-gaap:FairValueInputsLevel3Membersrt:MaximumMemberus-gaap:MeasurementInputEbitdaMultipleMemberus-gaap:CorporateDebtSecuritiesMembereqh:MarketComparableCompaniesValuationTechniqueMember2021-06-300001333986us-ga</w:t>
      </w:r>
      <w:r>
        <w:rPr>
          <w:rFonts w:eastAsia="Times New Roman"/>
          <w:vanish/>
        </w:rPr>
        <w:t>ap:FairValueInputsLevel3Memberus-gaap:MeasurementInputDiscountRateMembersrt:MinimumMemberus-gaap:CorporateDebtSecuritiesMembereqh:MarketComparableCompaniesValuationTechniqueMember2021-06-300001333986us-gaap:FairValueInputsLevel3Memberus-gaap:MeasurementInp</w:t>
      </w:r>
      <w:r>
        <w:rPr>
          <w:rFonts w:eastAsia="Times New Roman"/>
          <w:vanish/>
        </w:rPr>
        <w:t>utDiscountRateMembersrt:MaximumMemberus-gaap:CorporateDebtSecuritiesMembereqh:MarketComparableCompaniesValuationTechniqueMember2021-06-300001333986us-gaap:FairValueInputsLevel3Membersrt:MinimumMembereqh:MeasurementInputCashFlowMultiplesMemberus-gaap:Corpor</w:t>
      </w:r>
      <w:r>
        <w:rPr>
          <w:rFonts w:eastAsia="Times New Roman"/>
          <w:vanish/>
        </w:rPr>
        <w:t>ateDebtSecuritiesMembereqh:MarketComparableCompaniesValuationTechniqueMember2021-06-300001333986us-gaap:FairValueInputsLevel3Membersrt:MaximumMembereqh:MeasurementInputCashFlowMultiplesMemberus-gaap:CorporateDebtSecuritiesMembereqh:MarketComparableCompanie</w:t>
      </w:r>
      <w:r>
        <w:rPr>
          <w:rFonts w:eastAsia="Times New Roman"/>
          <w:vanish/>
        </w:rPr>
        <w:t>sValuationTechniqueMember2021-06-300001333986us-gaap:FairValueInputsLevel3Memberus-gaap:MeasurementInputEbitdaMultipleMemberus-gaap:CorporateDebtSecuritiesMembereqh:MarketComparableCompaniesValuationTechniqueMembersrt:WeightedAverageMember2021-06-300001333</w:t>
      </w:r>
      <w:r>
        <w:rPr>
          <w:rFonts w:eastAsia="Times New Roman"/>
          <w:vanish/>
        </w:rPr>
        <w:t>986us-gaap:FairValueInputsLevel3Memberus-gaap:MeasurementInputDiscountRateMemberus-gaap:CorporateDebtSecuritiesMembereqh:MarketComparableCompaniesValuationTechniqueMembersrt:WeightedAverageMember2021-06-300001333986us-gaap:FairValueInputsLevel3Membereqh:Me</w:t>
      </w:r>
      <w:r>
        <w:rPr>
          <w:rFonts w:eastAsia="Times New Roman"/>
          <w:vanish/>
        </w:rPr>
        <w:t>asurementInputCashFlowMultiplesMemberus-gaap:CorporateDebtSecuritiesMembereqh:MarketComparableCompaniesValuationTechniqueMembersrt:WeightedAverageMember2021-06-300001333986us-gaap:FairValueInputsLevel3Memberus-gaap:EquityMethodInvestmentsMembereqh:MarketCo</w:t>
      </w:r>
      <w:r>
        <w:rPr>
          <w:rFonts w:eastAsia="Times New Roman"/>
          <w:vanish/>
        </w:rPr>
        <w:t>mparableCompaniesValuationTechniqueMember2021-06-300001333986us-gaap:FairValueInputsLevel3Membersrt:MinimumMemberus-gaap:MeasurementInputRevenueMultipleMemberus-gaap:EquityMethodInvestmentsMembereqh:MarketComparableCompaniesValuationTechniqueMember2021-06-</w:t>
      </w:r>
      <w:r>
        <w:rPr>
          <w:rFonts w:eastAsia="Times New Roman"/>
          <w:vanish/>
        </w:rPr>
        <w:t>300001333986us-gaap:FairValueInputsLevel3Membersrt:MaximumMemberus-gaap:MeasurementInputRevenueMultipleMemberus-gaap:EquityMethodInvestmentsMembereqh:MarketComparableCompaniesValuationTechniqueMember2021-06-300001333986us-gaap:FairValueInputsLevel3Memberus</w:t>
      </w:r>
      <w:r>
        <w:rPr>
          <w:rFonts w:eastAsia="Times New Roman"/>
          <w:vanish/>
        </w:rPr>
        <w:t>-gaap:MeasurementInputRevenueMultipleMemberus-gaap:EquityMethodInvestmentsMembereqh:MarketComparableCompaniesValuationTechniqueMembersrt:WeightedAverageMember2021-06-300001333986us-gaap:FairValueInputsLevel3Memberus-gaap:EquityMethodInvestmentsMembereqh:Di</w:t>
      </w:r>
      <w:r>
        <w:rPr>
          <w:rFonts w:eastAsia="Times New Roman"/>
          <w:vanish/>
        </w:rPr>
        <w:t>scountedCashFlowValuationTechniqueMember2021-06-300001333986us-gaap:FairValueInputsLevel3Memberus-gaap:MeasurementInputRevenueMultipleMemberus-gaap:EquityMethodInvestmentsMembereqh:DiscountedCashFlowValuationTechniqueMember2021-06-300001333986us-gaap:FairV</w:t>
      </w:r>
      <w:r>
        <w:rPr>
          <w:rFonts w:eastAsia="Times New Roman"/>
          <w:vanish/>
        </w:rPr>
        <w:t>alueInputsLevel3Memberus-gaap:EquityMethodInvestmentsMembereqh:DiscountedCashFlowValuationTechniqueMembereqh:MeasurementInputsDiscountFactorMember2021-06-300001333986us-gaap:FairValueInputsLevel3Memberus-gaap:EquityMethodInvestmentsMembereqh:DiscountedCash</w:t>
      </w:r>
      <w:r>
        <w:rPr>
          <w:rFonts w:eastAsia="Times New Roman"/>
          <w:vanish/>
        </w:rPr>
        <w:t>FlowValuationTechniqueMember2021-01-012021-06-300001333986us-gaap:FairValueInputsLevel3Membereqh:GmibReinsuranceMembereqh:DiscountedCashFlowValuationTechniqueMember2021-06-300001333986us-gaap:FairValueInputsLevel3Membersrt:MinimumMembereqh:GmibReinsuranceM</w:t>
      </w:r>
      <w:r>
        <w:rPr>
          <w:rFonts w:eastAsia="Times New Roman"/>
          <w:vanish/>
        </w:rPr>
        <w:t>embereqh:DiscountedCashFlowValuationTechniqueMemberus-gaap:MeasurementInputLapseRateMember2021-06-300001333986us-gaap:FairValueInputsLevel3Membersrt:MaximumMembereqh:GmibReinsuranceMembereqh:DiscountedCashFlowValuationTechniqueMemberus-gaap:MeasurementInpu</w:t>
      </w:r>
      <w:r>
        <w:rPr>
          <w:rFonts w:eastAsia="Times New Roman"/>
          <w:vanish/>
        </w:rPr>
        <w:t>tLapseRateMember2021-06-300001333986us-gaap:FairValueInputsLevel3Membersrt:MinimumMemberus-gaap:MeasurementInputWithdrawalRateMembereqh:GmibReinsuranceMembereqh:DiscountedCashFlowValuationTechniqueMember2021-06-300001333986us-gaap:FairValueInputsLevel3Memb</w:t>
      </w:r>
      <w:r>
        <w:rPr>
          <w:rFonts w:eastAsia="Times New Roman"/>
          <w:vanish/>
        </w:rPr>
        <w:t>ersrt:MaximumMemberus-gaap:MeasurementInputWithdrawalRateMembereqh:GmibReinsuranceMembereqh:DiscountedCashFlowValuationTechniqueMember2021-06-300001333986us-gaap:FairValueInputsLevel3Membersrt:MinimumMemberus-gaap:MeasurementInputUtilizationRateMembereqh:G</w:t>
      </w:r>
      <w:r>
        <w:rPr>
          <w:rFonts w:eastAsia="Times New Roman"/>
          <w:vanish/>
        </w:rPr>
        <w:t>mibReinsuranceMembereqh:DiscountedCashFlowValuationTechniqueMember2021-06-300001333986us-gaap:FairValueInputsLevel3Membersrt:MaximumMemberus-gaap:MeasurementInputUtilizationRateMembereqh:GmibReinsuranceMembereqh:DiscountedCashFlowValuationTechniqueMember20</w:t>
      </w:r>
      <w:r>
        <w:rPr>
          <w:rFonts w:eastAsia="Times New Roman"/>
          <w:vanish/>
        </w:rPr>
        <w:t>21-06-300001333986us-gaap:FairValueInputsLevel3Membersrt:MinimumMembereqh:MeasurementInputNonperformanceRiskMembereqh:GmibReinsuranceMembereqh:DiscountedCashFlowValuationTechniqueMember2021-06-300001333986us-gaap:FairValueInputsLevel3Membersrt:MaximumMembe</w:t>
      </w:r>
      <w:r>
        <w:rPr>
          <w:rFonts w:eastAsia="Times New Roman"/>
          <w:vanish/>
        </w:rPr>
        <w:t>reqh:MeasurementInputNonperformanceRiskMembereqh:GmibReinsuranceMembereqh:DiscountedCashFlowValuationTechniqueMember2021-06-300001333986eqh:MeasurementInputEquityVolatilityMemberus-gaap:FairValueInputsLevel3Membersrt:MinimumMembereqh:GmibReinsuranceMembere</w:t>
      </w:r>
      <w:r>
        <w:rPr>
          <w:rFonts w:eastAsia="Times New Roman"/>
          <w:vanish/>
        </w:rPr>
        <w:t>qh:DiscountedCashFlowValuationTechniqueMember2021-06-300001333986eqh:MeasurementInputEquityVolatilityMemberus-gaap:FairValueInputsLevel3Membersrt:MaximumMembereqh:GmibReinsuranceMembereqh:DiscountedCashFlowValuationTechniqueMember2021-06-300001333986us-gaa</w:t>
      </w:r>
      <w:r>
        <w:rPr>
          <w:rFonts w:eastAsia="Times New Roman"/>
          <w:vanish/>
        </w:rPr>
        <w:t>p:FairValueInputsLevel3Membersrt:MinimumMemberus-gaap:MeasurementInputMortalityRateMembereqh:GmibReinsuranceMembereqh:RangeOneMembereqh:DiscountedCashFlowValuationTechniqueMember2021-06-300001333986us-gaap:FairValueInputsLevel3Membersrt:MaximumMemberus-gaa</w:t>
      </w:r>
      <w:r>
        <w:rPr>
          <w:rFonts w:eastAsia="Times New Roman"/>
          <w:vanish/>
        </w:rPr>
        <w:t>p:MeasurementInputMortalityRateMembereqh:GmibReinsuranceMembereqh:RangeOneMembereqh:DiscountedCashFlowValuationTechniqueMember2021-06-300001333986us-gaap:FairValueInputsLevel3Membersrt:MinimumMembereqh:RangeTwoMemberus-gaap:MeasurementInputMortalityRateMem</w:t>
      </w:r>
      <w:r>
        <w:rPr>
          <w:rFonts w:eastAsia="Times New Roman"/>
          <w:vanish/>
        </w:rPr>
        <w:t>bereqh:GmibReinsuranceMembereqh:DiscountedCashFlowValuationTechniqueMember2021-06-300001333986us-gaap:FairValueInputsLevel3Membersrt:MaximumMembereqh:RangeTwoMemberus-gaap:MeasurementInputMortalityRateMembereqh:GmibReinsuranceMembereqh:DiscountedCashFlowVa</w:t>
      </w:r>
      <w:r>
        <w:rPr>
          <w:rFonts w:eastAsia="Times New Roman"/>
          <w:vanish/>
        </w:rPr>
        <w:t>luationTechniqueMember2021-06-300001333986eqh:RangeThreeMemberus-gaap:FairValueInputsLevel3Membersrt:MinimumMemberus-gaap:MeasurementInputMortalityRateMembereqh:GmibReinsuranceMembereqh:DiscountedCashFlowValuationTechniqueMember2021-06-300001333986eqh:Rang</w:t>
      </w:r>
      <w:r>
        <w:rPr>
          <w:rFonts w:eastAsia="Times New Roman"/>
          <w:vanish/>
        </w:rPr>
        <w:t>eThreeMemberus-gaap:FairValueInputsLevel3Membersrt:MaximumMemberus-gaap:MeasurementInputMortalityRateMembereqh:GmibReinsuranceMembereqh:DiscountedCashFlowValuationTechniqueMember2021-06-300001333986us-gaap:FairValueInputsLevel3Membereqh:GmibReinsuranceMemb</w:t>
      </w:r>
      <w:r>
        <w:rPr>
          <w:rFonts w:eastAsia="Times New Roman"/>
          <w:vanish/>
        </w:rPr>
        <w:t>ereqh:DiscountedCashFlowValuationTechniqueMembersrt:WeightedAverageMemberus-gaap:MeasurementInputLapseRateMember2021-06-300001333986us-gaap:FairValueInputsLevel3Memberus-gaap:MeasurementInputWithdrawalRateMembereqh:GmibReinsuranceMembereqh:DiscountedCashFl</w:t>
      </w:r>
      <w:r>
        <w:rPr>
          <w:rFonts w:eastAsia="Times New Roman"/>
          <w:vanish/>
        </w:rPr>
        <w:t>owValuationTechniqueMembersrt:WeightedAverageMember2021-06-300001333986us-gaap:FairValueInputsLevel3Memberus-gaap:MeasurementInputUtilizationRateMembereqh:GmibReinsuranceMembereqh:DiscountedCashFlowValuationTechniqueMembersrt:WeightedAverageMember2021-06-3</w:t>
      </w:r>
      <w:r>
        <w:rPr>
          <w:rFonts w:eastAsia="Times New Roman"/>
          <w:vanish/>
        </w:rPr>
        <w:t>00001333986us-gaap:FairValueInputsLevel3Membereqh:MeasurementInputNonperformanceRiskMembereqh:GmibReinsuranceMembereqh:DiscountedCashFlowValuationTechniqueMembersrt:WeightedAverageMember2021-06-300001333986eqh:MeasurementInputEquityVolatilityMemberus-gaap:</w:t>
      </w:r>
      <w:r>
        <w:rPr>
          <w:rFonts w:eastAsia="Times New Roman"/>
          <w:vanish/>
        </w:rPr>
        <w:t>FairValueInputsLevel3Membereqh:GmibReinsuranceMembereqh:DiscountedCashFlowValuationTechniqueMembersrt:WeightedAverageMember2021-06-300001333986us-gaap:FairValueInputsLevel3Memberus-gaap:MeasurementInputMortalityRateMembereqh:GmibReinsuranceMembereqh:RangeO</w:t>
      </w:r>
      <w:r>
        <w:rPr>
          <w:rFonts w:eastAsia="Times New Roman"/>
          <w:vanish/>
        </w:rPr>
        <w:t>neMembereqh:DiscountedCashFlowValuationTechniqueMembersrt:WeightedAverageMember2021-06-300001333986eqh:RangeThreeMemberus-gaap:FairValueInputsLevel3Memberus-gaap:MeasurementInputMortalityRateMembereqh:GmibReinsuranceMembereqh:DiscountedCashFlowValuationTec</w:t>
      </w:r>
      <w:r>
        <w:rPr>
          <w:rFonts w:eastAsia="Times New Roman"/>
          <w:vanish/>
        </w:rPr>
        <w:t>hniqueMembersrt:WeightedAverageMember2021-06-300001333986us-gaap:FairValueInputsLevel3Membereqh:RangeTwoMemberus-gaap:MeasurementInputMortalityRateMembereqh:GmibReinsuranceMembereqh:DiscountedCashFlowValuationTechniqueMembersrt:WeightedAverageMember2021-06</w:t>
      </w:r>
      <w:r>
        <w:rPr>
          <w:rFonts w:eastAsia="Times New Roman"/>
          <w:vanish/>
        </w:rPr>
        <w:t>-300001333986eqh:DueFromReinsuranceReinsurersMemberus-gaap:FairValueInputsLevel3Membereqh:DiscountedCashFlowValuationTechniqueMember2021-06-300001333986eqh:DueFromReinsuranceReinsurersMemberus-gaap:FairValueInputsLevel3Membersrt:MinimumMembereqh:Discounted</w:t>
      </w:r>
      <w:r>
        <w:rPr>
          <w:rFonts w:eastAsia="Times New Roman"/>
          <w:vanish/>
        </w:rPr>
        <w:t>CashFlowValuationTechniqueMemberus-gaap:MeasurementInputLapseRateMember2021-06-300001333986eqh:DueFromReinsuranceReinsurersMemberus-gaap:FairValueInputsLevel3Membersrt:MaximumMembereqh:DiscountedCashFlowValuationTechniqueMemberus-gaap:MeasurementInputLapse</w:t>
      </w:r>
      <w:r>
        <w:rPr>
          <w:rFonts w:eastAsia="Times New Roman"/>
          <w:vanish/>
        </w:rPr>
        <w:t>RateMember2021-06-300001333986eqh:DueFromReinsuranceReinsurersMemberus-gaap:FairValueInputsLevel3Membersrt:MinimumMemberus-gaap:MeasurementInputWithdrawalRateMembereqh:DiscountedCashFlowValuationTechniqueMember2021-06-300001333986eqh:DueFromReinsuranceRein</w:t>
      </w:r>
      <w:r>
        <w:rPr>
          <w:rFonts w:eastAsia="Times New Roman"/>
          <w:vanish/>
        </w:rPr>
        <w:t>surersMemberus-gaap:FairValueInputsLevel3Membersrt:MaximumMemberus-gaap:MeasurementInputWithdrawalRateMembereqh:DiscountedCashFlowValuationTechniqueMember2021-06-300001333986eqh:DueFromReinsuranceReinsurersMemberus-gaap:FairValueInputsLevel3Membersrt:Minim</w:t>
      </w:r>
      <w:r>
        <w:rPr>
          <w:rFonts w:eastAsia="Times New Roman"/>
          <w:vanish/>
        </w:rPr>
        <w:t>umMemberus-gaap:MeasurementInputUtilizationRateMembereqh:DiscountedCashFlowValuationTechniqueMember2021-06-300001333986eqh:DueFromReinsuranceReinsurersMemberus-gaap:FairValueInputsLevel3Membersrt:MaximumMemberus-gaap:MeasurementInputUtilizationRateMembereq</w:t>
      </w:r>
      <w:r>
        <w:rPr>
          <w:rFonts w:eastAsia="Times New Roman"/>
          <w:vanish/>
        </w:rPr>
        <w:t>h:DiscountedCashFlowValuationTechniqueMember2021-06-300001333986eqh:DueFromReinsuranceReinsurersMemberus-gaap:FairValueInputsLevel3Membersrt:MinimumMembereqh:MeasurementInputNonperformanceRiskMembereqh:DiscountedCashFlowValuationTechniqueMember2021-06-3000</w:t>
      </w:r>
      <w:r>
        <w:rPr>
          <w:rFonts w:eastAsia="Times New Roman"/>
          <w:vanish/>
        </w:rPr>
        <w:t>01333986eqh:DueFromReinsuranceReinsurersMemberus-gaap:FairValueInputsLevel3Membersrt:MaximumMembereqh:MeasurementInputNonperformanceRiskMembereqh:DiscountedCashFlowValuationTechniqueMember2021-06-300001333986eqh:MeasurementInputEquityVolatilityMembereqh:Du</w:t>
      </w:r>
      <w:r>
        <w:rPr>
          <w:rFonts w:eastAsia="Times New Roman"/>
          <w:vanish/>
        </w:rPr>
        <w:t>eFromReinsuranceReinsurersMemberus-gaap:FairValueInputsLevel3Membersrt:MinimumMembereqh:DiscountedCashFlowValuationTechniqueMember2021-06-300001333986eqh:MeasurementInputEquityVolatilityMembereqh:DueFromReinsuranceReinsurersMemberus-gaap:FairValueInputsLev</w:t>
      </w:r>
      <w:r>
        <w:rPr>
          <w:rFonts w:eastAsia="Times New Roman"/>
          <w:vanish/>
        </w:rPr>
        <w:t>el3Membersrt:MaximumMembereqh:DiscountedCashFlowValuationTechniqueMember2021-06-300001333986eqh:DueFromReinsuranceReinsurersMemberus-gaap:FairValueInputsLevel3Membersrt:MinimumMemberus-gaap:MeasurementInputMortalityRateMembereqh:RangeOneMembereqh:Discounte</w:t>
      </w:r>
      <w:r>
        <w:rPr>
          <w:rFonts w:eastAsia="Times New Roman"/>
          <w:vanish/>
        </w:rPr>
        <w:t>dCashFlowValuationTechniqueMember2021-06-300001333986eqh:DueFromReinsuranceReinsurersMemberus-gaap:FairValueInputsLevel3Membersrt:MaximumMemberus-gaap:MeasurementInputMortalityRateMembereqh:RangeOneMembereqh:DiscountedCashFlowValuationTechniqueMember2021-0</w:t>
      </w:r>
      <w:r>
        <w:rPr>
          <w:rFonts w:eastAsia="Times New Roman"/>
          <w:vanish/>
        </w:rPr>
        <w:t>6-300001333986eqh:DueFromReinsuranceReinsurersMemberus-gaap:FairValueInputsLevel3Membersrt:MinimumMembereqh:RangeTwoMemberus-gaap:MeasurementInputMortalityRateMembereqh:DiscountedCashFlowValuationTechniqueMember2021-06-300001333986eqh:DueFromReinsuranceRei</w:t>
      </w:r>
      <w:r>
        <w:rPr>
          <w:rFonts w:eastAsia="Times New Roman"/>
          <w:vanish/>
        </w:rPr>
        <w:t>nsurersMemberus-gaap:FairValueInputsLevel3Membersrt:MaximumMembereqh:RangeTwoMemberus-gaap:MeasurementInputMortalityRateMembereqh:DiscountedCashFlowValuationTechniqueMember2021-06-300001333986eqh:DueFromReinsuranceReinsurersMembereqh:RangeThreeMemberus-gaa</w:t>
      </w:r>
      <w:r>
        <w:rPr>
          <w:rFonts w:eastAsia="Times New Roman"/>
          <w:vanish/>
        </w:rPr>
        <w:t>p:FairValueInputsLevel3Membersrt:MinimumMemberus-gaap:MeasurementInputMortalityRateMembereqh:DiscountedCashFlowValuationTechniqueMember2021-06-300001333986eqh:DueFromReinsuranceReinsurersMembereqh:RangeThreeMemberus-gaap:FairValueInputsLevel3Membersrt:Maxi</w:t>
      </w:r>
      <w:r>
        <w:rPr>
          <w:rFonts w:eastAsia="Times New Roman"/>
          <w:vanish/>
        </w:rPr>
        <w:t>mumMemberus-gaap:MeasurementInputMortalityRateMembereqh:DiscountedCashFlowValuationTechniqueMember2021-06-300001333986eqh:DueFromReinsuranceReinsurersMemberus-gaap:FairValueInputsLevel3Membereqh:DiscountedCashFlowValuationTechniqueMembersrt:WeightedAverage</w:t>
      </w:r>
      <w:r>
        <w:rPr>
          <w:rFonts w:eastAsia="Times New Roman"/>
          <w:vanish/>
        </w:rPr>
        <w:t>Memberus-gaap:MeasurementInputLapseRateMember2021-06-300001333986eqh:DueFromReinsuranceReinsurersMemberus-gaap:FairValueInputsLevel3Memberus-gaap:MeasurementInputWithdrawalRateMembereqh:DiscountedCashFlowValuationTechniqueMembersrt:WeightedAverageMember202</w:t>
      </w:r>
      <w:r>
        <w:rPr>
          <w:rFonts w:eastAsia="Times New Roman"/>
          <w:vanish/>
        </w:rPr>
        <w:t>1-06-300001333986eqh:DueFromReinsuranceReinsurersMemberus-gaap:FairValueInputsLevel3Memberus-gaap:MeasurementInputUtilizationRateMembereqh:DiscountedCashFlowValuationTechniqueMembersrt:WeightedAverageMember2021-06-300001333986eqh:DueFromReinsuranceReinsure</w:t>
      </w:r>
      <w:r>
        <w:rPr>
          <w:rFonts w:eastAsia="Times New Roman"/>
          <w:vanish/>
        </w:rPr>
        <w:t>rsMemberus-gaap:FairValueInputsLevel3Membereqh:MeasurementInputNonperformanceRiskMembereqh:DiscountedCashFlowValuationTechniqueMembersrt:WeightedAverageMember2021-06-300001333986eqh:MeasurementInputEquityVolatilityMembereqh:DueFromReinsuranceReinsurersMemb</w:t>
      </w:r>
      <w:r>
        <w:rPr>
          <w:rFonts w:eastAsia="Times New Roman"/>
          <w:vanish/>
        </w:rPr>
        <w:t>erus-gaap:FairValueInputsLevel3Membereqh:DiscountedCashFlowValuationTechniqueMembersrt:WeightedAverageMember2021-06-300001333986eqh:DueFromReinsuranceReinsurersMemberus-gaap:FairValueInputsLevel3Membereqh:RangeTwoMemberus-gaap:MeasurementInputMortalityRate</w:t>
      </w:r>
      <w:r>
        <w:rPr>
          <w:rFonts w:eastAsia="Times New Roman"/>
          <w:vanish/>
        </w:rPr>
        <w:t>Membereqh:DiscountedCashFlowValuationTechniqueMembersrt:WeightedAverageMember2021-06-300001333986eqh:DueFromReinsuranceReinsurersMemberus-gaap:FairValueInputsLevel3Memberus-gaap:MeasurementInputMortalityRateMembereqh:RangeOneMembereqh:DiscountedCashFlowVal</w:t>
      </w:r>
      <w:r>
        <w:rPr>
          <w:rFonts w:eastAsia="Times New Roman"/>
          <w:vanish/>
        </w:rPr>
        <w:t>uationTechniqueMembersrt:WeightedAverageMember2021-06-300001333986eqh:DueFromReinsuranceReinsurersMembereqh:RangeThreeMemberus-gaap:FairValueInputsLevel3Memberus-gaap:MeasurementInputMortalityRateMembereqh:DiscountedCashFlowValuationTechniqueMembersrt:Weig</w:t>
      </w:r>
      <w:r>
        <w:rPr>
          <w:rFonts w:eastAsia="Times New Roman"/>
          <w:vanish/>
        </w:rPr>
        <w:t>htedAverageMember2021-06-300001333986us-gaap:FairValueInputsLevel3Membereqh:AllianceBernsteinMembereqh:DiscountedCashFlowValuationTechniqueMember2021-06-300001333986us-gaap:FairValueInputsLevel3Membersrt:MinimumMembereqh:AllianceBernsteinMemberus-gaap:Meas</w:t>
      </w:r>
      <w:r>
        <w:rPr>
          <w:rFonts w:eastAsia="Times New Roman"/>
          <w:vanish/>
        </w:rPr>
        <w:t>urementInputLongTermRevenueGrowthRateMembereqh:DiscountedCashFlowValuationTechniqueMember2021-06-300001333986us-gaap:FairValueInputsLevel3Membersrt:MaximumMembereqh:AllianceBernsteinMemberus-gaap:MeasurementInputLongTermRevenueGrowthRateMembereqh:Discounte</w:t>
      </w:r>
      <w:r>
        <w:rPr>
          <w:rFonts w:eastAsia="Times New Roman"/>
          <w:vanish/>
        </w:rPr>
        <w:t>dCashFlowValuationTechniqueMember2021-06-300001333986us-gaap:FairValueInputsLevel3Memberus-gaap:MeasurementInputDiscountRateMembersrt:MinimumMembereqh:AllianceBernsteinMembereqh:DiscountedCashFlowValuationTechniqueMember2021-06-300001333986us-gaap:FairValu</w:t>
      </w:r>
      <w:r>
        <w:rPr>
          <w:rFonts w:eastAsia="Times New Roman"/>
          <w:vanish/>
        </w:rPr>
        <w:t>eInputsLevel3Memberus-gaap:MeasurementInputDiscountRateMembersrt:MaximumMembereqh:AllianceBernsteinMembereqh:DiscountedCashFlowValuationTechniqueMember2021-06-300001333986us-gaap:FairValueInputsLevel3Membereqh:AllianceBernsteinMemberus-gaap:MeasurementInpu</w:t>
      </w:r>
      <w:r>
        <w:rPr>
          <w:rFonts w:eastAsia="Times New Roman"/>
          <w:vanish/>
        </w:rPr>
        <w:t>tLongTermRevenueGrowthRateMembereqh:DiscountedCashFlowValuationTechniqueMembersrt:WeightedAverageMember2021-06-300001333986us-gaap:FairValueInputsLevel3Memberus-gaap:MeasurementInputDiscountRateMembereqh:AllianceBernsteinMembereqh:DiscountedCashFlowValuati</w:t>
      </w:r>
      <w:r>
        <w:rPr>
          <w:rFonts w:eastAsia="Times New Roman"/>
          <w:vanish/>
        </w:rPr>
        <w:t>onTechniqueMembersrt:WeightedAverageMember2021-06-300001333986us-gaap:FairValueInputsLevel3Membereqh:GuaranteedMinimumInsuranceBenefitsnoLapseGuaranteeMembereqh:DiscountedCashFlowValuationTechniqueMember2021-06-300001333986us-gaap:FairValueInputsLevel3Memb</w:t>
      </w:r>
      <w:r>
        <w:rPr>
          <w:rFonts w:eastAsia="Times New Roman"/>
          <w:vanish/>
        </w:rPr>
        <w:t>ersrt:MinimumMembereqh:GuaranteedMinimumInsuranceBenefitsnoLapseGuaranteeMembereqh:MeasurementInputNonperformanceRiskMembereqh:DiscountedCashFlowValuationTechniqueMember2021-06-300001333986us-gaap:FairValueInputsLevel3Membersrt:MaximumMembereqh:GuaranteedM</w:t>
      </w:r>
      <w:r>
        <w:rPr>
          <w:rFonts w:eastAsia="Times New Roman"/>
          <w:vanish/>
        </w:rPr>
        <w:t>inimumInsuranceBenefitsnoLapseGuaranteeMembereqh:MeasurementInputNonperformanceRiskMembereqh:DiscountedCashFlowValuationTechniqueMember2021-06-300001333986us-gaap:FairValueInputsLevel3Membersrt:MinimumMembereqh:GuaranteedMinimumInsuranceBenefitsnoLapseGuar</w:t>
      </w:r>
      <w:r>
        <w:rPr>
          <w:rFonts w:eastAsia="Times New Roman"/>
          <w:vanish/>
        </w:rPr>
        <w:t>anteeMembereqh:DiscountedCashFlowValuationTechniqueMemberus-gaap:MeasurementInputLapseRateMember2021-06-300001333986us-gaap:FairValueInputsLevel3Membersrt:MaximumMembereqh:GuaranteedMinimumInsuranceBenefitsnoLapseGuaranteeMembereqh:DiscountedCashFlowValuat</w:t>
      </w:r>
      <w:r>
        <w:rPr>
          <w:rFonts w:eastAsia="Times New Roman"/>
          <w:vanish/>
        </w:rPr>
        <w:t>ionTechniqueMemberus-gaap:MeasurementInputLapseRateMember2021-06-300001333986us-gaap:FairValueInputsLevel3Membersrt:MinimumMembereqh:GuaranteedMinimumInsuranceBenefitsnoLapseGuaranteeMemberus-gaap:MeasurementInputWithdrawalRateMembereqh:DiscountedCashFlowV</w:t>
      </w:r>
      <w:r>
        <w:rPr>
          <w:rFonts w:eastAsia="Times New Roman"/>
          <w:vanish/>
        </w:rPr>
        <w:t>aluationTechniqueMember2021-06-300001333986us-gaap:FairValueInputsLevel3Membersrt:MaximumMembereqh:GuaranteedMinimumInsuranceBenefitsnoLapseGuaranteeMemberus-gaap:MeasurementInputWithdrawalRateMembereqh:DiscountedCashFlowValuationTechniqueMember2021-06-300</w:t>
      </w:r>
      <w:r>
        <w:rPr>
          <w:rFonts w:eastAsia="Times New Roman"/>
          <w:vanish/>
        </w:rPr>
        <w:t>001333986us-gaap:FairValueInputsLevel3Membereqh:MeasurementInputAnnuitizationRateMembersrt:MinimumMembereqh:GuaranteedMinimumInsuranceBenefitsnoLapseGuaranteeMembereqh:DiscountedCashFlowValuationTechniqueMember2021-06-300001333986us-gaap:FairValueInputsLev</w:t>
      </w:r>
      <w:r>
        <w:rPr>
          <w:rFonts w:eastAsia="Times New Roman"/>
          <w:vanish/>
        </w:rPr>
        <w:t>el3Membereqh:MeasurementInputAnnuitizationRateMembersrt:MaximumMembereqh:GuaranteedMinimumInsuranceBenefitsnoLapseGuaranteeMembereqh:DiscountedCashFlowValuationTechniqueMember2021-06-300001333986us-gaap:FairValueInputsLevel3Membersrt:MinimumMemberus-gaap:M</w:t>
      </w:r>
      <w:r>
        <w:rPr>
          <w:rFonts w:eastAsia="Times New Roman"/>
          <w:vanish/>
        </w:rPr>
        <w:t>easurementInputMortalityRateMembereqh:GuaranteedMinimumInsuranceBenefitsnoLapseGuaranteeMembereqh:RangeOneMembereqh:DiscountedCashFlowValuationTechniqueMember2021-06-300001333986us-gaap:FairValueInputsLevel3Membersrt:MaximumMemberus-gaap:MeasurementInputMo</w:t>
      </w:r>
      <w:r>
        <w:rPr>
          <w:rFonts w:eastAsia="Times New Roman"/>
          <w:vanish/>
        </w:rPr>
        <w:t>rtalityRateMembereqh:GuaranteedMinimumInsuranceBenefitsnoLapseGuaranteeMembereqh:RangeOneMembereqh:DiscountedCashFlowValuationTechniqueMember2021-06-300001333986us-gaap:FairValueInputsLevel3Membersrt:MinimumMembereqh:RangeTwoMemberus-gaap:MeasurementInputM</w:t>
      </w:r>
      <w:r>
        <w:rPr>
          <w:rFonts w:eastAsia="Times New Roman"/>
          <w:vanish/>
        </w:rPr>
        <w:t>ortalityRateMembereqh:GuaranteedMinimumInsuranceBenefitsnoLapseGuaranteeMembereqh:DiscountedCashFlowValuationTechniqueMember2021-06-300001333986us-gaap:FairValueInputsLevel3Membersrt:MaximumMembereqh:RangeTwoMemberus-gaap:MeasurementInputMortalityRateMembe</w:t>
      </w:r>
      <w:r>
        <w:rPr>
          <w:rFonts w:eastAsia="Times New Roman"/>
          <w:vanish/>
        </w:rPr>
        <w:t>reqh:GuaranteedMinimumInsuranceBenefitsnoLapseGuaranteeMembereqh:DiscountedCashFlowValuationTechniqueMember2021-06-300001333986eqh:RangeThreeMemberus-gaap:FairValueInputsLevel3Membersrt:MinimumMemberus-gaap:MeasurementInputMortalityRateMembereqh:Guaranteed</w:t>
      </w:r>
      <w:r>
        <w:rPr>
          <w:rFonts w:eastAsia="Times New Roman"/>
          <w:vanish/>
        </w:rPr>
        <w:t>MinimumInsuranceBenefitsnoLapseGuaranteeMembereqh:DiscountedCashFlowValuationTechniqueMember2021-06-300001333986eqh:RangeThreeMemberus-gaap:FairValueInputsLevel3Membersrt:MaximumMemberus-gaap:MeasurementInputMortalityRateMembereqh:GuaranteedMinimumInsuranc</w:t>
      </w:r>
      <w:r>
        <w:rPr>
          <w:rFonts w:eastAsia="Times New Roman"/>
          <w:vanish/>
        </w:rPr>
        <w:t>eBenefitsnoLapseGuaranteeMembereqh:DiscountedCashFlowValuationTechniqueMember2021-06-300001333986us-gaap:FairValueInputsLevel3Membereqh:GuaranteedMinimumInsuranceBenefitsnoLapseGuaranteeMembereqh:MeasurementInputNonperformanceRiskMembereqh:DiscountedCashFl</w:t>
      </w:r>
      <w:r>
        <w:rPr>
          <w:rFonts w:eastAsia="Times New Roman"/>
          <w:vanish/>
        </w:rPr>
        <w:t>owValuationTechniqueMembersrt:WeightedAverageMember2021-06-300001333986us-gaap:FairValueInputsLevel3Membereqh:GuaranteedMinimumInsuranceBenefitsnoLapseGuaranteeMembereqh:DiscountedCashFlowValuationTechniqueMembersrt:WeightedAverageMemberus-gaap:Measurement</w:t>
      </w:r>
      <w:r>
        <w:rPr>
          <w:rFonts w:eastAsia="Times New Roman"/>
          <w:vanish/>
        </w:rPr>
        <w:t>InputLapseRateMember2021-06-300001333986us-gaap:FairValueInputsLevel3Membereqh:GuaranteedMinimumInsuranceBenefitsnoLapseGuaranteeMemberus-gaap:MeasurementInputWithdrawalRateMembereqh:DiscountedCashFlowValuationTechniqueMembersrt:WeightedAverageMember2021-0</w:t>
      </w:r>
      <w:r>
        <w:rPr>
          <w:rFonts w:eastAsia="Times New Roman"/>
          <w:vanish/>
        </w:rPr>
        <w:t>6-300001333986us-gaap:FairValueInputsLevel3Membereqh:MeasurementInputAnnuitizationRateMembereqh:GuaranteedMinimumInsuranceBenefitsnoLapseGuaranteeMembereqh:DiscountedCashFlowValuationTechniqueMembersrt:WeightedAverageMember2021-06-300001333986us-gaap:FairV</w:t>
      </w:r>
      <w:r>
        <w:rPr>
          <w:rFonts w:eastAsia="Times New Roman"/>
          <w:vanish/>
        </w:rPr>
        <w:t>alueInputsLevel3Membereqh:RangeTwoMemberus-gaap:MeasurementInputMortalityRateMembereqh:GuaranteedMinimumInsuranceBenefitsnoLapseGuaranteeMembereqh:DiscountedCashFlowValuationTechniqueMembersrt:WeightedAverageMember2021-06-300001333986us-gaap:FairValueInput</w:t>
      </w:r>
      <w:r>
        <w:rPr>
          <w:rFonts w:eastAsia="Times New Roman"/>
          <w:vanish/>
        </w:rPr>
        <w:t>sLevel3Memberus-gaap:MeasurementInputMortalityRateMembereqh:GuaranteedMinimumInsuranceBenefitsnoLapseGuaranteeMembereqh:RangeOneMembereqh:DiscountedCashFlowValuationTechniqueMembersrt:WeightedAverageMember2021-06-300001333986eqh:RangeThreeMemberus-gaap:Fai</w:t>
      </w:r>
      <w:r>
        <w:rPr>
          <w:rFonts w:eastAsia="Times New Roman"/>
          <w:vanish/>
        </w:rPr>
        <w:t>rValueInputsLevel3Memberus-gaap:MeasurementInputMortalityRateMembereqh:GuaranteedMinimumInsuranceBenefitsnoLapseGuaranteeMembereqh:DiscountedCashFlowValuationTechniqueMembersrt:WeightedAverageMember2021-06-300001333986us-gaap:FairValueInputsLevel3Membereqh</w:t>
      </w:r>
      <w:r>
        <w:rPr>
          <w:rFonts w:eastAsia="Times New Roman"/>
          <w:vanish/>
        </w:rPr>
        <w:t>:GmwbGwblMembereqh:DiscountedCashFlowValuationTechniqueMember2021-06-300001333986us-gaap:FairValueInputsLevel3Membersrt:MinimumMembereqh:GmwbGwblMembereqh:DiscountedCashFlowValuationTechniqueMemberus-gaap:MeasurementInputLapseRateMember2021-06-300001333986</w:t>
      </w:r>
      <w:r>
        <w:rPr>
          <w:rFonts w:eastAsia="Times New Roman"/>
          <w:vanish/>
        </w:rPr>
        <w:t>us-gaap:FairValueInputsLevel3Membersrt:MaximumMembereqh:GmwbGwblMembereqh:DiscountedCashFlowValuationTechniqueMemberus-gaap:MeasurementInputLapseRateMember2021-06-300001333986us-gaap:FairValueInputsLevel3Membersrt:MinimumMemberus-gaap:MeasurementInputWithd</w:t>
      </w:r>
      <w:r>
        <w:rPr>
          <w:rFonts w:eastAsia="Times New Roman"/>
          <w:vanish/>
        </w:rPr>
        <w:t>rawalRateMembereqh:GmwbGwblMembereqh:DiscountedCashFlowValuationTechniqueMember2021-06-300001333986us-gaap:FairValueInputsLevel3Membersrt:MaximumMemberus-gaap:MeasurementInputWithdrawalRateMembereqh:GmwbGwblMembereqh:DiscountedCashFlowValuationTechniqueMem</w:t>
      </w:r>
      <w:r>
        <w:rPr>
          <w:rFonts w:eastAsia="Times New Roman"/>
          <w:vanish/>
        </w:rPr>
        <w:t>ber2021-06-300001333986us-gaap:FairValueInputsLevel3Memberus-gaap:MeasurementInputUtilizationRateMembereqh:GmwbGwblMembereqh:DiscountedCashFlowValuationTechniqueMember2021-06-300001333986eqh:MeasurementInputEquityVolatilityMemberus-gaap:FairValueInputsLeve</w:t>
      </w:r>
      <w:r>
        <w:rPr>
          <w:rFonts w:eastAsia="Times New Roman"/>
          <w:vanish/>
        </w:rPr>
        <w:t>l3Membersrt:MinimumMembereqh:GmwbGwblMembereqh:DiscountedCashFlowValuationTechniqueMember2021-06-300001333986eqh:MeasurementInputEquityVolatilityMemberus-gaap:FairValueInputsLevel3Membersrt:MaximumMembereqh:GmwbGwblMembereqh:DiscountedCashFlowValuationTech</w:t>
      </w:r>
      <w:r>
        <w:rPr>
          <w:rFonts w:eastAsia="Times New Roman"/>
          <w:vanish/>
        </w:rPr>
        <w:t>niqueMember2021-06-300001333986us-gaap:FairValueInputsLevel3Membersrt:MinimumMembereqh:MeasurementInputNonperformanceRiskMembereqh:GmwbGwblMembereqh:DiscountedCashFlowValuationTechniqueMember2021-06-300001333986us-gaap:FairValueInputsLevel3Membersrt:Maximu</w:t>
      </w:r>
      <w:r>
        <w:rPr>
          <w:rFonts w:eastAsia="Times New Roman"/>
          <w:vanish/>
        </w:rPr>
        <w:t>mMembereqh:MeasurementInputNonperformanceRiskMembereqh:GmwbGwblMembereqh:DiscountedCashFlowValuationTechniqueMember2021-06-300001333986us-gaap:FairValueInputsLevel3Membereqh:GmwbGwblMembereqh:DiscountedCashFlowValuationTechniqueMembersrt:WeightedAverageMem</w:t>
      </w:r>
      <w:r>
        <w:rPr>
          <w:rFonts w:eastAsia="Times New Roman"/>
          <w:vanish/>
        </w:rPr>
        <w:t>berus-gaap:MeasurementInputLapseRateMember2021-06-300001333986us-gaap:FairValueInputsLevel3Memberus-gaap:MeasurementInputWithdrawalRateMembereqh:GmwbGwblMembereqh:DiscountedCashFlowValuationTechniqueMembersrt:WeightedAverageMember2021-06-300001333986eqh:Me</w:t>
      </w:r>
      <w:r>
        <w:rPr>
          <w:rFonts w:eastAsia="Times New Roman"/>
          <w:vanish/>
        </w:rPr>
        <w:t>asurementInputEquityVolatilityMemberus-gaap:FairValueInputsLevel3Membereqh:GmwbGwblMembereqh:DiscountedCashFlowValuationTechniqueMembersrt:WeightedAverageMember2021-06-300001333986us-gaap:FairValueInputsLevel3Membereqh:GuaranteedInsuranceBenefitsMembereqh:</w:t>
      </w:r>
      <w:r>
        <w:rPr>
          <w:rFonts w:eastAsia="Times New Roman"/>
          <w:vanish/>
        </w:rPr>
        <w:t>DiscountedCashFlowValuationTechniqueMember2021-06-300001333986us-gaap:FairValueInputsLevel3Membersrt:MinimumMembereqh:GuaranteedInsuranceBenefitsMembereqh:DiscountedCashFlowValuationTechniqueMemberus-gaap:MeasurementInputLapseRateMember2021-06-300001333986</w:t>
      </w:r>
      <w:r>
        <w:rPr>
          <w:rFonts w:eastAsia="Times New Roman"/>
          <w:vanish/>
        </w:rPr>
        <w:t>us-gaap:FairValueInputsLevel3Membersrt:MaximumMembereqh:GuaranteedInsuranceBenefitsMembereqh:DiscountedCashFlowValuationTechniqueMemberus-gaap:MeasurementInputLapseRateMember2021-06-300001333986us-gaap:FairValueInputsLevel3Membersrt:MinimumMembereqh:Guaran</w:t>
      </w:r>
      <w:r>
        <w:rPr>
          <w:rFonts w:eastAsia="Times New Roman"/>
          <w:vanish/>
        </w:rPr>
        <w:t>teedInsuranceBenefitsMemberus-gaap:MeasurementInputWithdrawalRateMembereqh:DiscountedCashFlowValuationTechniqueMember2021-06-300001333986us-gaap:FairValueInputsLevel3Membersrt:MaximumMembereqh:GuaranteedInsuranceBenefitsMemberus-gaap:MeasurementInputWithdr</w:t>
      </w:r>
      <w:r>
        <w:rPr>
          <w:rFonts w:eastAsia="Times New Roman"/>
          <w:vanish/>
        </w:rPr>
        <w:t>awalRateMembereqh:DiscountedCashFlowValuationTechniqueMember2021-06-300001333986us-gaap:FairValueInputsLevel3Membersrt:MinimumMembereqh:GuaranteedInsuranceBenefitsMemberus-gaap:MeasurementInputUtilizationRateMembereqh:DiscountedCashFlowValuationTechniqueMe</w:t>
      </w:r>
      <w:r>
        <w:rPr>
          <w:rFonts w:eastAsia="Times New Roman"/>
          <w:vanish/>
        </w:rPr>
        <w:t>mber2021-06-300001333986us-gaap:FairValueInputsLevel3Membersrt:MaximumMembereqh:GuaranteedInsuranceBenefitsMemberus-gaap:MeasurementInputUtilizationRateMembereqh:DiscountedCashFlowValuationTechniqueMember2021-06-300001333986eqh:MeasurementInputEquityVolati</w:t>
      </w:r>
      <w:r>
        <w:rPr>
          <w:rFonts w:eastAsia="Times New Roman"/>
          <w:vanish/>
        </w:rPr>
        <w:t>lityMemberus-gaap:FairValueInputsLevel3Membersrt:MinimumMembereqh:GuaranteedInsuranceBenefitsMembereqh:DiscountedCashFlowValuationTechniqueMember2021-06-300001333986eqh:MeasurementInputEquityVolatilityMemberus-gaap:FairValueInputsLevel3Membersrt:MaximumMem</w:t>
      </w:r>
      <w:r>
        <w:rPr>
          <w:rFonts w:eastAsia="Times New Roman"/>
          <w:vanish/>
        </w:rPr>
        <w:t>bereqh:GuaranteedInsuranceBenefitsMembereqh:DiscountedCashFlowValuationTechniqueMember2021-06-300001333986us-gaap:FairValueInputsLevel3Membersrt:MinimumMembereqh:GuaranteedInsuranceBenefitsMembereqh:MeasurementInputNonperformanceRiskMembereqh:DiscountedCas</w:t>
      </w:r>
      <w:r>
        <w:rPr>
          <w:rFonts w:eastAsia="Times New Roman"/>
          <w:vanish/>
        </w:rPr>
        <w:t>hFlowValuationTechniqueMember2021-06-300001333986us-gaap:FairValueInputsLevel3Membersrt:MaximumMembereqh:GuaranteedInsuranceBenefitsMembereqh:MeasurementInputNonperformanceRiskMembereqh:DiscountedCashFlowValuationTechniqueMember2021-06-300001333986us-gaap:</w:t>
      </w:r>
      <w:r>
        <w:rPr>
          <w:rFonts w:eastAsia="Times New Roman"/>
          <w:vanish/>
        </w:rPr>
        <w:t>FairValueInputsLevel3Membereqh:GuaranteedInsuranceBenefitsMembereqh:DiscountedCashFlowValuationTechniqueMembersrt:WeightedAverageMemberus-gaap:MeasurementInputLapseRateMember2021-06-300001333986us-gaap:FairValueInputsLevel3Membereqh:GuaranteedInsuranceBene</w:t>
      </w:r>
      <w:r>
        <w:rPr>
          <w:rFonts w:eastAsia="Times New Roman"/>
          <w:vanish/>
        </w:rPr>
        <w:t>fitsMemberus-gaap:MeasurementInputWithdrawalRateMembereqh:DiscountedCashFlowValuationTechniqueMembersrt:WeightedAverageMember2021-06-300001333986us-gaap:FairValueInputsLevel3Membereqh:GuaranteedInsuranceBenefitsMemberus-gaap:MeasurementInputUtilizationRate</w:t>
      </w:r>
      <w:r>
        <w:rPr>
          <w:rFonts w:eastAsia="Times New Roman"/>
          <w:vanish/>
        </w:rPr>
        <w:t>Membereqh:DiscountedCashFlowValuationTechniqueMembersrt:WeightedAverageMember2021-06-300001333986eqh:MeasurementInputEquityVolatilityMemberus-gaap:FairValueInputsLevel3Membereqh:GuaranteedInsuranceBenefitsMembereqh:DiscountedCashFlowValuationTechniqueMembe</w:t>
      </w:r>
      <w:r>
        <w:rPr>
          <w:rFonts w:eastAsia="Times New Roman"/>
          <w:vanish/>
        </w:rPr>
        <w:t>rsrt:WeightedAverageMember2021-06-300001333986us-gaap:FairValueInputsLevel3Membereqh:GuaranteedMinimumAnnuityBenefitsMembereqh:DiscountedCashFlowValuationTechniqueMember2021-06-300001333986us-gaap:FairValueInputsLevel3Membersrt:MinimumMembereqh:GuaranteedM</w:t>
      </w:r>
      <w:r>
        <w:rPr>
          <w:rFonts w:eastAsia="Times New Roman"/>
          <w:vanish/>
        </w:rPr>
        <w:t>inimumAnnuityBenefitsMembereqh:DiscountedCashFlowValuationTechniqueMemberus-gaap:MeasurementInputLapseRateMember2021-06-300001333986us-gaap:FairValueInputsLevel3Membersrt:MaximumMembereqh:GuaranteedMinimumAnnuityBenefitsMembereqh:DiscountedCashFlowValuatio</w:t>
      </w:r>
      <w:r>
        <w:rPr>
          <w:rFonts w:eastAsia="Times New Roman"/>
          <w:vanish/>
        </w:rPr>
        <w:t>nTechniqueMemberus-gaap:MeasurementInputLapseRateMember2021-06-300001333986eqh:MeasurementInputEquityVolatilityMemberus-gaap:FairValueInputsLevel3Membersrt:MinimumMembereqh:GuaranteedMinimumAnnuityBenefitsMembereqh:DiscountedCashFlowValuationTechniqueMembe</w:t>
      </w:r>
      <w:r>
        <w:rPr>
          <w:rFonts w:eastAsia="Times New Roman"/>
          <w:vanish/>
        </w:rPr>
        <w:t>r2021-06-300001333986eqh:MeasurementInputEquityVolatilityMemberus-gaap:FairValueInputsLevel3Membersrt:MaximumMembereqh:GuaranteedMinimumAnnuityBenefitsMembereqh:DiscountedCashFlowValuationTechniqueMember2021-06-300001333986us-gaap:FairValueInputsLevel3Memb</w:t>
      </w:r>
      <w:r>
        <w:rPr>
          <w:rFonts w:eastAsia="Times New Roman"/>
          <w:vanish/>
        </w:rPr>
        <w:t>ersrt:MinimumMembereqh:GuaranteedMinimumAnnuityBenefitsMembereqh:MeasurementInputNonperformanceRiskMembereqh:DiscountedCashFlowValuationTechniqueMember2021-06-300001333986us-gaap:FairValueInputsLevel3Membersrt:MaximumMembereqh:GuaranteedMinimumAnnuityBenef</w:t>
      </w:r>
      <w:r>
        <w:rPr>
          <w:rFonts w:eastAsia="Times New Roman"/>
          <w:vanish/>
        </w:rPr>
        <w:t>itsMembereqh:MeasurementInputNonperformanceRiskMembereqh:DiscountedCashFlowValuationTechniqueMember2021-06-300001333986us-gaap:FairValueInputsLevel3Membereqh:GuaranteedMinimumAnnuityBenefitsMembereqh:DiscountedCashFlowValuationTechniqueMembersrt:WeightedAv</w:t>
      </w:r>
      <w:r>
        <w:rPr>
          <w:rFonts w:eastAsia="Times New Roman"/>
          <w:vanish/>
        </w:rPr>
        <w:t>erageMemberus-gaap:MeasurementInputLapseRateMember2021-06-300001333986eqh:MeasurementInputEquityVolatilityMemberus-gaap:FairValueInputsLevel3Membereqh:GuaranteedMinimumAnnuityBenefitsMembereqh:DiscountedCashFlowValuationTechniqueMembersrt:WeightedAverageMe</w:t>
      </w:r>
      <w:r>
        <w:rPr>
          <w:rFonts w:eastAsia="Times New Roman"/>
          <w:vanish/>
        </w:rPr>
        <w:t>mber2021-06-300001333986us-gaap:FairValueInputsLevel3Memberus-gaap:CorporateDebtSecuritiesMembereqh:MatrixPricingModelValuationTechniqueMember2020-12-310001333986us-gaap:FairValueInputsLevel3Membersrt:MinimumMemberus-gaap:CorporateDebtSecuritiesMembereqh:M</w:t>
      </w:r>
      <w:r>
        <w:rPr>
          <w:rFonts w:eastAsia="Times New Roman"/>
          <w:vanish/>
        </w:rPr>
        <w:t>atrixPricingModelValuationTechniqueMember2020-01-012020-12-310001333986us-gaap:FairValueInputsLevel3Membersrt:MaximumMemberus-gaap:CorporateDebtSecuritiesMembereqh:MatrixPricingModelValuationTechniqueMember2020-01-012020-12-310001333986us-gaap:FairValueInp</w:t>
      </w:r>
      <w:r>
        <w:rPr>
          <w:rFonts w:eastAsia="Times New Roman"/>
          <w:vanish/>
        </w:rPr>
        <w:t>utsLevel3Memberus-gaap:CorporateDebtSecuritiesMembereqh:MatrixPricingModelValuationTechniqueMembersrt:WeightedAverageMember2020-01-012020-12-310001333986us-gaap:FairValueInputsLevel3Memberus-gaap:CorporateDebtSecuritiesMembereqh:MarketComparableCompaniesVa</w:t>
      </w:r>
      <w:r>
        <w:rPr>
          <w:rFonts w:eastAsia="Times New Roman"/>
          <w:vanish/>
        </w:rPr>
        <w:t>luationTechniqueMember2020-12-310001333986us-gaap:FairValueInputsLevel3Membersrt:MinimumMemberus-gaap:MeasurementInputEbitdaMultipleMemberus-gaap:CorporateDebtSecuritiesMembereqh:MarketComparableCompaniesValuationTechniqueMember2020-12-310001333986us-gaap:</w:t>
      </w:r>
      <w:r>
        <w:rPr>
          <w:rFonts w:eastAsia="Times New Roman"/>
          <w:vanish/>
        </w:rPr>
        <w:t>FairValueInputsLevel3Membersrt:MaximumMemberus-gaap:MeasurementInputEbitdaMultipleMemberus-gaap:CorporateDebtSecuritiesMembereqh:MarketComparableCompaniesValuationTechniqueMember2020-12-310001333986us-gaap:FairValueInputsLevel3Memberus-gaap:MeasurementInpu</w:t>
      </w:r>
      <w:r>
        <w:rPr>
          <w:rFonts w:eastAsia="Times New Roman"/>
          <w:vanish/>
        </w:rPr>
        <w:t>tDiscountRateMembersrt:MinimumMemberus-gaap:CorporateDebtSecuritiesMembereqh:MarketComparableCompaniesValuationTechniqueMember2020-12-310001333986us-gaap:FairValueInputsLevel3Memberus-gaap:MeasurementInputDiscountRateMembersrt:MaximumMemberus-gaap:Corporat</w:t>
      </w:r>
      <w:r>
        <w:rPr>
          <w:rFonts w:eastAsia="Times New Roman"/>
          <w:vanish/>
        </w:rPr>
        <w:t>eDebtSecuritiesMembereqh:MarketComparableCompaniesValuationTechniqueMember2020-12-310001333986us-gaap:FairValueInputsLevel3Membersrt:MinimumMembereqh:MeasurementInputCashFlowMultiplesMemberus-gaap:CorporateDebtSecuritiesMembereqh:MarketComparableCompaniesV</w:t>
      </w:r>
      <w:r>
        <w:rPr>
          <w:rFonts w:eastAsia="Times New Roman"/>
          <w:vanish/>
        </w:rPr>
        <w:t>aluationTechniqueMember2020-12-310001333986us-gaap:FairValueInputsLevel3Membersrt:MaximumMembereqh:MeasurementInputCashFlowMultiplesMemberus-gaap:CorporateDebtSecuritiesMembereqh:MarketComparableCompaniesValuationTechniqueMember2020-12-310001333986us-gaap:</w:t>
      </w:r>
      <w:r>
        <w:rPr>
          <w:rFonts w:eastAsia="Times New Roman"/>
          <w:vanish/>
        </w:rPr>
        <w:t>FairValueInputsLevel3Memberus-gaap:MeasurementInputEbitdaMultipleMemberus-gaap:CorporateDebtSecuritiesMembereqh:MarketComparableCompaniesValuationTechniqueMembersrt:WeightedAverageMember2020-12-310001333986us-gaap:FairValueInputsLevel3Memberus-gaap:Measure</w:t>
      </w:r>
      <w:r>
        <w:rPr>
          <w:rFonts w:eastAsia="Times New Roman"/>
          <w:vanish/>
        </w:rPr>
        <w:t>mentInputDiscountRateMemberus-gaap:CorporateDebtSecuritiesMembereqh:MarketComparableCompaniesValuationTechniqueMembersrt:WeightedAverageMember2020-12-310001333986us-gaap:FairValueInputsLevel3Membereqh:MeasurementInputCashFlowMultiplesMemberus-gaap:Corporat</w:t>
      </w:r>
      <w:r>
        <w:rPr>
          <w:rFonts w:eastAsia="Times New Roman"/>
          <w:vanish/>
        </w:rPr>
        <w:t>eDebtSecuritiesMembereqh:MarketComparableCompaniesValuationTechniqueMembersrt:WeightedAverageMember2020-12-310001333986us-gaap:FairValueInputsLevel3Memberus-gaap:EquityMethodInvestmentsMembereqh:MarketComparableCompaniesValuationTechniqueMember2020-12-3100</w:t>
      </w:r>
      <w:r>
        <w:rPr>
          <w:rFonts w:eastAsia="Times New Roman"/>
          <w:vanish/>
        </w:rPr>
        <w:t>01333986us-gaap:FairValueInputsLevel3Membersrt:MinimumMemberus-gaap:MeasurementInputRevenueMultipleMemberus-gaap:EquityMethodInvestmentsMembereqh:MarketComparableCompaniesValuationTechniqueMember2020-12-310001333986us-gaap:FairValueInputsLevel3Membersrt:Ma</w:t>
      </w:r>
      <w:r>
        <w:rPr>
          <w:rFonts w:eastAsia="Times New Roman"/>
          <w:vanish/>
        </w:rPr>
        <w:t>ximumMemberus-gaap:MeasurementInputRevenueMultipleMemberus-gaap:EquityMethodInvestmentsMembereqh:MarketComparableCompaniesValuationTechniqueMember2020-12-310001333986us-gaap:FairValueInputsLevel3Memberus-gaap:MeasurementInputRevenueMultipleMemberus-gaap:Eq</w:t>
      </w:r>
      <w:r>
        <w:rPr>
          <w:rFonts w:eastAsia="Times New Roman"/>
          <w:vanish/>
        </w:rPr>
        <w:t>uityMethodInvestmentsMembereqh:MarketComparableCompaniesValuationTechniqueMembersrt:WeightedAverageMember2020-12-310001333986us-gaap:FairValueInputsLevel3Memberus-gaap:EquityMethodInvestmentsMembereqh:DiscountedCashFlowValuationTechniqueMember2020-12-31000</w:t>
      </w:r>
      <w:r>
        <w:rPr>
          <w:rFonts w:eastAsia="Times New Roman"/>
          <w:vanish/>
        </w:rPr>
        <w:t>1333986us-gaap:FairValueInputsLevel3Memberus-gaap:MeasurementInputRevenueMultipleMemberus-gaap:EquityMethodInvestmentsMembereqh:DiscountedCashFlowValuationTechniqueMember2020-12-310001333986us-gaap:FairValueInputsLevel3Memberus-gaap:EquityMethodInvestments</w:t>
      </w:r>
      <w:r>
        <w:rPr>
          <w:rFonts w:eastAsia="Times New Roman"/>
          <w:vanish/>
        </w:rPr>
        <w:t>Membereqh:DiscountedCashFlowValuationTechniqueMembereqh:MeasurementInputsDiscountFactorMember2020-12-310001333986us-gaap:FairValueInputsLevel3Memberus-gaap:EquityMethodInvestmentsMembereqh:DiscountedCashFlowValuationTechniqueMember2020-01-012020-12-3100013</w:t>
      </w:r>
      <w:r>
        <w:rPr>
          <w:rFonts w:eastAsia="Times New Roman"/>
          <w:vanish/>
        </w:rPr>
        <w:t>33986us-gaap:FairValueInputsLevel3Membereqh:GmibReinsuranceMembereqh:DiscountedCashFlowValuationTechniqueMember2020-12-310001333986us-gaap:FairValueInputsLevel3Membersrt:MinimumMembereqh:MeasurementInputNonperformanceRiskMembereqh:GmibReinsuranceMembereqh:</w:t>
      </w:r>
      <w:r>
        <w:rPr>
          <w:rFonts w:eastAsia="Times New Roman"/>
          <w:vanish/>
        </w:rPr>
        <w:t>DiscountedCashFlowValuationTechniqueMember2020-12-310001333986us-gaap:FairValueInputsLevel3Membersrt:MaximumMembereqh:MeasurementInputNonperformanceRiskMembereqh:GmibReinsuranceMembereqh:DiscountedCashFlowValuationTechniqueMember2020-12-310001333986us-gaap</w:t>
      </w:r>
      <w:r>
        <w:rPr>
          <w:rFonts w:eastAsia="Times New Roman"/>
          <w:vanish/>
        </w:rPr>
        <w:t>:FairValueInputsLevel3Membersrt:MinimumMembereqh:GmibReinsuranceMembereqh:DiscountedCashFlowValuationTechniqueMemberus-gaap:MeasurementInputLapseRateMember2020-12-310001333986us-gaap:FairValueInputsLevel3Membersrt:MaximumMembereqh:GmibReinsuranceMembereqh:</w:t>
      </w:r>
      <w:r>
        <w:rPr>
          <w:rFonts w:eastAsia="Times New Roman"/>
          <w:vanish/>
        </w:rPr>
        <w:t>DiscountedCashFlowValuationTechniqueMemberus-gaap:MeasurementInputLapseRateMember2020-12-310001333986us-gaap:FairValueInputsLevel3Membersrt:MinimumMemberus-gaap:MeasurementInputWithdrawalRateMembereqh:GmibReinsuranceMembereqh:DiscountedCashFlowValuationTec</w:t>
      </w:r>
      <w:r>
        <w:rPr>
          <w:rFonts w:eastAsia="Times New Roman"/>
          <w:vanish/>
        </w:rPr>
        <w:t>hniqueMember2020-12-310001333986us-gaap:FairValueInputsLevel3Membersrt:MaximumMemberus-gaap:MeasurementInputWithdrawalRateMembereqh:GmibReinsuranceMembereqh:DiscountedCashFlowValuationTechniqueMember2020-12-310001333986us-gaap:FairValueInputsLevel3Membersr</w:t>
      </w:r>
      <w:r>
        <w:rPr>
          <w:rFonts w:eastAsia="Times New Roman"/>
          <w:vanish/>
        </w:rPr>
        <w:t>t:MinimumMemberus-gaap:MeasurementInputUtilizationRateMembereqh:GmibReinsuranceMembereqh:DiscountedCashFlowValuationTechniqueMember2020-12-310001333986us-gaap:FairValueInputsLevel3Membersrt:MaximumMemberus-gaap:MeasurementInputUtilizationRateMembereqh:Gmib</w:t>
      </w:r>
      <w:r>
        <w:rPr>
          <w:rFonts w:eastAsia="Times New Roman"/>
          <w:vanish/>
        </w:rPr>
        <w:t>ReinsuranceMembereqh:DiscountedCashFlowValuationTechniqueMember2020-12-310001333986eqh:MeasurementInputEquityVolatilityMemberus-gaap:FairValueInputsLevel3Membersrt:MinimumMembereqh:GmibReinsuranceMembereqh:DiscountedCashFlowValuationTechniqueMember2020-12-</w:t>
      </w:r>
      <w:r>
        <w:rPr>
          <w:rFonts w:eastAsia="Times New Roman"/>
          <w:vanish/>
        </w:rPr>
        <w:t>310001333986eqh:MeasurementInputEquityVolatilityMemberus-gaap:FairValueInputsLevel3Membersrt:MaximumMembereqh:GmibReinsuranceMembereqh:DiscountedCashFlowValuationTechniqueMember2020-12-310001333986us-gaap:FairValueInputsLevel3Membersrt:MinimumMemberus-gaap</w:t>
      </w:r>
      <w:r>
        <w:rPr>
          <w:rFonts w:eastAsia="Times New Roman"/>
          <w:vanish/>
        </w:rPr>
        <w:t>:MeasurementInputMortalityRateMembereqh:GmibReinsuranceMembereqh:RangeOneMembereqh:DiscountedCashFlowValuationTechniqueMember2020-12-310001333986us-gaap:FairValueInputsLevel3Membersrt:MaximumMemberus-gaap:MeasurementInputMortalityRateMembereqh:GmibReinsura</w:t>
      </w:r>
      <w:r>
        <w:rPr>
          <w:rFonts w:eastAsia="Times New Roman"/>
          <w:vanish/>
        </w:rPr>
        <w:t>nceMembereqh:RangeOneMembereqh:DiscountedCashFlowValuationTechniqueMember2020-12-310001333986us-gaap:FairValueInputsLevel3Membersrt:MinimumMembereqh:RangeTwoMemberus-gaap:MeasurementInputMortalityRateMembereqh:GmibReinsuranceMembereqh:DiscountedCashFlowVal</w:t>
      </w:r>
      <w:r>
        <w:rPr>
          <w:rFonts w:eastAsia="Times New Roman"/>
          <w:vanish/>
        </w:rPr>
        <w:t>uationTechniqueMember2020-12-310001333986us-gaap:FairValueInputsLevel3Membersrt:MaximumMembereqh:RangeTwoMemberus-gaap:MeasurementInputMortalityRateMembereqh:GmibReinsuranceMembereqh:DiscountedCashFlowValuationTechniqueMember2020-12-310001333986eqh:RangeTh</w:t>
      </w:r>
      <w:r>
        <w:rPr>
          <w:rFonts w:eastAsia="Times New Roman"/>
          <w:vanish/>
        </w:rPr>
        <w:t>reeMemberus-gaap:FairValueInputsLevel3Membersrt:MinimumMemberus-gaap:MeasurementInputMortalityRateMembereqh:GmibReinsuranceMembereqh:DiscountedCashFlowValuationTechniqueMember2020-12-310001333986eqh:RangeThreeMemberus-gaap:FairValueInputsLevel3Membersrt:Ma</w:t>
      </w:r>
      <w:r>
        <w:rPr>
          <w:rFonts w:eastAsia="Times New Roman"/>
          <w:vanish/>
        </w:rPr>
        <w:t>ximumMemberus-gaap:MeasurementInputMortalityRateMembereqh:GmibReinsuranceMembereqh:DiscountedCashFlowValuationTechniqueMember2020-12-310001333986us-gaap:FairValueInputsLevel3Membereqh:MeasurementInputNonperformanceRiskMembereqh:GmibReinsuranceMembereqh:Dis</w:t>
      </w:r>
      <w:r>
        <w:rPr>
          <w:rFonts w:eastAsia="Times New Roman"/>
          <w:vanish/>
        </w:rPr>
        <w:t>countedCashFlowValuationTechniqueMembersrt:WeightedAverageMember2020-12-310001333986us-gaap:FairValueInputsLevel3Membereqh:GmibReinsuranceMembereqh:DiscountedCashFlowValuationTechniqueMembersrt:WeightedAverageMemberus-gaap:MeasurementInputLapseRateMember20</w:t>
      </w:r>
      <w:r>
        <w:rPr>
          <w:rFonts w:eastAsia="Times New Roman"/>
          <w:vanish/>
        </w:rPr>
        <w:t>20-12-310001333986us-gaap:FairValueInputsLevel3Memberus-gaap:MeasurementInputWithdrawalRateMembereqh:GmibReinsuranceMembereqh:DiscountedCashFlowValuationTechniqueMembersrt:WeightedAverageMember2020-12-310001333986us-gaap:FairValueInputsLevel3Memberus-gaap:</w:t>
      </w:r>
      <w:r>
        <w:rPr>
          <w:rFonts w:eastAsia="Times New Roman"/>
          <w:vanish/>
        </w:rPr>
        <w:t>MeasurementInputUtilizationRateMembereqh:GmibReinsuranceMembereqh:DiscountedCashFlowValuationTechniqueMembersrt:WeightedAverageMember2020-12-310001333986eqh:MeasurementInputEquityVolatilityMemberus-gaap:FairValueInputsLevel3Membereqh:GmibReinsuranceMembere</w:t>
      </w:r>
      <w:r>
        <w:rPr>
          <w:rFonts w:eastAsia="Times New Roman"/>
          <w:vanish/>
        </w:rPr>
        <w:t>qh:DiscountedCashFlowValuationTechniqueMembersrt:WeightedAverageMember2020-12-310001333986us-gaap:FairValueInputsLevel3Memberus-gaap:MeasurementInputMortalityRateMembereqh:GmibReinsuranceMembereqh:RangeOneMembereqh:DiscountedCashFlowValuationTechniqueMembe</w:t>
      </w:r>
      <w:r>
        <w:rPr>
          <w:rFonts w:eastAsia="Times New Roman"/>
          <w:vanish/>
        </w:rPr>
        <w:t>rsrt:WeightedAverageMember2020-12-310001333986us-gaap:FairValueInputsLevel3Membereqh:RangeTwoMemberus-gaap:MeasurementInputMortalityRateMembereqh:GmibReinsuranceMembereqh:DiscountedCashFlowValuationTechniqueMembersrt:WeightedAverageMember2020-12-3100013339</w:t>
      </w:r>
      <w:r>
        <w:rPr>
          <w:rFonts w:eastAsia="Times New Roman"/>
          <w:vanish/>
        </w:rPr>
        <w:t>86eqh:RangeThreeMemberus-gaap:FairValueInputsLevel3Memberus-gaap:MeasurementInputMortalityRateMembereqh:GmibReinsuranceMembereqh:DiscountedCashFlowValuationTechniqueMembersrt:WeightedAverageMember2020-12-310001333986us-gaap:FairValueInputsLevel3Membereqh:A</w:t>
      </w:r>
      <w:r>
        <w:rPr>
          <w:rFonts w:eastAsia="Times New Roman"/>
          <w:vanish/>
        </w:rPr>
        <w:t>llianceBernsteinMembereqh:DiscountedCashFlowValuationTechniqueMember2020-12-310001333986us-gaap:FairValueInputsLevel3Membersrt:MinimumMembereqh:AllianceBernsteinMemberus-gaap:MeasurementInputLongTermRevenueGrowthRateMembereqh:DiscountedCashFlowValuationTec</w:t>
      </w:r>
      <w:r>
        <w:rPr>
          <w:rFonts w:eastAsia="Times New Roman"/>
          <w:vanish/>
        </w:rPr>
        <w:t>hniqueMember2020-12-310001333986us-gaap:FairValueInputsLevel3Membersrt:MaximumMembereqh:AllianceBernsteinMemberus-gaap:MeasurementInputLongTermRevenueGrowthRateMembereqh:DiscountedCashFlowValuationTechniqueMember2020-12-310001333986us-gaap:FairValueInputsL</w:t>
      </w:r>
      <w:r>
        <w:rPr>
          <w:rFonts w:eastAsia="Times New Roman"/>
          <w:vanish/>
        </w:rPr>
        <w:t>evel3Memberus-gaap:MeasurementInputDiscountRateMembersrt:MinimumMembereqh:AllianceBernsteinMembereqh:DiscountedCashFlowValuationTechniqueMember2020-12-310001333986us-gaap:FairValueInputsLevel3Memberus-gaap:MeasurementInputDiscountRateMembersrt:MaximumMembe</w:t>
      </w:r>
      <w:r>
        <w:rPr>
          <w:rFonts w:eastAsia="Times New Roman"/>
          <w:vanish/>
        </w:rPr>
        <w:t>reqh:AllianceBernsteinMembereqh:DiscountedCashFlowValuationTechniqueMember2020-12-310001333986us-gaap:FairValueInputsLevel3Membereqh:AllianceBernsteinMemberus-gaap:MeasurementInputLongTermRevenueGrowthRateMembereqh:DiscountedCashFlowValuationTechniqueMembe</w:t>
      </w:r>
      <w:r>
        <w:rPr>
          <w:rFonts w:eastAsia="Times New Roman"/>
          <w:vanish/>
        </w:rPr>
        <w:t>rsrt:WeightedAverageMember2020-12-310001333986us-gaap:FairValueInputsLevel3Memberus-gaap:MeasurementInputDiscountRateMembereqh:AllianceBernsteinMembereqh:DiscountedCashFlowValuationTechniqueMembersrt:WeightedAverageMember2020-12-310001333986us-gaap:FairVal</w:t>
      </w:r>
      <w:r>
        <w:rPr>
          <w:rFonts w:eastAsia="Times New Roman"/>
          <w:vanish/>
        </w:rPr>
        <w:t>ueInputsLevel3Membereqh:GuaranteedMinimumInsuranceBenefitsnoLapseGuaranteeMembereqh:DiscountedCashFlowValuationTechniqueMember2020-12-310001333986us-gaap:FairValueInputsLevel3Membereqh:GuaranteedMinimumInsuranceBenefitsnoLapseGuaranteeMembereqh:Measurement</w:t>
      </w:r>
      <w:r>
        <w:rPr>
          <w:rFonts w:eastAsia="Times New Roman"/>
          <w:vanish/>
        </w:rPr>
        <w:t>InputNonperformanceRiskMembereqh:DiscountedCashFlowValuationTechniqueMember2020-12-310001333986us-gaap:FairValueInputsLevel3Membersrt:MinimumMembereqh:GuaranteedMinimumInsuranceBenefitsnoLapseGuaranteeMembereqh:DiscountedCashFlowValuationTechniqueMemberus-</w:t>
      </w:r>
      <w:r>
        <w:rPr>
          <w:rFonts w:eastAsia="Times New Roman"/>
          <w:vanish/>
        </w:rPr>
        <w:t>gaap:MeasurementInputLapseRateMember2020-12-310001333986us-gaap:FairValueInputsLevel3Membersrt:MaximumMembereqh:GuaranteedMinimumInsuranceBenefitsnoLapseGuaranteeMembereqh:DiscountedCashFlowValuationTechniqueMemberus-gaap:MeasurementInputLapseRateMember202</w:t>
      </w:r>
      <w:r>
        <w:rPr>
          <w:rFonts w:eastAsia="Times New Roman"/>
          <w:vanish/>
        </w:rPr>
        <w:t>0-12-310001333986us-gaap:FairValueInputsLevel3Membersrt:MinimumMembereqh:GuaranteedMinimumInsuranceBenefitsnoLapseGuaranteeMemberus-gaap:MeasurementInputWithdrawalRateMembereqh:DiscountedCashFlowValuationTechniqueMember2020-12-310001333986us-gaap:FairValue</w:t>
      </w:r>
      <w:r>
        <w:rPr>
          <w:rFonts w:eastAsia="Times New Roman"/>
          <w:vanish/>
        </w:rPr>
        <w:t>InputsLevel3Membersrt:MaximumMembereqh:GuaranteedMinimumInsuranceBenefitsnoLapseGuaranteeMemberus-gaap:MeasurementInputWithdrawalRateMembereqh:DiscountedCashFlowValuationTechniqueMember2020-12-310001333986us-gaap:FairValueInputsLevel3Membereqh:MeasurementI</w:t>
      </w:r>
      <w:r>
        <w:rPr>
          <w:rFonts w:eastAsia="Times New Roman"/>
          <w:vanish/>
        </w:rPr>
        <w:t>nputAnnuitizationRateMembersrt:MinimumMembereqh:GuaranteedMinimumInsuranceBenefitsnoLapseGuaranteeMembereqh:DiscountedCashFlowValuationTechniqueMember2020-12-310001333986us-gaap:FairValueInputsLevel3Membereqh:MeasurementInputAnnuitizationRateMembersrt:Maxi</w:t>
      </w:r>
      <w:r>
        <w:rPr>
          <w:rFonts w:eastAsia="Times New Roman"/>
          <w:vanish/>
        </w:rPr>
        <w:t>mumMembereqh:GuaranteedMinimumInsuranceBenefitsnoLapseGuaranteeMembereqh:DiscountedCashFlowValuationTechniqueMember2020-12-310001333986us-gaap:FairValueInputsLevel3Membersrt:MinimumMemberus-gaap:MeasurementInputMortalityRateMembereqh:GuaranteedMinimumInsur</w:t>
      </w:r>
      <w:r>
        <w:rPr>
          <w:rFonts w:eastAsia="Times New Roman"/>
          <w:vanish/>
        </w:rPr>
        <w:t>anceBenefitsnoLapseGuaranteeMembereqh:RangeOneMembereqh:DiscountedCashFlowValuationTechniqueMember2020-12-310001333986us-gaap:FairValueInputsLevel3Membersrt:MaximumMemberus-gaap:MeasurementInputMortalityRateMembereqh:GuaranteedMinimumInsuranceBenefitsnoLap</w:t>
      </w:r>
      <w:r>
        <w:rPr>
          <w:rFonts w:eastAsia="Times New Roman"/>
          <w:vanish/>
        </w:rPr>
        <w:t>seGuaranteeMembereqh:RangeOneMembereqh:DiscountedCashFlowValuationTechniqueMember2020-12-310001333986us-gaap:FairValueInputsLevel3Membersrt:MinimumMembereqh:RangeTwoMemberus-gaap:MeasurementInputMortalityRateMembereqh:GuaranteedMinimumInsuranceBenefitsnoLa</w:t>
      </w:r>
      <w:r>
        <w:rPr>
          <w:rFonts w:eastAsia="Times New Roman"/>
          <w:vanish/>
        </w:rPr>
        <w:t>pseGuaranteeMembereqh:DiscountedCashFlowValuationTechniqueMember2020-12-310001333986us-gaap:FairValueInputsLevel3Membersrt:MaximumMembereqh:RangeTwoMemberus-gaap:MeasurementInputMortalityRateMembereqh:GuaranteedMinimumInsuranceBenefitsnoLapseGuaranteeMembe</w:t>
      </w:r>
      <w:r>
        <w:rPr>
          <w:rFonts w:eastAsia="Times New Roman"/>
          <w:vanish/>
        </w:rPr>
        <w:t>reqh:DiscountedCashFlowValuationTechniqueMember2020-12-310001333986eqh:RangeThreeMemberus-gaap:FairValueInputsLevel3Membersrt:MinimumMemberus-gaap:MeasurementInputMortalityRateMembereqh:GuaranteedMinimumInsuranceBenefitsnoLapseGuaranteeMembereqh:Discounted</w:t>
      </w:r>
      <w:r>
        <w:rPr>
          <w:rFonts w:eastAsia="Times New Roman"/>
          <w:vanish/>
        </w:rPr>
        <w:t>CashFlowValuationTechniqueMember2020-12-310001333986eqh:RangeThreeMemberus-gaap:FairValueInputsLevel3Membersrt:MaximumMemberus-gaap:MeasurementInputMortalityRateMembereqh:GuaranteedMinimumInsuranceBenefitsnoLapseGuaranteeMembereqh:DiscountedCashFlowValuati</w:t>
      </w:r>
      <w:r>
        <w:rPr>
          <w:rFonts w:eastAsia="Times New Roman"/>
          <w:vanish/>
        </w:rPr>
        <w:t>onTechniqueMember2020-12-310001333986us-gaap:FairValueInputsLevel3Membereqh:GuaranteedMinimumInsuranceBenefitsnoLapseGuaranteeMembereqh:DiscountedCashFlowValuationTechniqueMembersrt:WeightedAverageMemberus-gaap:MeasurementInputLapseRateMember2020-12-310001</w:t>
      </w:r>
      <w:r>
        <w:rPr>
          <w:rFonts w:eastAsia="Times New Roman"/>
          <w:vanish/>
        </w:rPr>
        <w:t>333986us-gaap:FairValueInputsLevel3Membereqh:GuaranteedMinimumInsuranceBenefitsnoLapseGuaranteeMemberus-gaap:MeasurementInputWithdrawalRateMembereqh:DiscountedCashFlowValuationTechniqueMembersrt:WeightedAverageMember2020-12-310001333986us-gaap:FairValueInp</w:t>
      </w:r>
      <w:r>
        <w:rPr>
          <w:rFonts w:eastAsia="Times New Roman"/>
          <w:vanish/>
        </w:rPr>
        <w:t>utsLevel3Membereqh:MeasurementInputAnnuitizationRateMembereqh:GuaranteedMinimumInsuranceBenefitsnoLapseGuaranteeMembereqh:DiscountedCashFlowValuationTechniqueMembersrt:WeightedAverageMember2020-12-310001333986us-gaap:FairValueInputsLevel3Memberus-gaap:Meas</w:t>
      </w:r>
      <w:r>
        <w:rPr>
          <w:rFonts w:eastAsia="Times New Roman"/>
          <w:vanish/>
        </w:rPr>
        <w:t>urementInputMortalityRateMembereqh:GuaranteedMinimumInsuranceBenefitsnoLapseGuaranteeMembereqh:RangeOneMembereqh:DiscountedCashFlowValuationTechniqueMembersrt:WeightedAverageMember2020-12-310001333986us-gaap:FairValueInputsLevel3Membereqh:RangeTwoMemberus-</w:t>
      </w:r>
      <w:r>
        <w:rPr>
          <w:rFonts w:eastAsia="Times New Roman"/>
          <w:vanish/>
        </w:rPr>
        <w:t>gaap:MeasurementInputMortalityRateMembereqh:GuaranteedMinimumInsuranceBenefitsnoLapseGuaranteeMembereqh:DiscountedCashFlowValuationTechniqueMembersrt:WeightedAverageMember2020-12-310001333986eqh:RangeThreeMemberus-gaap:FairValueInputsLevel3Memberus-gaap:Me</w:t>
      </w:r>
      <w:r>
        <w:rPr>
          <w:rFonts w:eastAsia="Times New Roman"/>
          <w:vanish/>
        </w:rPr>
        <w:t>asurementInputMortalityRateMembereqh:GuaranteedMinimumInsuranceBenefitsnoLapseGuaranteeMembereqh:DiscountedCashFlowValuationTechniqueMembersrt:WeightedAverageMember2020-12-310001333986us-gaap:FairValueInputsLevel3Membereqh:AssumedGMIBReinsuranceContractsMe</w:t>
      </w:r>
      <w:r>
        <w:rPr>
          <w:rFonts w:eastAsia="Times New Roman"/>
          <w:vanish/>
        </w:rPr>
        <w:t>mbereqh:DiscountedCashFlowValuationTechniqueMember2020-12-310001333986us-gaap:FairValueInputsLevel3Membersrt:MinimumMembereqh:MeasurementInputNonperformanceRiskMembereqh:AssumedGMIBReinsuranceContractsMembereqh:DiscountedCashFlowValuationTechniqueMember202</w:t>
      </w:r>
      <w:r>
        <w:rPr>
          <w:rFonts w:eastAsia="Times New Roman"/>
          <w:vanish/>
        </w:rPr>
        <w:t>0-12-310001333986us-gaap:FairValueInputsLevel3Membersrt:MaximumMembereqh:MeasurementInputNonperformanceRiskMembereqh:AssumedGMIBReinsuranceContractsMembereqh:DiscountedCashFlowValuationTechniqueMember2020-12-310001333986us-gaap:FairValueInputsLevel3Members</w:t>
      </w:r>
      <w:r>
        <w:rPr>
          <w:rFonts w:eastAsia="Times New Roman"/>
          <w:vanish/>
        </w:rPr>
        <w:t>rt:MinimumMembereqh:AssumedGMIBReinsuranceContractsMembereqh:DiscountedCashFlowValuationTechniqueMemberus-gaap:MeasurementInputLapseRateMember2020-12-310001333986us-gaap:FairValueInputsLevel3Membersrt:MaximumMembereqh:AssumedGMIBReinsuranceContractsMembere</w:t>
      </w:r>
      <w:r>
        <w:rPr>
          <w:rFonts w:eastAsia="Times New Roman"/>
          <w:vanish/>
        </w:rPr>
        <w:t>qh:DiscountedCashFlowValuationTechniqueMemberus-gaap:MeasurementInputLapseRateMember2020-12-310001333986us-gaap:FairValueInputsLevel3Membersrt:MinimumMemberus-gaap:MeasurementInputWithdrawalRateMembereqh:AssumedGMIBReinsuranceContractsMembereqh:DiscountedC</w:t>
      </w:r>
      <w:r>
        <w:rPr>
          <w:rFonts w:eastAsia="Times New Roman"/>
          <w:vanish/>
        </w:rPr>
        <w:t>ashFlowValuationTechniqueMember2020-12-310001333986us-gaap:FairValueInputsLevel3Membersrt:MaximumMemberus-gaap:MeasurementInputWithdrawalRateMembereqh:AssumedGMIBReinsuranceContractsMembereqh:DiscountedCashFlowValuationTechniqueMember2020-12-310001333986us</w:t>
      </w:r>
      <w:r>
        <w:rPr>
          <w:rFonts w:eastAsia="Times New Roman"/>
          <w:vanish/>
        </w:rPr>
        <w:t>-gaap:FairValueInputsLevel3Membersrt:MinimumMembereqh:AssumedGMIBReinsuranceContractsMembereqh:MeasurementInputWithdrawalRateTwoMembereqh:DiscountedCashFlowValuationTechniqueMember2020-12-310001333986us-gaap:FairValueInputsLevel3Membersrt:MaximumMembereqh:</w:t>
      </w:r>
      <w:r>
        <w:rPr>
          <w:rFonts w:eastAsia="Times New Roman"/>
          <w:vanish/>
        </w:rPr>
        <w:t>AssumedGMIBReinsuranceContractsMembereqh:MeasurementInputWithdrawalRateTwoMembereqh:DiscountedCashFlowValuationTechniqueMember2020-12-310001333986us-gaap:FairValueInputsLevel3Membersrt:MinimumMemberus-gaap:MeasurementInputUtilizationRateMembereqh:AssumedGM</w:t>
      </w:r>
      <w:r>
        <w:rPr>
          <w:rFonts w:eastAsia="Times New Roman"/>
          <w:vanish/>
        </w:rPr>
        <w:t>IBReinsuranceContractsMembereqh:DiscountedCashFlowValuationTechniqueMember2020-12-310001333986us-gaap:FairValueInputsLevel3Membersrt:MaximumMemberus-gaap:MeasurementInputUtilizationRateMembereqh:AssumedGMIBReinsuranceContractsMembereqh:DiscountedCashFlowVa</w:t>
      </w:r>
      <w:r>
        <w:rPr>
          <w:rFonts w:eastAsia="Times New Roman"/>
          <w:vanish/>
        </w:rPr>
        <w:t>luationTechniqueMember2020-12-310001333986eqh:MeasurementInputEquityVolatilityMemberus-gaap:FairValueInputsLevel3Membersrt:MinimumMembereqh:AssumedGMIBReinsuranceContractsMembereqh:DiscountedCashFlowValuationTechniqueMember2020-12-310001333986eqh:Measureme</w:t>
      </w:r>
      <w:r>
        <w:rPr>
          <w:rFonts w:eastAsia="Times New Roman"/>
          <w:vanish/>
        </w:rPr>
        <w:t>ntInputEquityVolatilityMemberus-gaap:FairValueInputsLevel3Membersrt:MaximumMembereqh:AssumedGMIBReinsuranceContractsMembereqh:DiscountedCashFlowValuationTechniqueMember2020-12-310001333986us-gaap:FairValueInputsLevel3Membereqh:MeasurementInputNonperformanc</w:t>
      </w:r>
      <w:r>
        <w:rPr>
          <w:rFonts w:eastAsia="Times New Roman"/>
          <w:vanish/>
        </w:rPr>
        <w:t>eRiskMembereqh:AssumedGMIBReinsuranceContractsMembereqh:DiscountedCashFlowValuationTechniqueMembersrt:WeightedAverageMember2020-12-310001333986us-gaap:FairValueInputsLevel3Membereqh:AssumedGMIBReinsuranceContractsMembereqh:DiscountedCashFlowValuationTechni</w:t>
      </w:r>
      <w:r>
        <w:rPr>
          <w:rFonts w:eastAsia="Times New Roman"/>
          <w:vanish/>
        </w:rPr>
        <w:t>queMembersrt:WeightedAverageMemberus-gaap:MeasurementInputLapseRateMember2020-12-310001333986us-gaap:FairValueInputsLevel3Memberus-gaap:MeasurementInputWithdrawalRateMembereqh:AssumedGMIBReinsuranceContractsMembereqh:DiscountedCashFlowValuationTechniqueMem</w:t>
      </w:r>
      <w:r>
        <w:rPr>
          <w:rFonts w:eastAsia="Times New Roman"/>
          <w:vanish/>
        </w:rPr>
        <w:t>bersrt:WeightedAverageMember2020-12-310001333986us-gaap:FairValueInputsLevel3Membereqh:AssumedGMIBReinsuranceContractsMembereqh:MeasurementInputWithdrawalRateTwoMembereqh:DiscountedCashFlowValuationTechniqueMembersrt:WeightedAverageMember2020-12-3100013339</w:t>
      </w:r>
      <w:r>
        <w:rPr>
          <w:rFonts w:eastAsia="Times New Roman"/>
          <w:vanish/>
        </w:rPr>
        <w:t>86us-gaap:FairValueInputsLevel3Memberus-gaap:MeasurementInputUtilizationRateMembereqh:AssumedGMIBReinsuranceContractsMembereqh:DiscountedCashFlowValuationTechniqueMembersrt:WeightedAverageMember2020-12-310001333986eqh:MeasurementInputEquityVolatilityMember</w:t>
      </w:r>
      <w:r>
        <w:rPr>
          <w:rFonts w:eastAsia="Times New Roman"/>
          <w:vanish/>
        </w:rPr>
        <w:t>us-gaap:FairValueInputsLevel3Membereqh:AssumedGMIBReinsuranceContractsMembereqh:DiscountedCashFlowValuationTechniqueMembersrt:WeightedAverageMember2020-12-310001333986us-gaap:FairValueInputsLevel3Membereqh:GmwbGwblMembereqh:DiscountedCashFlowValuationTechn</w:t>
      </w:r>
      <w:r>
        <w:rPr>
          <w:rFonts w:eastAsia="Times New Roman"/>
          <w:vanish/>
        </w:rPr>
        <w:t>iqueMember2020-12-310001333986us-gaap:FairValueInputsLevel3Membereqh:MeasurementInputNonperformanceRiskMembereqh:GmwbGwblMembereqh:DiscountedCashFlowValuationTechniqueMember2020-12-310001333986us-gaap:FairValueInputsLevel3Membersrt:MinimumMembereqh:GmwbGwb</w:t>
      </w:r>
      <w:r>
        <w:rPr>
          <w:rFonts w:eastAsia="Times New Roman"/>
          <w:vanish/>
        </w:rPr>
        <w:t>lMembereqh:DiscountedCashFlowValuationTechniqueMemberus-gaap:MeasurementInputLapseRateMember2020-12-310001333986us-gaap:FairValueInputsLevel3Membersrt:MaximumMembereqh:GmwbGwblMembereqh:DiscountedCashFlowValuationTechniqueMemberus-gaap:MeasurementInputLaps</w:t>
      </w:r>
      <w:r>
        <w:rPr>
          <w:rFonts w:eastAsia="Times New Roman"/>
          <w:vanish/>
        </w:rPr>
        <w:t>eRateMember2020-12-310001333986us-gaap:FairValueInputsLevel3Membersrt:MinimumMemberus-gaap:MeasurementInputWithdrawalRateMembereqh:GmwbGwblMembereqh:DiscountedCashFlowValuationTechniqueMember2020-12-310001333986us-gaap:FairValueInputsLevel3Membersrt:Maximu</w:t>
      </w:r>
      <w:r>
        <w:rPr>
          <w:rFonts w:eastAsia="Times New Roman"/>
          <w:vanish/>
        </w:rPr>
        <w:t>mMemberus-gaap:MeasurementInputWithdrawalRateMembereqh:GmwbGwblMembereqh:DiscountedCashFlowValuationTechniqueMember2020-12-310001333986us-gaap:FairValueInputsLevel3Memberus-gaap:MeasurementInputUtilizationRateMembereqh:GmwbGwblMembereqh:DiscountedCashFlowV</w:t>
      </w:r>
      <w:r>
        <w:rPr>
          <w:rFonts w:eastAsia="Times New Roman"/>
          <w:vanish/>
        </w:rPr>
        <w:t>aluationTechniqueMember2020-12-310001333986eqh:MeasurementInputEquityVolatilityMemberus-gaap:FairValueInputsLevel3Membersrt:MinimumMembereqh:GmwbGwblMembereqh:DiscountedCashFlowValuationTechniqueMember2020-12-310001333986eqh:MeasurementInputEquityVolatilit</w:t>
      </w:r>
      <w:r>
        <w:rPr>
          <w:rFonts w:eastAsia="Times New Roman"/>
          <w:vanish/>
        </w:rPr>
        <w:t>yMemberus-gaap:FairValueInputsLevel3Membersrt:MaximumMembereqh:GmwbGwblMembereqh:DiscountedCashFlowValuationTechniqueMember2020-12-310001333986us-gaap:FairValueInputsLevel3Membereqh:GmwbGwblMembereqh:DiscountedCashFlowValuationTechniqueMembersrt:WeightedAv</w:t>
      </w:r>
      <w:r>
        <w:rPr>
          <w:rFonts w:eastAsia="Times New Roman"/>
          <w:vanish/>
        </w:rPr>
        <w:t>erageMemberus-gaap:MeasurementInputLapseRateMember2020-12-310001333986us-gaap:FairValueInputsLevel3Memberus-gaap:MeasurementInputWithdrawalRateMembereqh:GmwbGwblMembereqh:DiscountedCashFlowValuationTechniqueMembersrt:WeightedAverageMember2020-12-3100013339</w:t>
      </w:r>
      <w:r>
        <w:rPr>
          <w:rFonts w:eastAsia="Times New Roman"/>
          <w:vanish/>
        </w:rPr>
        <w:t>86us-gaap:FairValueInputsLevel3Memberus-gaap:MeasurementInputUtilizationRateMembereqh:GmwbGwblMembereqh:DiscountedCashFlowValuationTechniqueMembersrt:WeightedAverageMember2020-12-310001333986us-gaap:FairValueInputsLevel3Membereqh:GuaranteedInsuranceBenefit</w:t>
      </w:r>
      <w:r>
        <w:rPr>
          <w:rFonts w:eastAsia="Times New Roman"/>
          <w:vanish/>
        </w:rPr>
        <w:t>sMembereqh:DiscountedCashFlowValuationTechniqueMember2020-12-310001333986us-gaap:FairValueInputsLevel3Membereqh:GuaranteedInsuranceBenefitsMembereqh:MeasurementInputNonperformanceRiskMembereqh:DiscountedCashFlowValuationTechniqueMember2020-12-310001333986u</w:t>
      </w:r>
      <w:r>
        <w:rPr>
          <w:rFonts w:eastAsia="Times New Roman"/>
          <w:vanish/>
        </w:rPr>
        <w:t>s-gaap:FairValueInputsLevel3Membersrt:MinimumMembereqh:GuaranteedInsuranceBenefitsMembereqh:DiscountedCashFlowValuationTechniqueMemberus-gaap:MeasurementInputLapseRateMember2020-12-310001333986us-gaap:FairValueInputsLevel3Membersrt:MaximumMembereqh:Guarant</w:t>
      </w:r>
      <w:r>
        <w:rPr>
          <w:rFonts w:eastAsia="Times New Roman"/>
          <w:vanish/>
        </w:rPr>
        <w:t>eedInsuranceBenefitsMembereqh:DiscountedCashFlowValuationTechniqueMemberus-gaap:MeasurementInputLapseRateMember2020-12-310001333986us-gaap:FairValueInputsLevel3Membersrt:MinimumMembereqh:GuaranteedInsuranceBenefitsMemberus-gaap:MeasurementInputWithdrawalRa</w:t>
      </w:r>
      <w:r>
        <w:rPr>
          <w:rFonts w:eastAsia="Times New Roman"/>
          <w:vanish/>
        </w:rPr>
        <w:t>teMembereqh:DiscountedCashFlowValuationTechniqueMember2020-12-310001333986us-gaap:FairValueInputsLevel3Membersrt:MaximumMembereqh:GuaranteedInsuranceBenefitsMemberus-gaap:MeasurementInputWithdrawalRateMembereqh:DiscountedCashFlowValuationTechniqueMember202</w:t>
      </w:r>
      <w:r>
        <w:rPr>
          <w:rFonts w:eastAsia="Times New Roman"/>
          <w:vanish/>
        </w:rPr>
        <w:t>0-12-310001333986us-gaap:FairValueInputsLevel3Membersrt:MinimumMembereqh:GuaranteedInsuranceBenefitsMemberus-gaap:MeasurementInputUtilizationRateMembereqh:DiscountedCashFlowValuationTechniqueMember2020-12-310001333986us-gaap:FairValueInputsLevel3Membersrt:</w:t>
      </w:r>
      <w:r>
        <w:rPr>
          <w:rFonts w:eastAsia="Times New Roman"/>
          <w:vanish/>
        </w:rPr>
        <w:t>MaximumMembereqh:GuaranteedInsuranceBenefitsMemberus-gaap:MeasurementInputUtilizationRateMembereqh:DiscountedCashFlowValuationTechniqueMember2020-12-310001333986eqh:MeasurementInputEquityVolatilityMemberus-gaap:FairValueInputsLevel3Membersrt:MinimumMembere</w:t>
      </w:r>
      <w:r>
        <w:rPr>
          <w:rFonts w:eastAsia="Times New Roman"/>
          <w:vanish/>
        </w:rPr>
        <w:t>qh:GuaranteedInsuranceBenefitsMembereqh:DiscountedCashFlowValuationTechniqueMember2020-12-310001333986eqh:MeasurementInputEquityVolatilityMemberus-gaap:FairValueInputsLevel3Membersrt:MaximumMembereqh:GuaranteedInsuranceBenefitsMembereqh:DiscountedCashFlowV</w:t>
      </w:r>
      <w:r>
        <w:rPr>
          <w:rFonts w:eastAsia="Times New Roman"/>
          <w:vanish/>
        </w:rPr>
        <w:t>aluationTechniqueMember2020-12-310001333986us-gaap:FairValueInputsLevel3Membereqh:GuaranteedInsuranceBenefitsMembereqh:DiscountedCashFlowValuationTechniqueMembersrt:WeightedAverageMemberus-gaap:MeasurementInputLapseRateMember2020-12-310001333986us-gaap:Fai</w:t>
      </w:r>
      <w:r>
        <w:rPr>
          <w:rFonts w:eastAsia="Times New Roman"/>
          <w:vanish/>
        </w:rPr>
        <w:t>rValueInputsLevel3Membereqh:GuaranteedInsuranceBenefitsMemberus-gaap:MeasurementInputWithdrawalRateMembereqh:DiscountedCashFlowValuationTechniqueMembersrt:WeightedAverageMember2020-12-310001333986us-gaap:FairValueInputsLevel3Membereqh:GuaranteedInsuranceBe</w:t>
      </w:r>
      <w:r>
        <w:rPr>
          <w:rFonts w:eastAsia="Times New Roman"/>
          <w:vanish/>
        </w:rPr>
        <w:t>nefitsMemberus-gaap:MeasurementInputUtilizationRateMembereqh:DiscountedCashFlowValuationTechniqueMembersrt:WeightedAverageMember2020-12-310001333986eqh:MeasurementInputEquityVolatilityMemberus-gaap:FairValueInputsLevel3Membereqh:GuaranteedInsuranceBenefits</w:t>
      </w:r>
      <w:r>
        <w:rPr>
          <w:rFonts w:eastAsia="Times New Roman"/>
          <w:vanish/>
        </w:rPr>
        <w:t>Membereqh:DiscountedCashFlowValuationTechniqueMembersrt:WeightedAverageMember2020-12-310001333986us-gaap:FairValueInputsLevel3Membereqh:GuaranteedMinimumAnnuityBenefitsMembereqh:DiscountedCashFlowValuationTechniqueMember2020-12-310001333986us-gaap:FairValu</w:t>
      </w:r>
      <w:r>
        <w:rPr>
          <w:rFonts w:eastAsia="Times New Roman"/>
          <w:vanish/>
        </w:rPr>
        <w:t>eInputsLevel3Membereqh:GuaranteedMinimumAnnuityBenefitsMembereqh:MeasurementInputNonperformanceRiskMembereqh:DiscountedCashFlowValuationTechniqueMember2020-12-310001333986us-gaap:FairValueInputsLevel3Membersrt:MinimumMembereqh:GuaranteedMinimumAnnuityBenef</w:t>
      </w:r>
      <w:r>
        <w:rPr>
          <w:rFonts w:eastAsia="Times New Roman"/>
          <w:vanish/>
        </w:rPr>
        <w:t>itsMembereqh:DiscountedCashFlowValuationTechniqueMemberus-gaap:MeasurementInputLapseRateMember2020-12-310001333986us-gaap:FairValueInputsLevel3Membersrt:MaximumMembereqh:GuaranteedMinimumAnnuityBenefitsMembereqh:DiscountedCashFlowValuationTechniqueMemberus</w:t>
      </w:r>
      <w:r>
        <w:rPr>
          <w:rFonts w:eastAsia="Times New Roman"/>
          <w:vanish/>
        </w:rPr>
        <w:t>-gaap:MeasurementInputLapseRateMember2020-12-310001333986eqh:MeasurementInputEquityVolatilityMemberus-gaap:FairValueInputsLevel3Membersrt:MinimumMembereqh:GuaranteedMinimumAnnuityBenefitsMembereqh:DiscountedCashFlowValuationTechniqueMember2020-12-310001333</w:t>
      </w:r>
      <w:r>
        <w:rPr>
          <w:rFonts w:eastAsia="Times New Roman"/>
          <w:vanish/>
        </w:rPr>
        <w:t>986eqh:MeasurementInputEquityVolatilityMemberus-gaap:FairValueInputsLevel3Membersrt:MaximumMembereqh:GuaranteedMinimumAnnuityBenefitsMembereqh:DiscountedCashFlowValuationTechniqueMember2020-12-310001333986us-gaap:FairValueInputsLevel3Membereqh:GuaranteedMi</w:t>
      </w:r>
      <w:r>
        <w:rPr>
          <w:rFonts w:eastAsia="Times New Roman"/>
          <w:vanish/>
        </w:rPr>
        <w:t>nimumAnnuityBenefitsMembereqh:DiscountedCashFlowValuationTechniqueMembersrt:WeightedAverageMemberus-gaap:MeasurementInputLapseRateMember2020-12-310001333986eqh:MeasurementInputEquityVolatilityMemberus-gaap:FairValueInputsLevel3Membereqh:GuaranteedMinimumAn</w:t>
      </w:r>
      <w:r>
        <w:rPr>
          <w:rFonts w:eastAsia="Times New Roman"/>
          <w:vanish/>
        </w:rPr>
        <w:t>nuityBenefitsMembereqh:DiscountedCashFlowValuationTechniqueMembersrt:WeightedAverageMember2020-12-310001333986us-gaap:FairValueInputsLevel3Memberus-gaap:FairValueMeasurementsNonrecurringMember2021-06-300001333986us-gaap:FairValueInputsLevel3Memberus-gaap:F</w:t>
      </w:r>
      <w:r>
        <w:rPr>
          <w:rFonts w:eastAsia="Times New Roman"/>
          <w:vanish/>
        </w:rPr>
        <w:t>airValueMeasurementsNonrecurringMember2020-12-310001333986us-gaap:CarryingReportedAmountFairValueDisclosureMember2021-06-300001333986us-gaap:EstimateOfFairValueFairValueDisclosureMemberus-gaap:FairValueInputsLevel1Member2021-06-300001333986us-gaap:FairValu</w:t>
      </w:r>
      <w:r>
        <w:rPr>
          <w:rFonts w:eastAsia="Times New Roman"/>
          <w:vanish/>
        </w:rPr>
        <w:t>eInputsLevel2Memberus-gaap:EstimateOfFairValueFairValueDisclosureMember2021-06-300001333986us-gaap:FairValueInputsLevel3Memberus-gaap:EstimateOfFairValueFairValueDisclosureMember2021-06-300001333986us-gaap:EstimateOfFairValueFairValueDisclosureMember2021-0</w:t>
      </w:r>
      <w:r>
        <w:rPr>
          <w:rFonts w:eastAsia="Times New Roman"/>
          <w:vanish/>
        </w:rPr>
        <w:t>6-300001333986us-gaap:CarryingReportedAmountFairValueDisclosureMember2020-12-310001333986us-gaap:EstimateOfFairValueFairValueDisclosureMemberus-gaap:FairValueInputsLevel1Member2020-12-310001333986us-gaap:FairValueInputsLevel2Memberus-gaap:EstimateOfFairVal</w:t>
      </w:r>
      <w:r>
        <w:rPr>
          <w:rFonts w:eastAsia="Times New Roman"/>
          <w:vanish/>
        </w:rPr>
        <w:t>ueFairValueDisclosureMember2020-12-310001333986us-gaap:FairValueInputsLevel3Memberus-gaap:EstimateOfFairValueFairValueDisclosureMember2020-12-310001333986us-gaap:EstimateOfFairValueFairValueDisclosureMember2020-12-310001333986us-gaap:PensionPlansDefinedBen</w:t>
      </w:r>
      <w:r>
        <w:rPr>
          <w:rFonts w:eastAsia="Times New Roman"/>
          <w:vanish/>
        </w:rPr>
        <w:t>efitMember2021-04-012021-06-300001333986us-gaap:PensionPlansDefinedBenefitMember2020-04-012020-06-300001333986us-gaap:PensionPlansDefinedBenefitMember2021-01-012021-06-300001333986us-gaap:PensionPlansDefinedBenefitMember2020-01-012020-06-300001333986us-gaa</w:t>
      </w:r>
      <w:r>
        <w:rPr>
          <w:rFonts w:eastAsia="Times New Roman"/>
          <w:vanish/>
        </w:rPr>
        <w:t>p:SeriesAPreferredStockMember2021-06-300001333986us-gaap:SeriesAPreferredStockMember2020-12-310001333986us-gaap:SeriesBPreferredStockMember2021-06-300001333986us-gaap:SeriesBPreferredStockMember2020-12-310001333986us-gaap:SeriesCPreferredStockMember2021-06</w:t>
      </w:r>
      <w:r>
        <w:rPr>
          <w:rFonts w:eastAsia="Times New Roman"/>
          <w:vanish/>
        </w:rPr>
        <w:t>-300001333986us-gaap:SeriesCPreferredStockMember2020-12-310001333986us-gaap:SeriesCPreferredStockMember2021-01-082021-01-080001333986us-gaap:SeriesCPreferredStockMember2021-01-080001333986us-gaap:SeriesAPreferredStockMember2021-04-012021-06-300001333986us-</w:t>
      </w:r>
      <w:r>
        <w:rPr>
          <w:rFonts w:eastAsia="Times New Roman"/>
          <w:vanish/>
        </w:rPr>
        <w:t>gaap:SeriesAPreferredStockMember2020-04-012020-06-300001333986us-gaap:SeriesAPreferredStockMember2020-01-012020-06-300001333986us-gaap:SeriesBPreferredStockMember2021-04-012021-06-300001333986us-gaap:SeriesBPreferredStockMember2020-04-012020-06-30000133398</w:t>
      </w:r>
      <w:r>
        <w:rPr>
          <w:rFonts w:eastAsia="Times New Roman"/>
          <w:vanish/>
        </w:rPr>
        <w:t>6us-gaap:SeriesBPreferredStockMember2021-01-012021-06-300001333986us-gaap:SeriesBPreferredStockMember2020-01-012020-06-300001333986us-gaap:SeriesCPreferredStockMember2021-04-012021-06-300001333986us-gaap:SeriesCPreferredStockMember2020-04-012020-06-3000013</w:t>
      </w:r>
      <w:r>
        <w:rPr>
          <w:rFonts w:eastAsia="Times New Roman"/>
          <w:vanish/>
        </w:rPr>
        <w:t>33986us-gaap:SeriesCPreferredStockMember2020-01-012020-06-3000013339862019-11-0600013339862020-02-260001333986eqh:VenerableMember2020-10-2300013339862021-02-170001333986eqh:VenerableMember2021-06-300001333986eqh:AcceleratedShareRepurchaseAgreementMember202</w:t>
      </w:r>
      <w:r>
        <w:rPr>
          <w:rFonts w:eastAsia="Times New Roman"/>
          <w:vanish/>
        </w:rPr>
        <w:t>1-04-012021-06-300001333986eqh:AcceleratedShareRepurchaseAgreementMember2021-01-012021-06-300001333986eqh:AcceleratedShareRepurchaseAgreementJanuary2021Member2021-01-310001333986eqh:AcceleratedShareRepurchaseAgreementJanuary2021Member2021-01-012021-03-3100</w:t>
      </w:r>
      <w:r>
        <w:rPr>
          <w:rFonts w:eastAsia="Times New Roman"/>
          <w:vanish/>
        </w:rPr>
        <w:t>01333986eqh:AcceleratedShareRepurchaseAgreementMarch2021Member2021-03-310001333986eqh:AcceleratedShareRepurchaseAgreementMarch2021Member2021-03-012021-03-310001333986eqh:AcceleratedShareRepurchaseAgreementMarch2021Member2021-05-012021-05-310001333986eqh:Ac</w:t>
      </w:r>
      <w:r>
        <w:rPr>
          <w:rFonts w:eastAsia="Times New Roman"/>
          <w:vanish/>
        </w:rPr>
        <w:t>celeratedShareRepurchaseAgreementJune2021Member2021-06-300001333986eqh:AcceleratedShareRepurchaseAgreementJune2021Memberus-gaap:SubsequentEventMember2021-07-020001333986us-gaap:AccumulatedNetUnrealizedInvestmentGainLossMember2021-06-300001333986us-gaap:Acc</w:t>
      </w:r>
      <w:r>
        <w:rPr>
          <w:rFonts w:eastAsia="Times New Roman"/>
          <w:vanish/>
        </w:rPr>
        <w:t>umulatedNetUnrealizedInvestmentGainLossMember2020-12-310001333986eqh:BrachFamilyFoundationLitigationMember2016-02-29eqh:federalAction0001333986eqh:EquitableFinancialMember2016-02-29eqh:legalAction0001333986eqh:EquitableFinancialMemberstpr:NY2016-02-29eqh:s</w:t>
      </w:r>
      <w:r>
        <w:rPr>
          <w:rFonts w:eastAsia="Times New Roman"/>
          <w:vanish/>
        </w:rPr>
        <w:t>aleAndDisclosurePractice0001333986eqh:PreCapitalizedTrustSecuritiesTrancheOneMember2019-04-012019-04-300001333986eqh:PreCapitalizedTrustSecuritiesTrancheTwoMember2019-04-012019-04-300001333986eqh:ShortTermFundingAgreementsMaturingInLessThanOneYearMemberus-</w:t>
      </w:r>
      <w:r>
        <w:rPr>
          <w:rFonts w:eastAsia="Times New Roman"/>
          <w:vanish/>
        </w:rPr>
        <w:t>gaap:FederalHomeLoanBankCertificatesAndObligationsFHLBMember2020-12-310001333986eqh:ShortTermFundingAgreementsMaturingInLessThanOneYearMemberus-gaap:FederalHomeLoanBankCertificatesAndObligationsFHLBMember2021-01-012021-06-300001333986eqh:ShortTermFundingAg</w:t>
      </w:r>
      <w:r>
        <w:rPr>
          <w:rFonts w:eastAsia="Times New Roman"/>
          <w:vanish/>
        </w:rPr>
        <w:t>reementsMaturingInLessThanOneYearMemberus-gaap:FederalHomeLoanBankCertificatesAndObligationsFHLBMember2021-06-300001333986eqh:LongTermFundingAgreementsMaturingBetweenTwoAndFiveYearsMemberus-gaap:FederalHomeLoanBankCertificatesAndObligationsFHLBMember2020-1</w:t>
      </w:r>
      <w:r>
        <w:rPr>
          <w:rFonts w:eastAsia="Times New Roman"/>
          <w:vanish/>
        </w:rPr>
        <w:t>2-310001333986eqh:LongTermFundingAgreementsMaturingBetweenTwoAndFiveYearsMemberus-gaap:FederalHomeLoanBankCertificatesAndObligationsFHLBMember2021-01-012021-06-300001333986eqh:LongTermFundingAgreementsMaturingBetweenTwoAndFiveYearsMemberus-gaap:FederalHome</w:t>
      </w:r>
      <w:r>
        <w:rPr>
          <w:rFonts w:eastAsia="Times New Roman"/>
          <w:vanish/>
        </w:rPr>
        <w:t>LoanBankCertificatesAndObligationsFHLBMember2021-06-300001333986eqh:LongTermFundingAgreementsMaturingInGreaterThanFiveYearsMemberus-gaap:FederalHomeLoanBankCertificatesAndObligationsFHLBMember2020-12-310001333986eqh:LongTermFundingAgreementsMaturingInGreat</w:t>
      </w:r>
      <w:r>
        <w:rPr>
          <w:rFonts w:eastAsia="Times New Roman"/>
          <w:vanish/>
        </w:rPr>
        <w:t>erThanFiveYearsMemberus-gaap:FederalHomeLoanBankCertificatesAndObligationsFHLBMember2021-01-012021-06-300001333986eqh:LongTermFundingAgreementsMaturingInGreaterThanFiveYearsMemberus-gaap:FederalHomeLoanBankCertificatesAndObligationsFHLBMember2021-06-300001</w:t>
      </w:r>
      <w:r>
        <w:rPr>
          <w:rFonts w:eastAsia="Times New Roman"/>
          <w:vanish/>
        </w:rPr>
        <w:t>333986eqh:LongTermFundingAgreementsMemberus-gaap:FederalHomeLoanBankCertificatesAndObligationsFHLBMember2020-12-310001333986eqh:LongTermFundingAgreementsMemberus-gaap:FederalHomeLoanBankCertificatesAndObligationsFHLBMember2021-01-012021-06-300001333986eqh:</w:t>
      </w:r>
      <w:r>
        <w:rPr>
          <w:rFonts w:eastAsia="Times New Roman"/>
          <w:vanish/>
        </w:rPr>
        <w:t>LongTermFundingAgreementsMemberus-gaap:FederalHomeLoanBankCertificatesAndObligationsFHLBMember2021-06-300001333986us-gaap:FederalHomeLoanBankCertificatesAndObligationsFHLBMember2020-12-310001333986us-gaap:FederalHomeLoanBankCertificatesAndObligationsFHLBMe</w:t>
      </w:r>
      <w:r>
        <w:rPr>
          <w:rFonts w:eastAsia="Times New Roman"/>
          <w:vanish/>
        </w:rPr>
        <w:t>mber2021-01-012021-06-300001333986us-gaap:FederalHomeLoanBankCertificatesAndObligationsFHLBMember2021-06-300001333986eqh:TrustNotesMember2021-05-310001333986eqh:FundingAgreementBackedNotesProgramFABNMembereqh:ShortTermFundingAgreementsMaturingInLessThanOne</w:t>
      </w:r>
      <w:r>
        <w:rPr>
          <w:rFonts w:eastAsia="Times New Roman"/>
          <w:vanish/>
        </w:rPr>
        <w:t>YearMember2020-12-310001333986eqh:FundingAgreementBackedNotesProgramFABNMembereqh:ShortTermFundingAgreementsMaturingInLessThanOneYearMember2021-01-012021-06-300001333986eqh:FundingAgreementBackedNotesProgramFABNMembereqh:ShortTermFundingAgreementsMaturingI</w:t>
      </w:r>
      <w:r>
        <w:rPr>
          <w:rFonts w:eastAsia="Times New Roman"/>
          <w:vanish/>
        </w:rPr>
        <w:t>nLessThanOneYearMember2021-06-300001333986eqh:LongTermFundingAgreementsMaturingBetweenTwoAndFiveYearsMembereqh:FundingAgreementBackedNotesProgramFABNMember2020-12-310001333986eqh:LongTermFundingAgreementsMaturingBetweenTwoAndFiveYearsMembereqh:FundingAgree</w:t>
      </w:r>
      <w:r>
        <w:rPr>
          <w:rFonts w:eastAsia="Times New Roman"/>
          <w:vanish/>
        </w:rPr>
        <w:t>mentBackedNotesProgramFABNMember2021-01-012021-06-300001333986eqh:LongTermFundingAgreementsMaturingBetweenTwoAndFiveYearsMembereqh:FundingAgreementBackedNotesProgramFABNMember2021-06-300001333986eqh:LongTermFundingAgreementsMaturingInGreaterThanFiveYearsMe</w:t>
      </w:r>
      <w:r>
        <w:rPr>
          <w:rFonts w:eastAsia="Times New Roman"/>
          <w:vanish/>
        </w:rPr>
        <w:t>mbereqh:FundingAgreementBackedNotesProgramFABNMember2020-12-310001333986eqh:LongTermFundingAgreementsMaturingInGreaterThanFiveYearsMembereqh:FundingAgreementBackedNotesProgramFABNMember2021-01-012021-06-300001333986eqh:LongTermFundingAgreementsMaturingInGr</w:t>
      </w:r>
      <w:r>
        <w:rPr>
          <w:rFonts w:eastAsia="Times New Roman"/>
          <w:vanish/>
        </w:rPr>
        <w:t>eaterThanFiveYearsMembereqh:FundingAgreementBackedNotesProgramFABNMember2021-06-300001333986eqh:FundingAgreementBackedNotesProgramFABNMembereqh:LongTermFundingAgreementsMember2020-12-310001333986eqh:FundingAgreementBackedNotesProgramFABNMembereqh:LongTermF</w:t>
      </w:r>
      <w:r>
        <w:rPr>
          <w:rFonts w:eastAsia="Times New Roman"/>
          <w:vanish/>
        </w:rPr>
        <w:t>undingAgreementsMember2021-01-012021-06-300001333986eqh:FundingAgreementBackedNotesProgramFABNMembereqh:LongTermFundingAgreementsMember2021-06-300001333986eqh:FundingAgreementBackedNotesProgramFABNMember2020-12-310001333986eqh:FundingAgreementBackedNotesPr</w:t>
      </w:r>
      <w:r>
        <w:rPr>
          <w:rFonts w:eastAsia="Times New Roman"/>
          <w:vanish/>
        </w:rPr>
        <w:t>ogramFABNMember2021-01-012021-06-300001333986eqh:FundingAgreementBackedNotesProgramFABNMember2021-06-300001333986eqh:HoldingsRevolvingCreditFacilityMemberus-gaap:RevolvingCreditFacilityMember2018-02-280001333986eqh:HoldingsRevolvingCreditFacilityMemberus-g</w:t>
      </w:r>
      <w:r>
        <w:rPr>
          <w:rFonts w:eastAsia="Times New Roman"/>
          <w:vanish/>
        </w:rPr>
        <w:t>aap:RevolvingCreditFacilityMember2018-02-012018-02-280001333986eqh:HoldingsRevolvingCreditFacilityMembereqh:RevolvingCreditFacilityAmendedMember2021-06-300001333986eqh:HoldingsRevolvingCreditFacilityMemberus-gaap:LetterOfCreditMember2018-02-280001333986eqh</w:t>
      </w:r>
      <w:r>
        <w:rPr>
          <w:rFonts w:eastAsia="Times New Roman"/>
          <w:vanish/>
        </w:rPr>
        <w:t>:HoldingsRevolvingCreditFacilityMembereqh:EquitableLifeInsuranceCoMemberus-gaap:LetterOfCreditMember2021-06-300001333986eqh:BilateralLetterOfCreditFacilitiesMemberus-gaap:LetterOfCreditMember2018-02-280001333986srt:AffiliatedEntityMember2021-06-30000133398</w:t>
      </w:r>
      <w:r>
        <w:rPr>
          <w:rFonts w:eastAsia="Times New Roman"/>
          <w:vanish/>
        </w:rPr>
        <w:t>6us-gaap:RevolvingCreditFacilityMember2021-06-300001333986us-gaap:MaterialReconcilingItemsMember2021-04-012021-06-300001333986us-gaap:MaterialReconcilingItemsMember2020-04-012020-06-300001333986us-gaap:MaterialReconcilingItemsMember2021-01-012021-06-300001</w:t>
      </w:r>
      <w:r>
        <w:rPr>
          <w:rFonts w:eastAsia="Times New Roman"/>
          <w:vanish/>
        </w:rPr>
        <w:t>333986us-gaap:MaterialReconcilingItemsMember2020-01-012020-06-300001333986us-gaap:OperatingSegmentsMembereqh:IndividualRetirementMember2021-04-012021-06-300001333986us-gaap:OperatingSegmentsMembereqh:IndividualRetirementMember2020-04-012020-06-300001333986</w:t>
      </w:r>
      <w:r>
        <w:rPr>
          <w:rFonts w:eastAsia="Times New Roman"/>
          <w:vanish/>
        </w:rPr>
        <w:t>us-gaap:OperatingSegmentsMembereqh:IndividualRetirementMember2021-01-012021-06-300001333986us-gaap:OperatingSegmentsMembereqh:IndividualRetirementMember2020-01-012020-06-300001333986us-gaap:OperatingSegmentsMembereqh:GroupRetirementMember2021-04-012021-06-</w:t>
      </w:r>
      <w:r>
        <w:rPr>
          <w:rFonts w:eastAsia="Times New Roman"/>
          <w:vanish/>
        </w:rPr>
        <w:t>300001333986us-gaap:OperatingSegmentsMembereqh:GroupRetirementMember2020-04-012020-06-300001333986us-gaap:OperatingSegmentsMembereqh:GroupRetirementMember2021-01-012021-06-300001333986us-gaap:OperatingSegmentsMembereqh:GroupRetirementMember2020-01-012020-0</w:t>
      </w:r>
      <w:r>
        <w:rPr>
          <w:rFonts w:eastAsia="Times New Roman"/>
          <w:vanish/>
        </w:rPr>
        <w:t>6-300001333986us-gaap:OperatingSegmentsMembereqh:InvestmentManagementAndResearchMember2021-04-012021-06-300001333986us-gaap:OperatingSegmentsMembereqh:InvestmentManagementAndResearchMember2020-04-012020-06-300001333986us-gaap:OperatingSegmentsMembereqh:Inv</w:t>
      </w:r>
      <w:r>
        <w:rPr>
          <w:rFonts w:eastAsia="Times New Roman"/>
          <w:vanish/>
        </w:rPr>
        <w:t>estmentManagementAndResearchMember2021-01-012021-06-300001333986us-gaap:OperatingSegmentsMembereqh:InvestmentManagementAndResearchMember2020-01-012020-06-300001333986us-gaap:OperatingSegmentsMembereqh:ProtectionSolutionsMember2021-04-012021-06-300001333986</w:t>
      </w:r>
      <w:r>
        <w:rPr>
          <w:rFonts w:eastAsia="Times New Roman"/>
          <w:vanish/>
        </w:rPr>
        <w:t>us-gaap:OperatingSegmentsMembereqh:ProtectionSolutionsMember2020-04-012020-06-300001333986us-gaap:OperatingSegmentsMembereqh:ProtectionSolutionsMember2021-01-012021-06-300001333986us-gaap:OperatingSegmentsMembereqh:ProtectionSolutionsMember2020-01-012020-0</w:t>
      </w:r>
      <w:r>
        <w:rPr>
          <w:rFonts w:eastAsia="Times New Roman"/>
          <w:vanish/>
        </w:rPr>
        <w:t>6-300001333986us-gaap:CorporateNonSegmentMember2021-04-012021-06-300001333986us-gaap:CorporateNonSegmentMember2020-04-012020-06-300001333986us-gaap:CorporateNonSegmentMember2021-01-012021-06-300001333986us-gaap:CorporateNonSegmentMember2020-01-012020-06-30</w:t>
      </w:r>
      <w:r>
        <w:rPr>
          <w:rFonts w:eastAsia="Times New Roman"/>
          <w:vanish/>
        </w:rPr>
        <w:t>0001333986us-gaap:MaterialReconcilingItemsMember2020-01-012020-03-310001333986us-gaap:IntersegmentEliminationMember2021-04-012021-06-300001333986us-gaap:IntersegmentEliminationMember2020-04-012020-06-300001333986us-gaap:IntersegmentEliminationMember2021-01</w:t>
      </w:r>
      <w:r>
        <w:rPr>
          <w:rFonts w:eastAsia="Times New Roman"/>
          <w:vanish/>
        </w:rPr>
        <w:t>-012021-06-300001333986us-gaap:IntersegmentEliminationMember2020-01-012020-06-300001333986us-gaap:InvestmentAdviceMemberus-gaap:IntersegmentEliminationMember2021-04-012021-06-300001333986us-gaap:InvestmentAdviceMemberus-gaap:IntersegmentEliminationMember20</w:t>
      </w:r>
      <w:r>
        <w:rPr>
          <w:rFonts w:eastAsia="Times New Roman"/>
          <w:vanish/>
        </w:rPr>
        <w:t>20-04-012020-06-300001333986us-gaap:InvestmentAdviceMemberus-gaap:IntersegmentEliminationMember2021-01-012021-06-300001333986us-gaap:InvestmentAdviceMemberus-gaap:IntersegmentEliminationMember2020-01-012020-06-300001333986us-gaap:OperatingSegmentsMembereqh</w:t>
      </w:r>
      <w:r>
        <w:rPr>
          <w:rFonts w:eastAsia="Times New Roman"/>
          <w:vanish/>
        </w:rPr>
        <w:t>:IndividualRetirementMember2021-06-300001333986us-gaap:OperatingSegmentsMembereqh:IndividualRetirementMember2020-12-310001333986us-gaap:OperatingSegmentsMembereqh:GroupRetirementMember2021-06-300001333986us-gaap:OperatingSegmentsMembereqh:GroupRetirementMe</w:t>
      </w:r>
      <w:r>
        <w:rPr>
          <w:rFonts w:eastAsia="Times New Roman"/>
          <w:vanish/>
        </w:rPr>
        <w:t>mber2020-12-310001333986us-gaap:OperatingSegmentsMembereqh:InvestmentManagementAndResearchMember2021-06-300001333986us-gaap:OperatingSegmentsMembereqh:InvestmentManagementAndResearchMember2020-12-310001333986us-gaap:OperatingSegmentsMembereqh:ProtectionSol</w:t>
      </w:r>
      <w:r>
        <w:rPr>
          <w:rFonts w:eastAsia="Times New Roman"/>
          <w:vanish/>
        </w:rPr>
        <w:t>utionsMember2021-06-300001333986us-gaap:OperatingSegmentsMembereqh:ProtectionSolutionsMember2020-12-310001333986us-gaap:CorporateNonSegmentMember2021-06-300001333986us-gaap:CorporateNonSegmentMember2020-12-310001333986us-gaap:DisposalGroupHeldForSaleOrDisp</w:t>
      </w:r>
      <w:r>
        <w:rPr>
          <w:rFonts w:eastAsia="Times New Roman"/>
          <w:vanish/>
        </w:rPr>
        <w:t>osedOfBySaleNotDiscontinuedOperationsMembereqh:CorporateSolutionsLifeReinsuranceCompanyMember2020-01-012020-12-310001333986us-gaap:DisposalGroupHeldForSaleOrDisposedOfBySaleNotDiscontinuedOperationsMembereqh:CorporateSolutionsLifeReinsuranceCompanyMember20</w:t>
      </w:r>
      <w:r>
        <w:rPr>
          <w:rFonts w:eastAsia="Times New Roman"/>
          <w:vanish/>
        </w:rPr>
        <w:t>21-06-012021-06-010001333986us-gaap:DisposalGroupHeldForSaleOrDisposedOfBySaleNotDiscontinuedOperationsMembereqh:CorporateSolutionsLifeReinsuranceCompanyMember2021-01-012021-06-300001333986us-gaap:DisposalGroupHeldForSaleOrDisposedOfBySaleNotDiscontinuedOp</w:t>
      </w:r>
      <w:r>
        <w:rPr>
          <w:rFonts w:eastAsia="Times New Roman"/>
          <w:vanish/>
        </w:rPr>
        <w:t>erationsMembereqh:CorporateSolutionsLifeReinsuranceCompanyMember2020-12-310001333986srt:ScenarioPreviouslyReportedMember2020-06-300001333986srt:RestatementAdjustmentMember2020-06-300001333986srt:ScenarioPreviouslyReportedMember2020-04-012020-06-30000133398</w:t>
      </w:r>
      <w:r>
        <w:rPr>
          <w:rFonts w:eastAsia="Times New Roman"/>
          <w:vanish/>
        </w:rPr>
        <w:t>6srt:RestatementAdjustmentMember2020-04-012020-06-300001333986srt:ScenarioPreviouslyReportedMember2020-01-012020-06-300001333986srt:RestatementAdjustmentMember2020-01-012020-06-300001333986us-gaap:RetainedEarningsMembersrt:ScenarioPreviouslyReportedMember2</w:t>
      </w:r>
      <w:r>
        <w:rPr>
          <w:rFonts w:eastAsia="Times New Roman"/>
          <w:vanish/>
        </w:rPr>
        <w:t>020-03-310001333986us-gaap:RetainedEarningsMembersrt:RestatementAdjustmentMember2020-03-310001333986us-gaap:RetainedEarningsMembersrt:ScenarioPreviouslyReportedMember2019-12-310001333986us-gaap:RetainedEarningsMembersrt:RestatementAdjustmentMember2019-12-3</w:t>
      </w:r>
      <w:r>
        <w:rPr>
          <w:rFonts w:eastAsia="Times New Roman"/>
          <w:vanish/>
        </w:rPr>
        <w:t>10001333986us-gaap:RetainedEarningsMembersrt:ScenarioPreviouslyReportedMember2020-04-012020-06-300001333986us-gaap:RetainedEarningsMembersrt:RestatementAdjustmentMember2020-04-012020-06-300001333986us-gaap:RetainedEarningsMembersrt:ScenarioPreviouslyReport</w:t>
      </w:r>
      <w:r>
        <w:rPr>
          <w:rFonts w:eastAsia="Times New Roman"/>
          <w:vanish/>
        </w:rPr>
        <w:t>edMember2020-01-012020-06-300001333986us-gaap:RetainedEarningsMembersrt:RestatementAdjustmentMember2020-01-012020-06-300001333986us-gaap:RetainedEarningsMembersrt:ScenarioPreviouslyReportedMember2020-06-300001333986us-gaap:RetainedEarningsMembersrt:Restate</w:t>
      </w:r>
      <w:r>
        <w:rPr>
          <w:rFonts w:eastAsia="Times New Roman"/>
          <w:vanish/>
        </w:rPr>
        <w:t>mentAdjustmentMember2020-06-300001333986us-gaap:ParentMembersrt:ScenarioPreviouslyReportedMember2020-06-300001333986us-gaap:ParentMembersrt:RestatementAdjustmentMember2020-06-300001333986eqh:FundingAgreementBackedNotesProgramFABNMembereqh:SustainableFinanc</w:t>
      </w:r>
      <w:r>
        <w:rPr>
          <w:rFonts w:eastAsia="Times New Roman"/>
          <w:vanish/>
        </w:rPr>
        <w:t>ingMembereqh:EquitableFinancialLifeGlobalFundingMemberus-gaap:SubsequentEventMember2021-07-12</w:t>
      </w:r>
    </w:p>
    <w:p w:rsidR="00000000" w:rsidRDefault="00897B14">
      <w:pPr>
        <w:divId w:val="114701331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rPr>
          <w:rFonts w:eastAsia="Times New Roman"/>
        </w:rPr>
      </w:pPr>
      <w:r>
        <w:rPr>
          <w:rFonts w:eastAsia="Times New Roman"/>
          <w:b/>
          <w:bCs/>
          <w:color w:val="000000"/>
        </w:rPr>
        <w:t>UNITED STATES</w:t>
      </w:r>
    </w:p>
    <w:p w:rsidR="00000000" w:rsidRDefault="00897B14">
      <w:pPr>
        <w:jc w:val="center"/>
        <w:rPr>
          <w:rFonts w:eastAsia="Times New Roman"/>
        </w:rPr>
      </w:pPr>
      <w:r>
        <w:rPr>
          <w:rFonts w:eastAsia="Times New Roman"/>
          <w:b/>
          <w:bCs/>
          <w:color w:val="000000"/>
        </w:rPr>
        <w:t>SECURITIES AND EXCHANGE COMMISSION</w:t>
      </w:r>
    </w:p>
    <w:p w:rsidR="00000000" w:rsidRDefault="00897B14">
      <w:pPr>
        <w:jc w:val="center"/>
        <w:rPr>
          <w:rFonts w:eastAsia="Times New Roman"/>
        </w:rPr>
      </w:pPr>
      <w:r>
        <w:rPr>
          <w:rFonts w:eastAsia="Times New Roman"/>
          <w:b/>
          <w:bCs/>
          <w:color w:val="000000"/>
        </w:rPr>
        <w:t>Washington, D.C. 20549</w:t>
      </w:r>
    </w:p>
    <w:p w:rsidR="00000000" w:rsidRDefault="00897B14">
      <w:pPr>
        <w:jc w:val="center"/>
        <w:rPr>
          <w:rFonts w:eastAsia="Times New Roman"/>
        </w:rPr>
      </w:pPr>
      <w:r>
        <w:rPr>
          <w:rFonts w:eastAsia="Times New Roman"/>
          <w:b/>
          <w:bCs/>
          <w:color w:val="000000"/>
          <w:sz w:val="18"/>
          <w:szCs w:val="18"/>
        </w:rPr>
        <w:t>—————————————</w:t>
      </w:r>
      <w:r>
        <w:rPr>
          <w:rFonts w:eastAsia="Times New Roman"/>
          <w:b/>
          <w:bCs/>
          <w:color w:val="000000"/>
          <w:sz w:val="18"/>
          <w:szCs w:val="18"/>
        </w:rPr>
        <w:t>——</w:t>
      </w:r>
    </w:p>
    <w:p w:rsidR="00000000" w:rsidRDefault="00897B14">
      <w:pPr>
        <w:jc w:val="center"/>
        <w:rPr>
          <w:rFonts w:eastAsia="Times New Roman"/>
        </w:rPr>
      </w:pPr>
      <w:r>
        <w:rPr>
          <w:rFonts w:eastAsia="Times New Roman"/>
          <w:b/>
          <w:bCs/>
          <w:color w:val="00000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778215723"/>
          <w:jc w:val="center"/>
        </w:trPr>
        <w:tc>
          <w:tcPr>
            <w:tcW w:w="50" w:type="pct"/>
            <w:vAlign w:val="center"/>
            <w:hideMark/>
          </w:tcPr>
          <w:p w:rsidR="00000000" w:rsidRDefault="00897B14">
            <w:pPr>
              <w:jc w:val="center"/>
              <w:rPr>
                <w:rFonts w:eastAsia="Times New Roman"/>
              </w:rPr>
            </w:pPr>
          </w:p>
        </w:tc>
        <w:tc>
          <w:tcPr>
            <w:tcW w:w="1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778215723"/>
          <w:jc w:val="center"/>
        </w:trPr>
        <w:tc>
          <w:tcPr>
            <w:tcW w:w="0" w:type="auto"/>
            <w:gridSpan w:val="3"/>
            <w:tcMar>
              <w:top w:w="30" w:type="dxa"/>
              <w:left w:w="20" w:type="dxa"/>
              <w:bottom w:w="30" w:type="dxa"/>
              <w:right w:w="20" w:type="dxa"/>
            </w:tcMar>
            <w:hideMark/>
          </w:tcPr>
          <w:p w:rsidR="00000000" w:rsidRDefault="00897B14">
            <w:pPr>
              <w:spacing w:after="100"/>
              <w:jc w:val="center"/>
              <w:divId w:val="1755318183"/>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b/>
                <w:bCs/>
                <w:color w:val="000000"/>
                <w:sz w:val="18"/>
                <w:szCs w:val="18"/>
              </w:rPr>
              <w:t>QUARTERLY REPORT PURSUANT TO SECTION 13 OR 15(d) OF THE SECURITIES EXCHANGE ACT OF 1934</w:t>
            </w:r>
          </w:p>
        </w:tc>
      </w:tr>
    </w:tbl>
    <w:p w:rsidR="00000000" w:rsidRDefault="00897B14">
      <w:pPr>
        <w:jc w:val="center"/>
        <w:divId w:val="1798259278"/>
        <w:rPr>
          <w:rFonts w:eastAsia="Times New Roman"/>
        </w:rPr>
      </w:pPr>
      <w:r>
        <w:rPr>
          <w:rFonts w:eastAsia="Times New Roman"/>
          <w:b/>
          <w:bCs/>
          <w:color w:val="000000"/>
          <w:sz w:val="18"/>
          <w:szCs w:val="18"/>
        </w:rPr>
        <w:t>For the quarterly period ended June 30, 2021 </w:t>
      </w:r>
    </w:p>
    <w:p w:rsidR="00000000" w:rsidRDefault="00897B14">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2002080596"/>
          <w:jc w:val="center"/>
        </w:trPr>
        <w:tc>
          <w:tcPr>
            <w:tcW w:w="50" w:type="pct"/>
            <w:vAlign w:val="center"/>
            <w:hideMark/>
          </w:tcPr>
          <w:p w:rsidR="00000000" w:rsidRDefault="00897B14">
            <w:pPr>
              <w:jc w:val="center"/>
              <w:rPr>
                <w:rFonts w:eastAsia="Times New Roman"/>
              </w:rPr>
            </w:pPr>
          </w:p>
        </w:tc>
        <w:tc>
          <w:tcPr>
            <w:tcW w:w="1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2002080596"/>
          <w:jc w:val="center"/>
        </w:trPr>
        <w:tc>
          <w:tcPr>
            <w:tcW w:w="0" w:type="auto"/>
            <w:gridSpan w:val="3"/>
            <w:tcMar>
              <w:top w:w="30" w:type="dxa"/>
              <w:left w:w="20" w:type="dxa"/>
              <w:bottom w:w="30" w:type="dxa"/>
              <w:right w:w="20" w:type="dxa"/>
            </w:tcMar>
            <w:hideMark/>
          </w:tcPr>
          <w:p w:rsidR="00000000" w:rsidRDefault="00897B14">
            <w:pPr>
              <w:spacing w:after="100"/>
              <w:jc w:val="center"/>
              <w:divId w:val="131552717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897B14">
      <w:pPr>
        <w:jc w:val="center"/>
        <w:divId w:val="1833833665"/>
        <w:rPr>
          <w:rFonts w:eastAsia="Times New Roman"/>
        </w:rPr>
      </w:pPr>
      <w:r>
        <w:rPr>
          <w:rFonts w:eastAsia="Times New Roman"/>
          <w:b/>
          <w:bCs/>
          <w:color w:val="000000"/>
          <w:sz w:val="18"/>
          <w:szCs w:val="18"/>
        </w:rPr>
        <w:t>For the transition period from              to</w:t>
      </w:r>
    </w:p>
    <w:p w:rsidR="00000000" w:rsidRDefault="00897B14">
      <w:pPr>
        <w:jc w:val="center"/>
        <w:divId w:val="1021397314"/>
        <w:rPr>
          <w:rFonts w:eastAsia="Times New Roman"/>
        </w:rPr>
      </w:pPr>
      <w:r>
        <w:rPr>
          <w:rFonts w:eastAsia="Times New Roman"/>
          <w:b/>
          <w:bCs/>
          <w:color w:val="000000"/>
          <w:sz w:val="20"/>
          <w:szCs w:val="20"/>
        </w:rPr>
        <w:t>Commission File No. 001-38469</w:t>
      </w:r>
    </w:p>
    <w:p w:rsidR="00000000" w:rsidRDefault="00897B14">
      <w:pPr>
        <w:jc w:val="center"/>
        <w:divId w:val="2000695814"/>
        <w:rPr>
          <w:rFonts w:eastAsia="Times New Roman"/>
        </w:rPr>
      </w:pPr>
      <w:r>
        <w:rPr>
          <w:rFonts w:eastAsia="Times New Roman"/>
          <w:b/>
          <w:bCs/>
          <w:color w:val="000000"/>
          <w:sz w:val="18"/>
          <w:szCs w:val="18"/>
        </w:rPr>
        <w:t>————————————————</w:t>
      </w:r>
    </w:p>
    <w:p w:rsidR="00000000" w:rsidRDefault="00897B14">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97B14">
      <w:pPr>
        <w:jc w:val="center"/>
        <w:rPr>
          <w:rFonts w:eastAsia="Times New Roman"/>
        </w:rPr>
      </w:pPr>
      <w:r>
        <w:rPr>
          <w:rFonts w:eastAsia="Times New Roman"/>
          <w:b/>
          <w:bCs/>
          <w:color w:val="000000"/>
          <w:sz w:val="36"/>
          <w:szCs w:val="36"/>
        </w:rPr>
        <w:t>Equitable</w:t>
      </w:r>
      <w:r>
        <w:rPr>
          <w:rFonts w:eastAsia="Times New Roman"/>
          <w:b/>
          <w:bCs/>
          <w:color w:val="000000"/>
          <w:sz w:val="36"/>
          <w:szCs w:val="36"/>
        </w:rPr>
        <w:t xml:space="preserve"> Holdings, Inc.</w:t>
      </w:r>
      <w:r>
        <w:rPr>
          <w:rFonts w:eastAsia="Times New Roman"/>
          <w:b/>
          <w:bCs/>
          <w:color w:val="000000"/>
          <w:sz w:val="44"/>
          <w:szCs w:val="44"/>
        </w:rPr>
        <w:t xml:space="preserve"> </w:t>
      </w:r>
    </w:p>
    <w:p w:rsidR="00000000" w:rsidRDefault="00897B14">
      <w:pPr>
        <w:jc w:val="center"/>
        <w:divId w:val="726338656"/>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48892343"/>
        </w:trPr>
        <w:tc>
          <w:tcPr>
            <w:tcW w:w="50" w:type="pct"/>
            <w:vAlign w:val="center"/>
            <w:hideMark/>
          </w:tcPr>
          <w:p w:rsidR="00000000" w:rsidRDefault="00897B14">
            <w:pPr>
              <w:jc w:val="center"/>
              <w:rPr>
                <w:rFonts w:eastAsia="Times New Roman"/>
              </w:rPr>
            </w:pPr>
          </w:p>
        </w:tc>
        <w:tc>
          <w:tcPr>
            <w:tcW w:w="24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3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48892343"/>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90-0226248</w:t>
            </w:r>
          </w:p>
        </w:tc>
      </w:tr>
      <w:tr w:rsidR="00000000">
        <w:trPr>
          <w:divId w:val="48892343"/>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(I.R.S. Employer Identification No.)</w:t>
            </w:r>
          </w:p>
        </w:tc>
      </w:tr>
    </w:tbl>
    <w:p w:rsidR="00000000" w:rsidRDefault="00897B14">
      <w:pPr>
        <w:divId w:val="1139029126"/>
        <w:rPr>
          <w:rFonts w:eastAsia="Times New Roman"/>
        </w:rPr>
      </w:pPr>
    </w:p>
    <w:p w:rsidR="00000000" w:rsidRDefault="00897B14">
      <w:pPr>
        <w:divId w:val="115830984"/>
        <w:rPr>
          <w:rFonts w:eastAsia="Times New Roman"/>
        </w:rPr>
      </w:pPr>
      <w:r>
        <w:rPr>
          <w:rFonts w:eastAsia="Times New Roman"/>
          <w:b/>
          <w:bCs/>
          <w:color w:val="000000"/>
          <w:sz w:val="20"/>
          <w:szCs w:val="20"/>
        </w:rPr>
        <w:t xml:space="preserve">1290 Avenue of the Americas, New York, New York                 10104 </w:t>
      </w:r>
    </w:p>
    <w:p w:rsidR="00000000" w:rsidRDefault="00897B14">
      <w:pPr>
        <w:divId w:val="1676422325"/>
        <w:rPr>
          <w:rFonts w:eastAsia="Times New Roman"/>
        </w:rPr>
      </w:pPr>
      <w:r>
        <w:rPr>
          <w:rFonts w:eastAsia="Times New Roman"/>
          <w:color w:val="000000"/>
          <w:sz w:val="16"/>
          <w:szCs w:val="16"/>
        </w:rPr>
        <w:t>(Address of principal executive offices) (Zip Code)</w:t>
      </w:r>
    </w:p>
    <w:p w:rsidR="00000000" w:rsidRDefault="00897B14">
      <w:pPr>
        <w:divId w:val="815728094"/>
        <w:rPr>
          <w:rFonts w:eastAsia="Times New Roman"/>
        </w:rPr>
      </w:pPr>
    </w:p>
    <w:p w:rsidR="00000000" w:rsidRDefault="00897B14">
      <w:pPr>
        <w:jc w:val="center"/>
        <w:rPr>
          <w:rFonts w:eastAsia="Times New Roman"/>
        </w:rPr>
      </w:pPr>
      <w:r>
        <w:rPr>
          <w:rFonts w:eastAsia="Times New Roman"/>
          <w:b/>
          <w:bCs/>
          <w:color w:val="000000"/>
          <w:sz w:val="20"/>
          <w:szCs w:val="20"/>
        </w:rPr>
        <w:t xml:space="preserve">(212) 554-1234 </w:t>
      </w:r>
    </w:p>
    <w:p w:rsidR="00000000" w:rsidRDefault="00897B14">
      <w:pPr>
        <w:jc w:val="center"/>
        <w:divId w:val="483277139"/>
        <w:rPr>
          <w:rFonts w:eastAsia="Times New Roman"/>
        </w:rPr>
      </w:pPr>
      <w:r>
        <w:rPr>
          <w:rFonts w:eastAsia="Times New Roman"/>
          <w:color w:val="000000"/>
          <w:sz w:val="16"/>
          <w:szCs w:val="16"/>
        </w:rPr>
        <w:t>(Registrant’s telephone number, including area code)</w:t>
      </w:r>
    </w:p>
    <w:p w:rsidR="00000000" w:rsidRDefault="00897B14">
      <w:pPr>
        <w:divId w:val="1307197351"/>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1573809692"/>
          <w:jc w:val="center"/>
        </w:trPr>
        <w:tc>
          <w:tcPr>
            <w:tcW w:w="50" w:type="pct"/>
            <w:vAlign w:val="center"/>
            <w:hideMark/>
          </w:tcPr>
          <w:p w:rsidR="00000000" w:rsidRDefault="00897B14">
            <w:pPr>
              <w:rPr>
                <w:rFonts w:eastAsia="Times New Roman"/>
              </w:rPr>
            </w:pPr>
          </w:p>
        </w:tc>
        <w:tc>
          <w:tcPr>
            <w:tcW w:w="177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3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58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573809692"/>
          <w:jc w:val="center"/>
        </w:trPr>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1573809692"/>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New York Stock Exchange</w:t>
            </w:r>
          </w:p>
        </w:tc>
      </w:tr>
      <w:tr w:rsidR="00000000">
        <w:trPr>
          <w:divId w:val="1573809692"/>
          <w:jc w:val="center"/>
        </w:trPr>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New York Stock Exchange</w:t>
            </w:r>
          </w:p>
        </w:tc>
      </w:tr>
      <w:tr w:rsidR="00000000">
        <w:trPr>
          <w:divId w:val="1573809692"/>
          <w:jc w:val="center"/>
        </w:trPr>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New York Stock Exchange</w:t>
            </w:r>
          </w:p>
        </w:tc>
      </w:tr>
    </w:tbl>
    <w:p w:rsidR="00000000" w:rsidRDefault="00897B14">
      <w:pPr>
        <w:divId w:val="1662347574"/>
        <w:rPr>
          <w:rFonts w:eastAsia="Times New Roman"/>
        </w:rPr>
      </w:pPr>
      <w:r>
        <w:rPr>
          <w:rFonts w:eastAsia="Times New Roman"/>
          <w:color w:val="000000"/>
          <w:sz w:val="16"/>
          <w:szCs w:val="16"/>
        </w:rPr>
        <w:t>Securities registered pursuant to Section 12(g) of the Act: None</w:t>
      </w:r>
    </w:p>
    <w:p w:rsidR="00000000" w:rsidRDefault="00897B14">
      <w:pPr>
        <w:divId w:val="1497570740"/>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897B14">
      <w:pPr>
        <w:divId w:val="135532246"/>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ascii="Segoe UI Symbol" w:eastAsia="Times New Roman" w:hAnsi="Segoe UI Symbol" w:cs="Segoe UI Symbol"/>
          <w:color w:val="000000"/>
          <w:sz w:val="18"/>
          <w:szCs w:val="18"/>
        </w:rPr>
        <w:t>☐</w:t>
      </w:r>
    </w:p>
    <w:p w:rsidR="00000000" w:rsidRDefault="00897B14">
      <w:pPr>
        <w:divId w:val="1051661184"/>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4"/>
        <w:gridCol w:w="1301"/>
        <w:gridCol w:w="36"/>
        <w:gridCol w:w="37"/>
        <w:gridCol w:w="163"/>
        <w:gridCol w:w="36"/>
        <w:gridCol w:w="81"/>
        <w:gridCol w:w="1022"/>
        <w:gridCol w:w="36"/>
        <w:gridCol w:w="37"/>
        <w:gridCol w:w="163"/>
        <w:gridCol w:w="36"/>
        <w:gridCol w:w="47"/>
        <w:gridCol w:w="1137"/>
        <w:gridCol w:w="36"/>
        <w:gridCol w:w="37"/>
        <w:gridCol w:w="163"/>
        <w:gridCol w:w="36"/>
        <w:gridCol w:w="91"/>
        <w:gridCol w:w="1691"/>
        <w:gridCol w:w="36"/>
        <w:gridCol w:w="37"/>
        <w:gridCol w:w="163"/>
        <w:gridCol w:w="36"/>
        <w:gridCol w:w="37"/>
        <w:gridCol w:w="1495"/>
        <w:gridCol w:w="36"/>
        <w:gridCol w:w="37"/>
        <w:gridCol w:w="163"/>
        <w:gridCol w:w="36"/>
      </w:tblGrid>
      <w:tr w:rsidR="00000000">
        <w:trPr>
          <w:divId w:val="1995910200"/>
        </w:trPr>
        <w:tc>
          <w:tcPr>
            <w:tcW w:w="50" w:type="pct"/>
            <w:vAlign w:val="center"/>
            <w:hideMark/>
          </w:tcPr>
          <w:p w:rsidR="00000000" w:rsidRDefault="00897B14">
            <w:pPr>
              <w:rPr>
                <w:rFonts w:eastAsia="Times New Roman"/>
              </w:rPr>
            </w:pPr>
          </w:p>
        </w:tc>
        <w:tc>
          <w:tcPr>
            <w:tcW w:w="8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76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9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94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99591020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897B14">
            <w:pPr>
              <w:spacing w:after="100"/>
              <w:divId w:val="766997416"/>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897B14">
            <w:pPr>
              <w:spacing w:after="100"/>
              <w:divId w:val="703483458"/>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897B14">
            <w:pPr>
              <w:spacing w:after="100"/>
              <w:divId w:val="1339230721"/>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897B14">
            <w:pPr>
              <w:spacing w:after="100"/>
              <w:divId w:val="131093992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897B14">
            <w:pPr>
              <w:spacing w:after="100"/>
              <w:divId w:val="1359621541"/>
              <w:rPr>
                <w:rFonts w:eastAsia="Times New Roman"/>
              </w:rPr>
            </w:pPr>
            <w:r>
              <w:rPr>
                <w:rFonts w:ascii="Segoe UI Symbol" w:eastAsia="Times New Roman" w:hAnsi="Segoe UI Symbol" w:cs="Segoe UI Symbol"/>
                <w:color w:val="000000"/>
                <w:sz w:val="16"/>
                <w:szCs w:val="16"/>
              </w:rPr>
              <w:t>☐</w:t>
            </w:r>
          </w:p>
        </w:tc>
      </w:tr>
      <w:tr w:rsidR="00000000">
        <w:trPr>
          <w:divId w:val="1995910200"/>
        </w:trPr>
        <w:tc>
          <w:tcPr>
            <w:tcW w:w="0" w:type="auto"/>
            <w:gridSpan w:val="30"/>
            <w:tcMar>
              <w:top w:w="30" w:type="dxa"/>
              <w:left w:w="20" w:type="dxa"/>
              <w:bottom w:w="30" w:type="dxa"/>
              <w:right w:w="20" w:type="dxa"/>
            </w:tcMar>
            <w:vAlign w:val="center"/>
            <w:hideMark/>
          </w:tcPr>
          <w:p w:rsidR="00000000" w:rsidRDefault="00897B14">
            <w:pPr>
              <w:spacing w:after="100"/>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w:t>
            </w:r>
          </w:p>
        </w:tc>
      </w:tr>
    </w:tbl>
    <w:p w:rsidR="00000000" w:rsidRDefault="00897B14">
      <w:pPr>
        <w:divId w:val="1796410352"/>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8"/>
          <w:szCs w:val="18"/>
        </w:rPr>
        <w:t>☒</w:t>
      </w:r>
    </w:p>
    <w:p w:rsidR="00000000" w:rsidRDefault="00897B14">
      <w:pPr>
        <w:divId w:val="133179949"/>
        <w:rPr>
          <w:rFonts w:eastAsia="Times New Roman"/>
        </w:rPr>
      </w:pPr>
      <w:r>
        <w:rPr>
          <w:rFonts w:eastAsia="Times New Roman"/>
          <w:color w:val="000000"/>
          <w:sz w:val="16"/>
          <w:szCs w:val="16"/>
        </w:rPr>
        <w:t>As of August 3, 2021</w:t>
      </w:r>
      <w:r>
        <w:rPr>
          <w:rFonts w:eastAsia="Times New Roman"/>
          <w:color w:val="000000"/>
          <w:sz w:val="16"/>
          <w:szCs w:val="16"/>
          <w:shd w:val="clear" w:color="auto" w:fill="FFFFFF"/>
        </w:rPr>
        <w:t>, 412,324,232 sh</w:t>
      </w:r>
      <w:r>
        <w:rPr>
          <w:rFonts w:eastAsia="Times New Roman"/>
          <w:color w:val="000000"/>
          <w:sz w:val="16"/>
          <w:szCs w:val="16"/>
        </w:rPr>
        <w:t>ares of the registrant’</w:t>
      </w:r>
      <w:r>
        <w:rPr>
          <w:rFonts w:eastAsia="Times New Roman"/>
          <w:color w:val="000000"/>
          <w:sz w:val="16"/>
          <w:szCs w:val="16"/>
        </w:rPr>
        <w:t>s Common Stock, $0.01 par value, were outstanding.</w:t>
      </w:r>
    </w:p>
    <w:p w:rsidR="00000000" w:rsidRDefault="00897B14">
      <w:pPr>
        <w:divId w:val="218784395"/>
        <w:rPr>
          <w:rFonts w:eastAsia="Times New Roman"/>
        </w:rPr>
      </w:pPr>
    </w:p>
    <w:p w:rsidR="00000000" w:rsidRDefault="00897B14">
      <w:pPr>
        <w:rPr>
          <w:rFonts w:eastAsia="Times New Roman"/>
        </w:rPr>
      </w:pPr>
      <w:r>
        <w:rPr>
          <w:rFonts w:eastAsia="Times New Roman"/>
        </w:rPr>
        <w:pict>
          <v:rect id="_x0000_i1026" style="width:0;height:1.5pt" o:hralign="center" o:hrstd="t" o:hr="t" fillcolor="#a0a0a0" stroked="f"/>
        </w:pict>
      </w:r>
    </w:p>
    <w:p w:rsidR="00000000" w:rsidRDefault="00897B14">
      <w:pPr>
        <w:divId w:val="1867861326"/>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1748502037"/>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574"/>
        <w:gridCol w:w="37"/>
        <w:gridCol w:w="36"/>
        <w:gridCol w:w="7109"/>
        <w:gridCol w:w="36"/>
        <w:gridCol w:w="91"/>
        <w:gridCol w:w="290"/>
        <w:gridCol w:w="36"/>
      </w:tblGrid>
      <w:tr w:rsidR="00000000">
        <w:trPr>
          <w:divId w:val="1290936270"/>
          <w:jc w:val="center"/>
        </w:trPr>
        <w:tc>
          <w:tcPr>
            <w:tcW w:w="50" w:type="pct"/>
            <w:vAlign w:val="center"/>
            <w:hideMark/>
          </w:tcPr>
          <w:p w:rsidR="00000000" w:rsidRDefault="00897B14">
            <w:pPr>
              <w:jc w:val="center"/>
              <w:rPr>
                <w:rFonts w:eastAsia="Times New Roman"/>
              </w:rPr>
            </w:pPr>
          </w:p>
        </w:tc>
        <w:tc>
          <w:tcPr>
            <w:tcW w:w="2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7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6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8"/>
                <w:szCs w:val="18"/>
              </w:rPr>
              <w:t>Page</w:t>
            </w:r>
          </w:p>
        </w:tc>
      </w:tr>
      <w:tr w:rsidR="00000000">
        <w:trPr>
          <w:divId w:val="1290936270"/>
          <w:jc w:val="center"/>
        </w:trPr>
        <w:tc>
          <w:tcPr>
            <w:tcW w:w="0" w:type="auto"/>
            <w:gridSpan w:val="6"/>
            <w:tcMar>
              <w:top w:w="30" w:type="dxa"/>
              <w:left w:w="20" w:type="dxa"/>
              <w:bottom w:w="30" w:type="dxa"/>
              <w:right w:w="20" w:type="dxa"/>
            </w:tcMar>
            <w:vAlign w:val="center"/>
            <w:hideMark/>
          </w:tcPr>
          <w:p w:rsidR="00000000" w:rsidRDefault="00897B14">
            <w:pPr>
              <w:spacing w:after="100"/>
              <w:divId w:val="1858544886"/>
              <w:rPr>
                <w:rFonts w:eastAsia="Times New Roman"/>
              </w:rPr>
            </w:pPr>
            <w:hyperlink w:anchor="i4720991a3d574ba2ab7d34b235a82556_16" w:history="1">
              <w:r>
                <w:rPr>
                  <w:rStyle w:val="a3"/>
                  <w:rFonts w:eastAsia="Times New Roman"/>
                  <w:b/>
                  <w:bCs/>
                  <w:sz w:val="18"/>
                  <w:szCs w:val="18"/>
                </w:rPr>
                <w:t>PART I - FINANCIAL INFORMATION</w:t>
              </w:r>
            </w:hyperlink>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rPr>
            </w:pPr>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divId w:val="2040935915"/>
              <w:rPr>
                <w:rFonts w:eastAsia="Times New Roman"/>
              </w:rPr>
            </w:pPr>
            <w:hyperlink w:anchor="i4720991a3d574ba2ab7d34b235a82556_532"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rsidR="00000000" w:rsidRDefault="00897B14">
            <w:pPr>
              <w:spacing w:after="100"/>
              <w:divId w:val="577249161"/>
              <w:rPr>
                <w:rFonts w:eastAsia="Times New Roman"/>
              </w:rPr>
            </w:pPr>
            <w:hyperlink w:anchor="i4720991a3d574ba2ab7d34b235a82556_19" w:history="1">
              <w:r>
                <w:rPr>
                  <w:rStyle w:val="a3"/>
                  <w:rFonts w:eastAsia="Times New Roman"/>
                  <w:sz w:val="18"/>
                  <w:szCs w:val="18"/>
                </w:rPr>
                <w:t>Consolidated Financial State</w:t>
              </w:r>
              <w:r>
                <w:rPr>
                  <w:rStyle w:val="a3"/>
                  <w:rFonts w:eastAsia="Times New Roman"/>
                  <w:sz w:val="18"/>
                  <w:szCs w:val="18"/>
                </w:rPr>
                <w:t>ments</w:t>
              </w:r>
            </w:hyperlink>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897B14">
            <w:pPr>
              <w:spacing w:after="100"/>
              <w:divId w:val="1555964285"/>
              <w:rPr>
                <w:rFonts w:eastAsia="Times New Roman"/>
              </w:rPr>
            </w:pPr>
            <w:hyperlink w:anchor="i4720991a3d574ba2ab7d34b235a82556_25" w:history="1">
              <w:r>
                <w:rPr>
                  <w:rStyle w:val="a3"/>
                  <w:rFonts w:eastAsia="Times New Roman"/>
                  <w:sz w:val="18"/>
                  <w:szCs w:val="18"/>
                </w:rPr>
                <w:t>Consolidated Balance Sheets, June 30, 2021 (Unaudited) and December 31, 2020</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25" w:history="1">
              <w:r>
                <w:rPr>
                  <w:rStyle w:val="a3"/>
                  <w:rFonts w:eastAsia="Times New Roman"/>
                  <w:sz w:val="18"/>
                  <w:szCs w:val="18"/>
                </w:rPr>
                <w:t>4</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divId w:val="1446995132"/>
              <w:rPr>
                <w:rFonts w:eastAsia="Times New Roman"/>
              </w:rPr>
            </w:pPr>
            <w:hyperlink w:anchor="i4720991a3d574ba2ab7d34b235a82556_31" w:history="1">
              <w:r>
                <w:rPr>
                  <w:rStyle w:val="a3"/>
                  <w:rFonts w:eastAsia="Times New Roman"/>
                  <w:sz w:val="18"/>
                  <w:szCs w:val="18"/>
                </w:rPr>
                <w:t>Consolidated Statements of Income (Loss), Three and Six Months Ended June 30, 2021 and 2020 (Unaudited)</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31" w:history="1">
              <w:r>
                <w:rPr>
                  <w:rStyle w:val="a3"/>
                  <w:rFonts w:eastAsia="Times New Roman"/>
                  <w:sz w:val="18"/>
                  <w:szCs w:val="18"/>
                </w:rPr>
                <w:t>5</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divId w:val="634218641"/>
              <w:rPr>
                <w:rFonts w:eastAsia="Times New Roman"/>
              </w:rPr>
            </w:pPr>
            <w:hyperlink w:anchor="i4720991a3d574ba2ab7d34b235a82556_34" w:history="1">
              <w:r>
                <w:rPr>
                  <w:rStyle w:val="a3"/>
                  <w:rFonts w:eastAsia="Times New Roman"/>
                  <w:sz w:val="18"/>
                  <w:szCs w:val="18"/>
                </w:rPr>
                <w:t>Consolidated Statements of Comprehensive Income (Loss), Three and Six Months Ended June 30, 2021 and 2020 (Unaudited)</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34" w:history="1">
              <w:r>
                <w:rPr>
                  <w:rStyle w:val="a3"/>
                  <w:rFonts w:eastAsia="Times New Roman"/>
                  <w:sz w:val="18"/>
                  <w:szCs w:val="18"/>
                </w:rPr>
                <w:t>6</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divId w:val="806166650"/>
              <w:rPr>
                <w:rFonts w:eastAsia="Times New Roman"/>
              </w:rPr>
            </w:pPr>
            <w:hyperlink w:anchor="i4720991a3d574ba2ab7d34b235a82556_43" w:history="1">
              <w:r>
                <w:rPr>
                  <w:rStyle w:val="a3"/>
                  <w:rFonts w:eastAsia="Times New Roman"/>
                  <w:sz w:val="18"/>
                  <w:szCs w:val="18"/>
                </w:rPr>
                <w:t>Consolidated Statements of Equity, Three and Six Months Ended June 30, 2021 and 2020 (Unaudited)</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43" w:history="1">
              <w:r>
                <w:rPr>
                  <w:rStyle w:val="a3"/>
                  <w:rFonts w:eastAsia="Times New Roman"/>
                  <w:sz w:val="18"/>
                  <w:szCs w:val="18"/>
                </w:rPr>
                <w:t>8</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divId w:val="1822696669"/>
              <w:rPr>
                <w:rFonts w:eastAsia="Times New Roman"/>
              </w:rPr>
            </w:pPr>
            <w:hyperlink w:anchor="i4720991a3d574ba2ab7d34b235a82556_52" w:history="1">
              <w:r>
                <w:rPr>
                  <w:rStyle w:val="a3"/>
                  <w:rFonts w:eastAsia="Times New Roman"/>
                  <w:sz w:val="18"/>
                  <w:szCs w:val="18"/>
                </w:rPr>
                <w:t>Consolidated Statements of Cash Flows, Six Months Ended June 30, 2021 and 2020 (Unaudited)</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52" w:history="1">
              <w:r>
                <w:rPr>
                  <w:rStyle w:val="a3"/>
                  <w:rFonts w:eastAsia="Times New Roman"/>
                  <w:sz w:val="18"/>
                  <w:szCs w:val="18"/>
                </w:rPr>
                <w:t>9</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897B14">
            <w:pPr>
              <w:spacing w:after="100"/>
              <w:divId w:val="853153840"/>
              <w:rPr>
                <w:rFonts w:eastAsia="Times New Roman"/>
              </w:rPr>
            </w:pPr>
            <w:hyperlink w:anchor="i4720991a3d574ba2ab7d34b235a82556_58" w:history="1">
              <w:r>
                <w:rPr>
                  <w:rStyle w:val="a3"/>
                  <w:rFonts w:eastAsia="Times New Roman"/>
                  <w:sz w:val="18"/>
                  <w:szCs w:val="18"/>
                </w:rPr>
                <w:t>Notes to Consolidated Financial Statements (Unaudited):</w:t>
              </w:r>
            </w:hyperlink>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divId w:val="1942253267"/>
              <w:rPr>
                <w:rFonts w:eastAsia="Times New Roman"/>
              </w:rPr>
            </w:pPr>
            <w:hyperlink w:anchor="i4720991a3d574ba2ab7d34b235a82556_61"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61" w:history="1">
              <w:r>
                <w:rPr>
                  <w:rStyle w:val="a3"/>
                  <w:rFonts w:eastAsia="Times New Roman"/>
                  <w:sz w:val="18"/>
                  <w:szCs w:val="18"/>
                  <w:u w:val="none"/>
                </w:rPr>
                <w:t>11</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divId w:val="1314211534"/>
              <w:rPr>
                <w:rFonts w:eastAsia="Times New Roman"/>
              </w:rPr>
            </w:pPr>
            <w:hyperlink w:anchor="i4720991a3d574ba2ab7d34b235a82556_67"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67" w:history="1">
              <w:r>
                <w:rPr>
                  <w:rStyle w:val="a3"/>
                  <w:rFonts w:eastAsia="Times New Roman"/>
                  <w:sz w:val="18"/>
                  <w:szCs w:val="18"/>
                  <w:u w:val="none"/>
                </w:rPr>
                <w:t>12</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720201775"/>
              <w:rPr>
                <w:rFonts w:eastAsia="Times New Roman"/>
              </w:rPr>
            </w:pPr>
            <w:hyperlink w:anchor="i4720991a3d574ba2ab7d34b235a82556_94"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94" w:history="1">
              <w:r>
                <w:rPr>
                  <w:rStyle w:val="a3"/>
                  <w:rFonts w:eastAsia="Times New Roman"/>
                  <w:sz w:val="18"/>
                  <w:szCs w:val="18"/>
                  <w:u w:val="none"/>
                </w:rPr>
                <w:t>19</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261178214"/>
              <w:rPr>
                <w:rFonts w:eastAsia="Times New Roman"/>
              </w:rPr>
            </w:pPr>
            <w:hyperlink w:anchor="i4720991a3d574ba2ab7d34b235a82556_106"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06" w:history="1">
              <w:r>
                <w:rPr>
                  <w:rStyle w:val="a3"/>
                  <w:rFonts w:eastAsia="Times New Roman"/>
                  <w:sz w:val="18"/>
                  <w:szCs w:val="18"/>
                  <w:u w:val="none"/>
                </w:rPr>
                <w:t>31</w:t>
              </w:r>
            </w:hyperlink>
          </w:p>
        </w:tc>
      </w:tr>
      <w:tr w:rsidR="00000000">
        <w:trPr>
          <w:divId w:val="1290936270"/>
          <w:jc w:val="center"/>
        </w:trPr>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divId w:val="371729453"/>
              <w:rPr>
                <w:rFonts w:eastAsia="Times New Roman"/>
              </w:rPr>
            </w:pPr>
            <w:hyperlink w:anchor="i4720991a3d574ba2ab7d34b235a82556_112" w:history="1">
              <w:r>
                <w:rPr>
                  <w:rStyle w:val="a3"/>
                  <w:rFonts w:eastAsia="Times New Roman"/>
                  <w:sz w:val="18"/>
                  <w:szCs w:val="18"/>
                </w:rPr>
                <w:t>Note 5 - Closed Block</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12" w:history="1">
              <w:r>
                <w:rPr>
                  <w:rStyle w:val="a3"/>
                  <w:rFonts w:eastAsia="Times New Roman"/>
                  <w:sz w:val="18"/>
                  <w:szCs w:val="18"/>
                  <w:u w:val="none"/>
                </w:rPr>
                <w:t>35</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974943093"/>
              <w:rPr>
                <w:rFonts w:eastAsia="Times New Roman"/>
              </w:rPr>
            </w:pPr>
            <w:hyperlink w:anchor="i4720991a3d574ba2ab7d34b235a82556_127" w:history="1">
              <w:r>
                <w:rPr>
                  <w:rStyle w:val="a3"/>
                  <w:rFonts w:eastAsia="Times New Roman"/>
                  <w:sz w:val="18"/>
                  <w:szCs w:val="18"/>
                </w:rPr>
                <w:t>Note 6 - Insurance Liabilities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27" w:history="1">
              <w:r>
                <w:rPr>
                  <w:rStyle w:val="a3"/>
                  <w:rFonts w:eastAsia="Times New Roman"/>
                  <w:sz w:val="18"/>
                  <w:szCs w:val="18"/>
                  <w:u w:val="none"/>
                </w:rPr>
                <w:t>37</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260329191"/>
              <w:rPr>
                <w:rFonts w:eastAsia="Times New Roman"/>
              </w:rPr>
            </w:pPr>
            <w:hyperlink w:anchor="i4720991a3d574ba2ab7d34b235a82556_133" w:history="1">
              <w:r>
                <w:rPr>
                  <w:rStyle w:val="a3"/>
                  <w:rFonts w:eastAsia="Times New Roman"/>
                  <w:sz w:val="18"/>
                  <w:szCs w:val="18"/>
                </w:rPr>
                <w:t>Note 7 - Fair Value Disclosures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33" w:history="1">
              <w:r>
                <w:rPr>
                  <w:rStyle w:val="a3"/>
                  <w:rFonts w:eastAsia="Times New Roman"/>
                  <w:sz w:val="18"/>
                  <w:szCs w:val="18"/>
                  <w:u w:val="none"/>
                </w:rPr>
                <w:t>40</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832062655"/>
              <w:rPr>
                <w:rFonts w:eastAsia="Times New Roman"/>
              </w:rPr>
            </w:pPr>
            <w:hyperlink w:anchor="i4720991a3d574ba2ab7d34b235a82556_139" w:history="1">
              <w:r>
                <w:rPr>
                  <w:rStyle w:val="a3"/>
                  <w:rFonts w:eastAsia="Times New Roman"/>
                  <w:sz w:val="18"/>
                  <w:szCs w:val="18"/>
                </w:rPr>
                <w:t>Note 8 - Employee Benefit Plans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39" w:history="1">
              <w:r>
                <w:rPr>
                  <w:rStyle w:val="a3"/>
                  <w:rFonts w:eastAsia="Times New Roman"/>
                  <w:sz w:val="18"/>
                  <w:szCs w:val="18"/>
                  <w:u w:val="none"/>
                </w:rPr>
                <w:t>57</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034968006"/>
              <w:rPr>
                <w:rFonts w:eastAsia="Times New Roman"/>
              </w:rPr>
            </w:pPr>
            <w:hyperlink w:anchor="i4720991a3d574ba2ab7d34b235a82556_142" w:history="1">
              <w:r>
                <w:rPr>
                  <w:rStyle w:val="a3"/>
                  <w:rFonts w:eastAsia="Times New Roman"/>
                  <w:sz w:val="18"/>
                  <w:szCs w:val="18"/>
                </w:rPr>
                <w:t>Note 9 - Income Taxes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42" w:history="1">
              <w:r>
                <w:rPr>
                  <w:rStyle w:val="a3"/>
                  <w:rFonts w:eastAsia="Times New Roman"/>
                  <w:sz w:val="18"/>
                  <w:szCs w:val="18"/>
                  <w:u w:val="none"/>
                </w:rPr>
                <w:t>58</w:t>
              </w:r>
            </w:hyperlink>
          </w:p>
        </w:tc>
      </w:tr>
      <w:tr w:rsidR="00000000">
        <w:trPr>
          <w:divId w:val="1290936270"/>
          <w:jc w:val="center"/>
        </w:trPr>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divId w:val="1687364164"/>
              <w:rPr>
                <w:rFonts w:eastAsia="Times New Roman"/>
              </w:rPr>
            </w:pPr>
            <w:hyperlink w:anchor="i4720991a3d574ba2ab7d34b235a82556_145" w:history="1">
              <w:r>
                <w:rPr>
                  <w:rStyle w:val="a3"/>
                  <w:rFonts w:eastAsia="Times New Roman"/>
                  <w:sz w:val="18"/>
                  <w:szCs w:val="18"/>
                </w:rPr>
                <w:t>Note 10 - Equity</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45" w:history="1">
              <w:r>
                <w:rPr>
                  <w:rStyle w:val="a3"/>
                  <w:rFonts w:eastAsia="Times New Roman"/>
                  <w:sz w:val="18"/>
                  <w:szCs w:val="18"/>
                  <w:u w:val="none"/>
                </w:rPr>
                <w:t>58</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358776149"/>
              <w:rPr>
                <w:rFonts w:eastAsia="Times New Roman"/>
              </w:rPr>
            </w:pPr>
            <w:hyperlink w:anchor="i4720991a3d574ba2ab7d34b235a82556_151" w:history="1">
              <w:r>
                <w:rPr>
                  <w:rStyle w:val="a3"/>
                  <w:rFonts w:eastAsia="Times New Roman"/>
                  <w:sz w:val="18"/>
                  <w:szCs w:val="18"/>
                </w:rPr>
                <w:t>Note 11 - Redeemable Noncontrolling Interest</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51" w:history="1">
              <w:r>
                <w:rPr>
                  <w:rStyle w:val="a3"/>
                  <w:rFonts w:eastAsia="Times New Roman"/>
                  <w:sz w:val="18"/>
                  <w:szCs w:val="18"/>
                  <w:u w:val="none"/>
                </w:rPr>
                <w:t>61</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387728448"/>
              <w:rPr>
                <w:rFonts w:eastAsia="Times New Roman"/>
              </w:rPr>
            </w:pPr>
            <w:hyperlink w:anchor="i4720991a3d574ba2ab7d34b235a82556_154" w:history="1">
              <w:r>
                <w:rPr>
                  <w:rStyle w:val="a3"/>
                  <w:rFonts w:eastAsia="Times New Roman"/>
                  <w:sz w:val="18"/>
                  <w:szCs w:val="18"/>
                </w:rPr>
                <w:t>Note 12 - Commitments and Contingent Liabilities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54" w:history="1">
              <w:r>
                <w:rPr>
                  <w:rStyle w:val="a3"/>
                  <w:rFonts w:eastAsia="Times New Roman"/>
                  <w:sz w:val="18"/>
                  <w:szCs w:val="18"/>
                  <w:u w:val="none"/>
                </w:rPr>
                <w:t>61</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681929970"/>
              <w:rPr>
                <w:rFonts w:eastAsia="Times New Roman"/>
              </w:rPr>
            </w:pPr>
            <w:hyperlink w:anchor="i4720991a3d574ba2ab7d34b235a82556_163" w:history="1">
              <w:r>
                <w:rPr>
                  <w:rStyle w:val="a3"/>
                  <w:rFonts w:eastAsia="Times New Roman"/>
                  <w:sz w:val="18"/>
                  <w:szCs w:val="18"/>
                </w:rPr>
                <w:t>Note 13 - Business Segment Information</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63" w:history="1">
              <w:r>
                <w:rPr>
                  <w:rStyle w:val="a3"/>
                  <w:rFonts w:eastAsia="Times New Roman"/>
                  <w:sz w:val="18"/>
                  <w:szCs w:val="18"/>
                  <w:u w:val="none"/>
                </w:rPr>
                <w:t>65</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604315253"/>
              <w:rPr>
                <w:rFonts w:eastAsia="Times New Roman"/>
              </w:rPr>
            </w:pPr>
            <w:hyperlink w:anchor="i4720991a3d574ba2ab7d34b235a82556_166" w:history="1">
              <w:r>
                <w:rPr>
                  <w:rStyle w:val="a3"/>
                  <w:rFonts w:eastAsia="Times New Roman"/>
                  <w:sz w:val="18"/>
                  <w:szCs w:val="18"/>
                </w:rPr>
                <w:t>Note 14 - Earnings per Common Share</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66" w:history="1">
              <w:r>
                <w:rPr>
                  <w:rStyle w:val="a3"/>
                  <w:rFonts w:eastAsia="Times New Roman"/>
                  <w:sz w:val="18"/>
                  <w:szCs w:val="18"/>
                  <w:u w:val="none"/>
                </w:rPr>
                <w:t>67</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1818766105"/>
              <w:rPr>
                <w:rFonts w:eastAsia="Times New Roman"/>
              </w:rPr>
            </w:pPr>
            <w:hyperlink w:anchor="i4720991a3d574ba2ab7d34b235a82556_169" w:history="1">
              <w:r>
                <w:rPr>
                  <w:rStyle w:val="a3"/>
                  <w:rFonts w:eastAsia="Times New Roman"/>
                  <w:sz w:val="18"/>
                  <w:szCs w:val="18"/>
                </w:rPr>
                <w:t>Note 15 - Held-For-Sale</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69" w:history="1">
              <w:r>
                <w:rPr>
                  <w:rStyle w:val="a3"/>
                  <w:rFonts w:eastAsia="Times New Roman"/>
                  <w:sz w:val="18"/>
                  <w:szCs w:val="18"/>
                  <w:u w:val="none"/>
                </w:rPr>
                <w:t>68</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86511433"/>
              <w:rPr>
                <w:rFonts w:eastAsia="Times New Roman"/>
              </w:rPr>
            </w:pPr>
            <w:hyperlink w:anchor="i4720991a3d574ba2ab7d34b235a82556_172" w:history="1">
              <w:r>
                <w:rPr>
                  <w:rStyle w:val="a3"/>
                  <w:rFonts w:eastAsia="Times New Roman"/>
                  <w:sz w:val="18"/>
                  <w:szCs w:val="18"/>
                </w:rPr>
                <w:t>Note 16 - Revision of Prior Period Financ</w:t>
              </w:r>
              <w:r>
                <w:rPr>
                  <w:rStyle w:val="a3"/>
                  <w:rFonts w:eastAsia="Times New Roman"/>
                  <w:sz w:val="18"/>
                  <w:szCs w:val="18"/>
                </w:rPr>
                <w:t>ial Statements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172" w:history="1">
              <w:r>
                <w:rPr>
                  <w:rStyle w:val="a3"/>
                  <w:rFonts w:eastAsia="Times New Roman"/>
                  <w:sz w:val="18"/>
                  <w:szCs w:val="18"/>
                  <w:u w:val="none"/>
                </w:rPr>
                <w:t>69</w:t>
              </w:r>
            </w:hyperlink>
          </w:p>
        </w:tc>
      </w:tr>
      <w:tr w:rsidR="00000000">
        <w:trPr>
          <w:divId w:val="129093627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divId w:val="39090595"/>
              <w:rPr>
                <w:rFonts w:eastAsia="Times New Roman"/>
              </w:rPr>
            </w:pPr>
            <w:hyperlink w:anchor="i4720991a3d574ba2ab7d34b235a82556_292" w:history="1">
              <w:r>
                <w:rPr>
                  <w:rStyle w:val="a3"/>
                  <w:rFonts w:eastAsia="Times New Roman"/>
                  <w:sz w:val="18"/>
                  <w:szCs w:val="18"/>
                </w:rPr>
                <w:t>Note 17 - Subsequent Events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292" w:history="1">
              <w:r>
                <w:rPr>
                  <w:rStyle w:val="a3"/>
                  <w:rFonts w:eastAsia="Times New Roman"/>
                  <w:sz w:val="18"/>
                  <w:szCs w:val="18"/>
                  <w:u w:val="none"/>
                </w:rPr>
                <w:t>71</w:t>
              </w:r>
            </w:hyperlink>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divId w:val="667867"/>
              <w:rPr>
                <w:rFonts w:eastAsia="Times New Roman"/>
              </w:rPr>
            </w:pPr>
            <w:hyperlink w:anchor="i4720991a3d574ba2ab7d34b235a82556_295"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rsidR="00000000" w:rsidRDefault="00897B14">
            <w:pPr>
              <w:spacing w:after="100"/>
              <w:divId w:val="1230965685"/>
              <w:rPr>
                <w:rFonts w:eastAsia="Times New Roman"/>
              </w:rPr>
            </w:pPr>
            <w:hyperlink w:anchor="i4720991a3d574ba2ab7d34b235a82556_295" w:history="1">
              <w:r>
                <w:rPr>
                  <w:rStyle w:val="a3"/>
                  <w:rFonts w:eastAsia="Times New Roman"/>
                  <w:sz w:val="18"/>
                  <w:szCs w:val="18"/>
                </w:rPr>
                <w:t xml:space="preserve">Management’s Discussion and Analysis of Financial Condition </w:t>
              </w:r>
              <w:r>
                <w:rPr>
                  <w:rStyle w:val="a3"/>
                  <w:rFonts w:eastAsia="Times New Roman"/>
                  <w:sz w:val="18"/>
                  <w:szCs w:val="18"/>
                </w:rPr>
                <w:t>and Results of Operations</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295" w:history="1">
              <w:r>
                <w:rPr>
                  <w:rStyle w:val="a3"/>
                  <w:rFonts w:eastAsia="Times New Roman"/>
                  <w:sz w:val="18"/>
                  <w:szCs w:val="18"/>
                </w:rPr>
                <w:t>72</w:t>
              </w:r>
            </w:hyperlink>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divId w:val="453059099"/>
              <w:rPr>
                <w:rFonts w:eastAsia="Times New Roman"/>
              </w:rPr>
            </w:pPr>
            <w:hyperlink w:anchor="i4720991a3d574ba2ab7d34b235a82556_475"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rsidR="00000000" w:rsidRDefault="00897B14">
            <w:pPr>
              <w:spacing w:after="100"/>
              <w:divId w:val="1785415202"/>
              <w:rPr>
                <w:rFonts w:eastAsia="Times New Roman"/>
              </w:rPr>
            </w:pPr>
            <w:hyperlink w:anchor="i4720991a3d574ba2ab7d34b235a82556_715" w:history="1">
              <w:r>
                <w:rPr>
                  <w:rStyle w:val="a3"/>
                  <w:rFonts w:eastAsia="Times New Roman"/>
                  <w:sz w:val="18"/>
                  <w:szCs w:val="18"/>
                </w:rPr>
                <w:t>Quantitative and Qualitative Dis</w:t>
              </w:r>
              <w:r>
                <w:rPr>
                  <w:rStyle w:val="a3"/>
                  <w:rFonts w:eastAsia="Times New Roman"/>
                  <w:sz w:val="18"/>
                  <w:szCs w:val="18"/>
                </w:rPr>
                <w:t>closures About Market Risk</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475" w:history="1">
              <w:r>
                <w:rPr>
                  <w:rStyle w:val="a3"/>
                  <w:rFonts w:eastAsia="Times New Roman"/>
                  <w:sz w:val="18"/>
                  <w:szCs w:val="18"/>
                </w:rPr>
                <w:t>116</w:t>
              </w:r>
            </w:hyperlink>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divId w:val="484316584"/>
              <w:rPr>
                <w:rFonts w:eastAsia="Times New Roman"/>
              </w:rPr>
            </w:pPr>
            <w:hyperlink w:anchor="i4720991a3d574ba2ab7d34b235a82556_478"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rsidR="00000000" w:rsidRDefault="00897B14">
            <w:pPr>
              <w:spacing w:after="100"/>
              <w:divId w:val="1550844999"/>
              <w:rPr>
                <w:rFonts w:eastAsia="Times New Roman"/>
              </w:rPr>
            </w:pPr>
            <w:hyperlink w:anchor="i4720991a3d574ba2ab7d34b235a82556_478"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478" w:history="1">
              <w:r>
                <w:rPr>
                  <w:rStyle w:val="a3"/>
                  <w:rFonts w:eastAsia="Times New Roman"/>
                  <w:sz w:val="18"/>
                  <w:szCs w:val="18"/>
                </w:rPr>
                <w:t>117</w:t>
              </w:r>
            </w:hyperlink>
          </w:p>
        </w:tc>
      </w:tr>
      <w:tr w:rsidR="00000000">
        <w:trPr>
          <w:divId w:val="1290936270"/>
          <w:trHeight w:val="28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90936270"/>
          <w:jc w:val="center"/>
        </w:trPr>
        <w:tc>
          <w:tcPr>
            <w:tcW w:w="0" w:type="auto"/>
            <w:gridSpan w:val="6"/>
            <w:tcMar>
              <w:top w:w="30" w:type="dxa"/>
              <w:left w:w="20" w:type="dxa"/>
              <w:bottom w:w="30" w:type="dxa"/>
              <w:right w:w="20" w:type="dxa"/>
            </w:tcMar>
            <w:vAlign w:val="center"/>
            <w:hideMark/>
          </w:tcPr>
          <w:p w:rsidR="00000000" w:rsidRDefault="00897B14">
            <w:pPr>
              <w:spacing w:after="100"/>
              <w:divId w:val="641234287"/>
              <w:rPr>
                <w:rFonts w:eastAsia="Times New Roman"/>
              </w:rPr>
            </w:pPr>
            <w:hyperlink w:anchor="i4720991a3d574ba2ab7d34b235a82556_481" w:history="1">
              <w:r>
                <w:rPr>
                  <w:rStyle w:val="a3"/>
                  <w:rFonts w:eastAsia="Times New Roman"/>
                  <w:b/>
                  <w:bCs/>
                  <w:sz w:val="18"/>
                  <w:szCs w:val="18"/>
                </w:rPr>
                <w:t>PART II - OTHER INFORMATION</w:t>
              </w:r>
            </w:hyperlink>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Item 1.</w:t>
            </w:r>
          </w:p>
        </w:tc>
        <w:tc>
          <w:tcPr>
            <w:tcW w:w="0" w:type="auto"/>
            <w:gridSpan w:val="3"/>
            <w:tcMar>
              <w:top w:w="30" w:type="dxa"/>
              <w:left w:w="20" w:type="dxa"/>
              <w:bottom w:w="30" w:type="dxa"/>
              <w:right w:w="20" w:type="dxa"/>
            </w:tcMar>
            <w:vAlign w:val="center"/>
            <w:hideMark/>
          </w:tcPr>
          <w:p w:rsidR="00000000" w:rsidRDefault="00897B14">
            <w:pPr>
              <w:spacing w:after="100"/>
              <w:divId w:val="1273855201"/>
              <w:rPr>
                <w:rFonts w:eastAsia="Times New Roman"/>
              </w:rPr>
            </w:pPr>
            <w:hyperlink w:anchor="i4720991a3d574ba2ab7d34b235a82556_484"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484" w:history="1">
              <w:r>
                <w:rPr>
                  <w:rStyle w:val="a3"/>
                  <w:rFonts w:eastAsia="Times New Roman"/>
                  <w:sz w:val="18"/>
                  <w:szCs w:val="18"/>
                </w:rPr>
                <w:t>118</w:t>
              </w:r>
            </w:hyperlink>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It</w:t>
            </w:r>
            <w:r>
              <w:rPr>
                <w:rFonts w:eastAsia="Times New Roman"/>
                <w:color w:val="000000"/>
                <w:sz w:val="18"/>
                <w:szCs w:val="18"/>
              </w:rPr>
              <w:t>em 1A.</w:t>
            </w:r>
          </w:p>
        </w:tc>
        <w:tc>
          <w:tcPr>
            <w:tcW w:w="0" w:type="auto"/>
            <w:gridSpan w:val="3"/>
            <w:tcMar>
              <w:top w:w="30" w:type="dxa"/>
              <w:left w:w="20" w:type="dxa"/>
              <w:bottom w:w="30" w:type="dxa"/>
              <w:right w:w="20" w:type="dxa"/>
            </w:tcMar>
            <w:vAlign w:val="center"/>
            <w:hideMark/>
          </w:tcPr>
          <w:p w:rsidR="00000000" w:rsidRDefault="00897B14">
            <w:pPr>
              <w:spacing w:after="100"/>
              <w:divId w:val="1994094018"/>
              <w:rPr>
                <w:rFonts w:eastAsia="Times New Roman"/>
              </w:rPr>
            </w:pPr>
            <w:hyperlink w:anchor="i4720991a3d574ba2ab7d34b235a82556_577"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487" w:history="1">
              <w:r>
                <w:rPr>
                  <w:rStyle w:val="a3"/>
                  <w:rFonts w:eastAsia="Times New Roman"/>
                  <w:sz w:val="18"/>
                  <w:szCs w:val="18"/>
                </w:rPr>
                <w:t>118</w:t>
              </w:r>
            </w:hyperlink>
          </w:p>
        </w:tc>
      </w:tr>
      <w:tr w:rsidR="00000000">
        <w:trPr>
          <w:divId w:val="1290936270"/>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8"/>
                <w:szCs w:val="18"/>
              </w:rPr>
              <w:t>Item 2.</w:t>
            </w:r>
          </w:p>
        </w:tc>
        <w:tc>
          <w:tcPr>
            <w:tcW w:w="0" w:type="auto"/>
            <w:gridSpan w:val="3"/>
            <w:tcMar>
              <w:top w:w="30" w:type="dxa"/>
              <w:left w:w="20" w:type="dxa"/>
              <w:bottom w:w="30" w:type="dxa"/>
              <w:right w:w="20" w:type="dxa"/>
            </w:tcMar>
            <w:vAlign w:val="bottom"/>
            <w:hideMark/>
          </w:tcPr>
          <w:p w:rsidR="00000000" w:rsidRDefault="00897B14">
            <w:pPr>
              <w:spacing w:after="100"/>
              <w:divId w:val="1063719987"/>
              <w:rPr>
                <w:rFonts w:eastAsia="Times New Roman"/>
              </w:rPr>
            </w:pPr>
            <w:hyperlink w:anchor="i4720991a3d574ba2ab7d34b235a82556_490"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490" w:history="1">
              <w:r>
                <w:rPr>
                  <w:rStyle w:val="a3"/>
                  <w:rFonts w:eastAsia="Times New Roman"/>
                  <w:sz w:val="18"/>
                  <w:szCs w:val="18"/>
                </w:rPr>
                <w:t>118</w:t>
              </w:r>
            </w:hyperlink>
          </w:p>
        </w:tc>
      </w:tr>
      <w:tr w:rsidR="00000000">
        <w:trPr>
          <w:divId w:val="1290936270"/>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8"/>
                <w:szCs w:val="18"/>
              </w:rPr>
              <w:t>Item 3.</w:t>
            </w:r>
          </w:p>
        </w:tc>
        <w:tc>
          <w:tcPr>
            <w:tcW w:w="0" w:type="auto"/>
            <w:gridSpan w:val="3"/>
            <w:tcMar>
              <w:top w:w="30" w:type="dxa"/>
              <w:left w:w="20" w:type="dxa"/>
              <w:bottom w:w="30" w:type="dxa"/>
              <w:right w:w="20" w:type="dxa"/>
            </w:tcMar>
            <w:vAlign w:val="bottom"/>
            <w:hideMark/>
          </w:tcPr>
          <w:p w:rsidR="00000000" w:rsidRDefault="00897B14">
            <w:pPr>
              <w:spacing w:after="100"/>
              <w:divId w:val="1931311192"/>
              <w:rPr>
                <w:rFonts w:eastAsia="Times New Roman"/>
              </w:rPr>
            </w:pPr>
            <w:hyperlink w:anchor="i4720991a3d574ba2ab7d34b235a82556_493"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hyperlink w:anchor="i4720991a3d574ba2ab7d34b235a82556_493" w:history="1">
              <w:r>
                <w:rPr>
                  <w:rStyle w:val="a3"/>
                  <w:rFonts w:eastAsia="Times New Roman"/>
                  <w:sz w:val="18"/>
                  <w:szCs w:val="18"/>
                </w:rPr>
                <w:t>118</w:t>
              </w:r>
            </w:hyperlink>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Item 4.</w:t>
            </w:r>
          </w:p>
        </w:tc>
        <w:tc>
          <w:tcPr>
            <w:tcW w:w="0" w:type="auto"/>
            <w:gridSpan w:val="3"/>
            <w:tcMar>
              <w:top w:w="30" w:type="dxa"/>
              <w:left w:w="20" w:type="dxa"/>
              <w:bottom w:w="30" w:type="dxa"/>
              <w:right w:w="20" w:type="dxa"/>
            </w:tcMar>
            <w:vAlign w:val="center"/>
            <w:hideMark/>
          </w:tcPr>
          <w:p w:rsidR="00000000" w:rsidRDefault="00897B14">
            <w:pPr>
              <w:spacing w:after="100"/>
              <w:divId w:val="1680303849"/>
              <w:rPr>
                <w:rFonts w:eastAsia="Times New Roman"/>
              </w:rPr>
            </w:pPr>
            <w:hyperlink w:anchor="i4720991a3d574ba2ab7d34b235a82556_496" w:history="1">
              <w:r>
                <w:rPr>
                  <w:rStyle w:val="a3"/>
                  <w:rFonts w:eastAsia="Times New Roman"/>
                  <w:sz w:val="18"/>
                  <w:szCs w:val="18"/>
                </w:rPr>
                <w:t>Mine Safety Disclosures</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496" w:history="1">
              <w:r>
                <w:rPr>
                  <w:rStyle w:val="a3"/>
                  <w:rFonts w:eastAsia="Times New Roman"/>
                  <w:sz w:val="18"/>
                  <w:szCs w:val="18"/>
                </w:rPr>
                <w:t>118</w:t>
              </w:r>
            </w:hyperlink>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Item 5.</w:t>
            </w:r>
          </w:p>
        </w:tc>
        <w:tc>
          <w:tcPr>
            <w:tcW w:w="0" w:type="auto"/>
            <w:gridSpan w:val="3"/>
            <w:tcMar>
              <w:top w:w="30" w:type="dxa"/>
              <w:left w:w="20" w:type="dxa"/>
              <w:bottom w:w="30" w:type="dxa"/>
              <w:right w:w="20" w:type="dxa"/>
            </w:tcMar>
            <w:vAlign w:val="center"/>
            <w:hideMark/>
          </w:tcPr>
          <w:p w:rsidR="00000000" w:rsidRDefault="00897B14">
            <w:pPr>
              <w:spacing w:after="100"/>
              <w:divId w:val="586966443"/>
              <w:rPr>
                <w:rFonts w:eastAsia="Times New Roman"/>
              </w:rPr>
            </w:pPr>
            <w:hyperlink w:anchor="i4720991a3d574ba2ab7d34b235a82556_886"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499" w:history="1">
              <w:r>
                <w:rPr>
                  <w:rStyle w:val="a3"/>
                  <w:rFonts w:eastAsia="Times New Roman"/>
                  <w:sz w:val="18"/>
                  <w:szCs w:val="18"/>
                </w:rPr>
                <w:t>119</w:t>
              </w:r>
            </w:hyperlink>
          </w:p>
        </w:tc>
      </w:tr>
      <w:tr w:rsidR="00000000">
        <w:trPr>
          <w:divId w:val="1290936270"/>
          <w:jc w:val="center"/>
        </w:trPr>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Item 6.</w:t>
            </w:r>
          </w:p>
        </w:tc>
        <w:tc>
          <w:tcPr>
            <w:tcW w:w="0" w:type="auto"/>
            <w:gridSpan w:val="3"/>
            <w:tcMar>
              <w:top w:w="30" w:type="dxa"/>
              <w:left w:w="20" w:type="dxa"/>
              <w:bottom w:w="30" w:type="dxa"/>
              <w:right w:w="20" w:type="dxa"/>
            </w:tcMar>
            <w:vAlign w:val="center"/>
            <w:hideMark/>
          </w:tcPr>
          <w:p w:rsidR="00000000" w:rsidRDefault="00897B14">
            <w:pPr>
              <w:spacing w:after="100"/>
              <w:divId w:val="1759712914"/>
              <w:rPr>
                <w:rFonts w:eastAsia="Times New Roman"/>
              </w:rPr>
            </w:pPr>
            <w:hyperlink w:anchor="i4720991a3d574ba2ab7d34b235a82556_502"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502" w:history="1">
              <w:r>
                <w:rPr>
                  <w:rStyle w:val="a3"/>
                  <w:rFonts w:eastAsia="Times New Roman"/>
                  <w:sz w:val="18"/>
                  <w:szCs w:val="18"/>
                </w:rPr>
                <w:t>120</w:t>
              </w:r>
            </w:hyperlink>
          </w:p>
        </w:tc>
      </w:tr>
      <w:tr w:rsidR="00000000">
        <w:trPr>
          <w:divId w:val="1290936270"/>
          <w:trHeight w:val="28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90936270"/>
          <w:jc w:val="center"/>
        </w:trPr>
        <w:tc>
          <w:tcPr>
            <w:tcW w:w="0" w:type="auto"/>
            <w:gridSpan w:val="6"/>
            <w:tcMar>
              <w:top w:w="30" w:type="dxa"/>
              <w:left w:w="20" w:type="dxa"/>
              <w:bottom w:w="30" w:type="dxa"/>
              <w:right w:w="20" w:type="dxa"/>
            </w:tcMar>
            <w:vAlign w:val="center"/>
            <w:hideMark/>
          </w:tcPr>
          <w:p w:rsidR="00000000" w:rsidRDefault="00897B14">
            <w:pPr>
              <w:spacing w:after="100"/>
              <w:divId w:val="1844203017"/>
              <w:rPr>
                <w:rFonts w:eastAsia="Times New Roman"/>
              </w:rPr>
            </w:pPr>
            <w:hyperlink w:anchor="i4720991a3d574ba2ab7d34b235a82556_931" w:history="1">
              <w:r>
                <w:rPr>
                  <w:rStyle w:val="a3"/>
                  <w:rFonts w:eastAsia="Times New Roman"/>
                  <w:sz w:val="18"/>
                  <w:szCs w:val="18"/>
                </w:rPr>
                <w:t>Signatures</w:t>
              </w:r>
            </w:hyperlink>
          </w:p>
        </w:tc>
        <w:tc>
          <w:tcPr>
            <w:tcW w:w="0" w:type="auto"/>
            <w:gridSpan w:val="3"/>
            <w:tcMar>
              <w:top w:w="30" w:type="dxa"/>
              <w:left w:w="20" w:type="dxa"/>
              <w:bottom w:w="30" w:type="dxa"/>
              <w:right w:w="20" w:type="dxa"/>
            </w:tcMar>
            <w:vAlign w:val="center"/>
            <w:hideMark/>
          </w:tcPr>
          <w:p w:rsidR="00000000" w:rsidRDefault="00897B14">
            <w:pPr>
              <w:spacing w:after="100"/>
              <w:jc w:val="center"/>
              <w:rPr>
                <w:rFonts w:eastAsia="Times New Roman"/>
              </w:rPr>
            </w:pPr>
            <w:hyperlink w:anchor="i4720991a3d574ba2ab7d34b235a82556_511" w:history="1">
              <w:r>
                <w:rPr>
                  <w:rStyle w:val="a3"/>
                  <w:rFonts w:eastAsia="Times New Roman"/>
                  <w:sz w:val="18"/>
                  <w:szCs w:val="18"/>
                </w:rPr>
                <w:t>126</w:t>
              </w:r>
            </w:hyperlink>
          </w:p>
        </w:tc>
      </w:tr>
    </w:tbl>
    <w:p w:rsidR="00000000" w:rsidRDefault="00897B14">
      <w:pPr>
        <w:divId w:val="766190819"/>
        <w:rPr>
          <w:rFonts w:eastAsia="Times New Roman"/>
        </w:rPr>
      </w:pPr>
    </w:p>
    <w:p w:rsidR="00000000" w:rsidRDefault="00897B14">
      <w:pPr>
        <w:divId w:val="840853032"/>
        <w:rPr>
          <w:rFonts w:eastAsia="Times New Roman"/>
        </w:rPr>
      </w:pPr>
    </w:p>
    <w:p w:rsidR="00000000" w:rsidRDefault="00897B14">
      <w:pPr>
        <w:rPr>
          <w:rFonts w:eastAsia="Times New Roman"/>
        </w:rPr>
      </w:pPr>
      <w:r>
        <w:rPr>
          <w:rFonts w:eastAsia="Times New Roman"/>
        </w:rPr>
        <w:pict>
          <v:rect id="_x0000_i1027" style="width:0;height:1.5pt" o:hralign="center" o:hrstd="t" o:hr="t" fillcolor="#a0a0a0" stroked="f"/>
        </w:pict>
      </w:r>
    </w:p>
    <w:p w:rsidR="00000000" w:rsidRDefault="00897B14">
      <w:pPr>
        <w:divId w:val="101122235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741559225"/>
        <w:rPr>
          <w:rFonts w:eastAsia="Times New Roman"/>
        </w:rPr>
      </w:pPr>
      <w:r>
        <w:rPr>
          <w:rFonts w:eastAsia="Times New Roman"/>
          <w:b/>
          <w:bCs/>
          <w:color w:val="000000"/>
          <w:sz w:val="20"/>
          <w:szCs w:val="20"/>
        </w:rPr>
        <w:t xml:space="preserve">NOTE REGARDING FORWARD-LOOKING STATEMENTS AND INFORMATION </w:t>
      </w:r>
    </w:p>
    <w:p w:rsidR="00000000" w:rsidRDefault="00897B14">
      <w:pPr>
        <w:ind w:firstLine="360"/>
        <w:divId w:val="104813373"/>
        <w:rPr>
          <w:rFonts w:eastAsia="Times New Roman"/>
        </w:rPr>
      </w:pPr>
      <w:r>
        <w:rPr>
          <w:rFonts w:eastAsia="Times New Roman"/>
          <w:color w:val="000000"/>
          <w:sz w:val="20"/>
          <w:szCs w:val="20"/>
        </w:rPr>
        <w:t>Certain of the statements included or incorporated by reference in this Quarterly Report on Form 10-Q constitute forward-looking statements within the meaning of the Private Securities Litigation Reform Act of 1995. Words such as “expects,” “believes,” “an</w:t>
      </w:r>
      <w:r>
        <w:rPr>
          <w:rFonts w:eastAsia="Times New Roman"/>
          <w:color w:val="000000"/>
          <w:sz w:val="20"/>
          <w:szCs w:val="20"/>
        </w:rPr>
        <w:t xml:space="preserve">ticipates,” “intends,” “seeks,” “aims,” “plans,” “assumes,” “estimates,” “projects,” “should,” “would,” “could,” “may,” “will,” “shall” or variations of such words are generally part of forward-looking statements. Forward-looking statements are made based </w:t>
      </w:r>
      <w:r>
        <w:rPr>
          <w:rFonts w:eastAsia="Times New Roman"/>
          <w:color w:val="000000"/>
          <w:sz w:val="20"/>
          <w:szCs w:val="20"/>
        </w:rPr>
        <w:t>on management’s current expectations and beliefs concerning future developments and their potential effects upon Equitable Holdings, Inc. (“Holdings”) and its consolidated subsidiaries. “We,” “us” and “our” refer to Holdings and its consolidated subsidiari</w:t>
      </w:r>
      <w:r>
        <w:rPr>
          <w:rFonts w:eastAsia="Times New Roman"/>
          <w:color w:val="000000"/>
          <w:sz w:val="20"/>
          <w:szCs w:val="20"/>
        </w:rPr>
        <w:t>es, unless the context refers only to Holdings as a corporate entity. There can be no assurance that future developments affecting Holdings will be those anticipated by management. Forward-looking statements include, without limitation, all matters that ar</w:t>
      </w:r>
      <w:r>
        <w:rPr>
          <w:rFonts w:eastAsia="Times New Roman"/>
          <w:color w:val="000000"/>
          <w:sz w:val="20"/>
          <w:szCs w:val="20"/>
        </w:rPr>
        <w:t xml:space="preserve">e not historical facts. </w:t>
      </w:r>
    </w:p>
    <w:p w:rsidR="00000000" w:rsidRDefault="00897B14">
      <w:pPr>
        <w:ind w:firstLine="360"/>
        <w:divId w:val="1965694392"/>
        <w:rPr>
          <w:rFonts w:eastAsia="Times New Roman"/>
        </w:rPr>
      </w:pPr>
      <w:r>
        <w:rPr>
          <w:rFonts w:eastAsia="Times New Roman"/>
          <w:color w:val="000000"/>
          <w:sz w:val="20"/>
          <w:szCs w:val="20"/>
        </w:rPr>
        <w:t>These forward-looking statements are not a guarantee of future performance and involve risks and uncertainties, and there are certain important factors that could cause actual results to differ, possibly materially, from expectatio</w:t>
      </w:r>
      <w:r>
        <w:rPr>
          <w:rFonts w:eastAsia="Times New Roman"/>
          <w:color w:val="000000"/>
          <w:sz w:val="20"/>
          <w:szCs w:val="20"/>
        </w:rPr>
        <w:t>ns or estimates reflected in such forward-looking statements, including, among others: (i) conditions in the financial markets and economy, including the impact of COVID-19 and related economic conditions, equity market declines and volatility, interest ra</w:t>
      </w:r>
      <w:r>
        <w:rPr>
          <w:rFonts w:eastAsia="Times New Roman"/>
          <w:color w:val="000000"/>
          <w:sz w:val="20"/>
          <w:szCs w:val="20"/>
        </w:rPr>
        <w:t>te fluctuations, impacts on our goodwill and changes in liquidity and access to and cost of capital; (ii) operational factors, including reliance on the payment of dividends to Holdings by its subsidiaries, protection of confidential customer information o</w:t>
      </w:r>
      <w:r>
        <w:rPr>
          <w:rFonts w:eastAsia="Times New Roman"/>
          <w:color w:val="000000"/>
          <w:sz w:val="20"/>
          <w:szCs w:val="20"/>
        </w:rPr>
        <w:t xml:space="preserve">r proprietary business information, operational failures by us or our service providers, and catastrophic events, such as the outbreak of pandemic diseases including COVID-19; (iii) credit, counterparties and investments, including counterparty default on </w:t>
      </w:r>
      <w:r>
        <w:rPr>
          <w:rFonts w:eastAsia="Times New Roman"/>
          <w:color w:val="000000"/>
          <w:sz w:val="20"/>
          <w:szCs w:val="20"/>
        </w:rPr>
        <w:t xml:space="preserve">derivative contracts, failure of financial institutions, defaults by third parties and affiliates and economic downturns, defaults and other events adversely affecting our investments; (iv) our reinsurance and hedging programs; (v) our products, structure </w:t>
      </w:r>
      <w:r>
        <w:rPr>
          <w:rFonts w:eastAsia="Times New Roman"/>
          <w:color w:val="000000"/>
          <w:sz w:val="20"/>
          <w:szCs w:val="20"/>
        </w:rPr>
        <w:t>and product distribution, including variable annuity guaranteed benefits features within certain of our products, variations in statutory capital requirements, financial strength and claims-paying ratings, state insurance laws limiting the ability of our i</w:t>
      </w:r>
      <w:r>
        <w:rPr>
          <w:rFonts w:eastAsia="Times New Roman"/>
          <w:color w:val="000000"/>
          <w:sz w:val="20"/>
          <w:szCs w:val="20"/>
        </w:rPr>
        <w:t>nsurance subsidiaries to pay dividends and key product distribution relationships; (vi) estimates, assumptions and valuations, including risk management policies and procedures, potential inadequacy of reserves and experience differing from pricing expecta</w:t>
      </w:r>
      <w:r>
        <w:rPr>
          <w:rFonts w:eastAsia="Times New Roman"/>
          <w:color w:val="000000"/>
          <w:sz w:val="20"/>
          <w:szCs w:val="20"/>
        </w:rPr>
        <w:t>tions, amortization of deferred acquisition costs and financial models; (vii) our Investment Management and Research segment, including fluctuations in assets under management and the industry-wide shift from actively-managed investment services to passive</w:t>
      </w:r>
      <w:r>
        <w:rPr>
          <w:rFonts w:eastAsia="Times New Roman"/>
          <w:color w:val="000000"/>
          <w:sz w:val="20"/>
          <w:szCs w:val="20"/>
        </w:rPr>
        <w:t xml:space="preserve"> services; (viii) legal and regulatory risks, including federal and state legislation affecting financial institutions, insurance regulation and tax reform; (ix) risks related to our common stock and </w:t>
      </w:r>
      <w:r>
        <w:rPr>
          <w:rFonts w:eastAsia="Times New Roman"/>
          <w:color w:val="000000"/>
          <w:sz w:val="20"/>
          <w:szCs w:val="20"/>
        </w:rPr>
        <w:lastRenderedPageBreak/>
        <w:t>(x) general risks, including strong industry competition</w:t>
      </w:r>
      <w:r>
        <w:rPr>
          <w:rFonts w:eastAsia="Times New Roman"/>
          <w:color w:val="000000"/>
          <w:sz w:val="20"/>
          <w:szCs w:val="20"/>
        </w:rPr>
        <w:t xml:space="preserve">, information systems failing or being compromised and protecting our intellectual property. </w:t>
      </w:r>
    </w:p>
    <w:p w:rsidR="00000000" w:rsidRDefault="00897B14">
      <w:pPr>
        <w:ind w:firstLine="360"/>
        <w:divId w:val="554047848"/>
        <w:rPr>
          <w:rFonts w:eastAsia="Times New Roman"/>
        </w:rPr>
      </w:pPr>
      <w:r>
        <w:rPr>
          <w:rFonts w:eastAsia="Times New Roman"/>
          <w:color w:val="000000"/>
          <w:sz w:val="20"/>
          <w:szCs w:val="20"/>
        </w:rPr>
        <w:t>Forward-looking statements should be read in conjunction with the other cautionary statements, risks, uncertainties and other factors identified in Holdings’ Annu</w:t>
      </w:r>
      <w:r>
        <w:rPr>
          <w:rFonts w:eastAsia="Times New Roman"/>
          <w:color w:val="000000"/>
          <w:sz w:val="20"/>
          <w:szCs w:val="20"/>
        </w:rPr>
        <w:t>al Report on Form 10-K for the year ended December 31, 2020, as amended or supplemented in our subsequently filed Quarterly Reports on Form 10-Q, including in the section entitled “Risk Factors,” and elsewhere in this Quarterly Report on Form 10-Q. You sho</w:t>
      </w:r>
      <w:r>
        <w:rPr>
          <w:rFonts w:eastAsia="Times New Roman"/>
          <w:color w:val="000000"/>
          <w:sz w:val="20"/>
          <w:szCs w:val="20"/>
        </w:rPr>
        <w:t xml:space="preserve">uld read this Form 10-Q completely and with the understanding the actual future results may be materially different from expectations. Further, any forward-looking statement speaks only as of the date on which it is made, and we undertake no obligation to </w:t>
      </w:r>
      <w:r>
        <w:rPr>
          <w:rFonts w:eastAsia="Times New Roman"/>
          <w:color w:val="000000"/>
          <w:sz w:val="20"/>
          <w:szCs w:val="20"/>
        </w:rPr>
        <w:t>update or revise any forward-looking statement to reflect events or circumstances after the date on which the statement is made or to reflect the occurrence of unanticipated events, except as otherwise may be required by law.</w:t>
      </w:r>
    </w:p>
    <w:p w:rsidR="00000000" w:rsidRDefault="00897B14">
      <w:pPr>
        <w:ind w:firstLine="360"/>
        <w:divId w:val="681203153"/>
        <w:rPr>
          <w:rFonts w:eastAsia="Times New Roman"/>
        </w:rPr>
      </w:pPr>
      <w:r>
        <w:rPr>
          <w:rFonts w:eastAsia="Times New Roman"/>
          <w:color w:val="000000"/>
          <w:sz w:val="20"/>
          <w:szCs w:val="20"/>
        </w:rPr>
        <w:t>Other risks, uncertainties and</w:t>
      </w:r>
      <w:r>
        <w:rPr>
          <w:rFonts w:eastAsia="Times New Roman"/>
          <w:color w:val="000000"/>
          <w:sz w:val="20"/>
          <w:szCs w:val="20"/>
        </w:rPr>
        <w:t xml:space="preserve"> factors, including those discussed under “Risk Factors”, in our Annual Report on Form 10-K could cause our actual results to differ materially from those projected in any forward-looking statements we make. Readers should read carefully the factors descri</w:t>
      </w:r>
      <w:r>
        <w:rPr>
          <w:rFonts w:eastAsia="Times New Roman"/>
          <w:color w:val="000000"/>
          <w:sz w:val="20"/>
          <w:szCs w:val="20"/>
        </w:rPr>
        <w:t xml:space="preserve">bed in “Risk Factors” in our Annual Report on Form 10-K to better understand the risks and uncertainties inherent in our business and underlying any forward-looking statements. </w:t>
      </w:r>
    </w:p>
    <w:p w:rsidR="00000000" w:rsidRDefault="00897B14">
      <w:pPr>
        <w:ind w:firstLine="360"/>
        <w:divId w:val="1693796018"/>
        <w:rPr>
          <w:rFonts w:eastAsia="Times New Roman"/>
        </w:rPr>
      </w:pPr>
      <w:r>
        <w:rPr>
          <w:rFonts w:eastAsia="Times New Roman"/>
          <w:color w:val="000000"/>
          <w:sz w:val="20"/>
          <w:szCs w:val="20"/>
        </w:rPr>
        <w:t>Throughout this Quarterly Report on Form 10-Q we use certain defined terms and</w:t>
      </w:r>
      <w:r>
        <w:rPr>
          <w:rFonts w:eastAsia="Times New Roman"/>
          <w:color w:val="000000"/>
          <w:sz w:val="20"/>
          <w:szCs w:val="20"/>
        </w:rPr>
        <w:t xml:space="preserve"> abbreviations, which are summarized in the “Glossary” and “Acronyms” sections.</w:t>
      </w:r>
    </w:p>
    <w:p w:rsidR="00000000" w:rsidRDefault="00897B14">
      <w:pPr>
        <w:jc w:val="center"/>
        <w:divId w:val="652684504"/>
        <w:rPr>
          <w:rFonts w:eastAsia="Times New Roman"/>
        </w:rPr>
      </w:pPr>
      <w:r>
        <w:rPr>
          <w:rFonts w:eastAsia="Times New Roman"/>
          <w:color w:val="000000"/>
          <w:sz w:val="20"/>
          <w:szCs w:val="20"/>
        </w:rPr>
        <w:t>2</w:t>
      </w:r>
    </w:p>
    <w:p w:rsidR="00000000" w:rsidRDefault="00897B14">
      <w:pPr>
        <w:rPr>
          <w:rFonts w:eastAsia="Times New Roman"/>
        </w:rPr>
      </w:pPr>
      <w:r>
        <w:rPr>
          <w:rFonts w:eastAsia="Times New Roman"/>
        </w:rPr>
        <w:pict>
          <v:rect id="_x0000_i1028" style="width:0;height:1.5pt" o:hralign="center" o:hrstd="t" o:hr="t" fillcolor="#a0a0a0" stroked="f"/>
        </w:pict>
      </w:r>
    </w:p>
    <w:p w:rsidR="00000000" w:rsidRDefault="00897B14">
      <w:pPr>
        <w:divId w:val="199729637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688631443"/>
        <w:rPr>
          <w:rFonts w:eastAsia="Times New Roman"/>
        </w:rPr>
      </w:pPr>
      <w:r>
        <w:rPr>
          <w:rFonts w:eastAsia="Times New Roman"/>
          <w:b/>
          <w:bCs/>
          <w:color w:val="000000"/>
          <w:sz w:val="20"/>
          <w:szCs w:val="20"/>
        </w:rPr>
        <w:t xml:space="preserve">Part I FINANCIAL INFORMATION </w:t>
      </w:r>
    </w:p>
    <w:p w:rsidR="00000000" w:rsidRDefault="00897B14">
      <w:pPr>
        <w:divId w:val="1454012872"/>
        <w:rPr>
          <w:rFonts w:eastAsia="Times New Roman"/>
        </w:rPr>
      </w:pPr>
      <w:r>
        <w:rPr>
          <w:rFonts w:eastAsia="Times New Roman"/>
          <w:b/>
          <w:bCs/>
          <w:color w:val="000000"/>
          <w:sz w:val="20"/>
          <w:szCs w:val="20"/>
        </w:rPr>
        <w:t xml:space="preserve">Item 1. </w:t>
      </w:r>
      <w:r>
        <w:rPr>
          <w:rFonts w:eastAsia="Times New Roman"/>
          <w:b/>
          <w:bCs/>
          <w:color w:val="000000"/>
          <w:sz w:val="20"/>
          <w:szCs w:val="20"/>
        </w:rPr>
        <w:t xml:space="preserve">Consolidated Financial Statements </w:t>
      </w:r>
    </w:p>
    <w:p w:rsidR="00000000" w:rsidRDefault="00897B14">
      <w:pPr>
        <w:divId w:val="288634971"/>
        <w:rPr>
          <w:rFonts w:eastAsia="Times New Roman"/>
        </w:rPr>
      </w:pPr>
    </w:p>
    <w:p w:rsidR="00000000" w:rsidRDefault="00897B14">
      <w:pPr>
        <w:jc w:val="center"/>
        <w:divId w:val="59059817"/>
        <w:rPr>
          <w:rFonts w:eastAsia="Times New Roman"/>
        </w:rPr>
      </w:pPr>
      <w:r>
        <w:rPr>
          <w:rFonts w:eastAsia="Times New Roman"/>
          <w:color w:val="000000"/>
          <w:sz w:val="20"/>
          <w:szCs w:val="20"/>
        </w:rPr>
        <w:t>3</w:t>
      </w:r>
    </w:p>
    <w:p w:rsidR="00000000" w:rsidRDefault="00897B14">
      <w:pPr>
        <w:rPr>
          <w:rFonts w:eastAsia="Times New Roman"/>
        </w:rPr>
      </w:pPr>
      <w:r>
        <w:rPr>
          <w:rFonts w:eastAsia="Times New Roman"/>
        </w:rPr>
        <w:pict>
          <v:rect id="_x0000_i1029" style="width:0;height:1.5pt" o:hralign="center" o:hrstd="t" o:hr="t" fillcolor="#a0a0a0" stroked="f"/>
        </w:pict>
      </w:r>
    </w:p>
    <w:p w:rsidR="00000000" w:rsidRDefault="00897B14">
      <w:pPr>
        <w:jc w:val="center"/>
        <w:divId w:val="1473064171"/>
        <w:rPr>
          <w:rFonts w:eastAsia="Times New Roman"/>
        </w:rPr>
      </w:pPr>
      <w:r>
        <w:rPr>
          <w:rFonts w:eastAsia="Times New Roman"/>
          <w:b/>
          <w:bCs/>
          <w:color w:val="000000"/>
          <w:sz w:val="20"/>
          <w:szCs w:val="20"/>
        </w:rPr>
        <w:t>EQUITABLE HOLDINGS, INC.</w:t>
      </w:r>
    </w:p>
    <w:p w:rsidR="00000000" w:rsidRDefault="00897B14">
      <w:pPr>
        <w:jc w:val="center"/>
        <w:divId w:val="1473064171"/>
        <w:rPr>
          <w:rFonts w:eastAsia="Times New Roman"/>
        </w:rPr>
      </w:pPr>
      <w:r>
        <w:rPr>
          <w:rFonts w:eastAsia="Times New Roman"/>
          <w:b/>
          <w:bCs/>
          <w:color w:val="000000"/>
          <w:sz w:val="20"/>
          <w:szCs w:val="20"/>
        </w:rPr>
        <w:t>Consolidated Balance Sheets</w:t>
      </w:r>
    </w:p>
    <w:p w:rsidR="00000000" w:rsidRDefault="00897B14">
      <w:pPr>
        <w:jc w:val="center"/>
        <w:divId w:val="1473064171"/>
        <w:rPr>
          <w:rFonts w:eastAsia="Times New Roman"/>
        </w:rPr>
      </w:pPr>
      <w:r>
        <w:rPr>
          <w:rFonts w:eastAsia="Times New Roman"/>
          <w:b/>
          <w:bCs/>
          <w:color w:val="000000"/>
          <w:sz w:val="20"/>
          <w:szCs w:val="20"/>
        </w:rPr>
        <w:t>June 30, 2021 (Unaudited) and December 31, 2020</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6059"/>
        <w:gridCol w:w="38"/>
        <w:gridCol w:w="120"/>
        <w:gridCol w:w="888"/>
        <w:gridCol w:w="36"/>
        <w:gridCol w:w="36"/>
        <w:gridCol w:w="36"/>
        <w:gridCol w:w="36"/>
        <w:gridCol w:w="121"/>
        <w:gridCol w:w="850"/>
        <w:gridCol w:w="36"/>
      </w:tblGrid>
      <w:tr w:rsidR="00000000">
        <w:trPr>
          <w:jc w:val="center"/>
        </w:trPr>
        <w:tc>
          <w:tcPr>
            <w:tcW w:w="50" w:type="pct"/>
            <w:vAlign w:val="center"/>
            <w:hideMark/>
          </w:tcPr>
          <w:p w:rsidR="00000000" w:rsidRDefault="00897B14">
            <w:pPr>
              <w:jc w:val="center"/>
              <w:rPr>
                <w:rFonts w:eastAsia="Times New Roman"/>
              </w:rPr>
            </w:pPr>
          </w:p>
        </w:tc>
        <w:tc>
          <w:tcPr>
            <w:tcW w:w="367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trHeight w:val="10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2020</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(in millions, except share data)</w:t>
            </w: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917639215"/>
              <w:rPr>
                <w:rFonts w:eastAsia="Times New Roman"/>
              </w:rPr>
            </w:pPr>
            <w:r>
              <w:rPr>
                <w:rFonts w:eastAsia="Times New Roman"/>
                <w:color w:val="000000"/>
                <w:sz w:val="20"/>
                <w:szCs w:val="20"/>
              </w:rPr>
              <w:t>Fixed maturities available-for-sale, at fair value (amortized cost of $70,419 and $72,867) (allowance for credit losses of $25 and $13)</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75,755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81,638 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1835490406"/>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1552426927"/>
              <w:rPr>
                <w:rFonts w:eastAsia="Times New Roman"/>
              </w:rPr>
            </w:pPr>
            <w:r>
              <w:rPr>
                <w:rFonts w:eastAsia="Times New Roman"/>
                <w:color w:val="000000"/>
                <w:sz w:val="20"/>
                <w:szCs w:val="20"/>
              </w:rPr>
              <w:t>Mortgage loans on real estate (net of allowance for credit losses of $63 and $81)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lastRenderedPageBreak/>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2,728 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100,467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109,087 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6,179 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1,753 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4,243 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4,737 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75521166"/>
              <w:rPr>
                <w:rFonts w:eastAsia="Times New Roman"/>
              </w:rPr>
            </w:pPr>
            <w:r>
              <w:rPr>
                <w:rFonts w:eastAsia="Times New Roman"/>
                <w:color w:val="000000"/>
                <w:sz w:val="20"/>
                <w:szCs w:val="20"/>
              </w:rPr>
              <w:t>Amounts due from reinsurers (allowance for credit losses of $5 and $5)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14,462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4,566 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3,701 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Assets held-for-sale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Accounts assets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145,565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135,950 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285,982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275,397 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75,169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66,820 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36,835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39,881 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Broker-dealer related payables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Customer related payables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3,417 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Amounts due to reinsurers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Short-term and long-term debt </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3,686 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Liabilities held-for-sale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Accounts liabilities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145,565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135,950 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272,636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258,077 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Redeemable noncontrolling interest (1) (2)</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1754160717"/>
              <w:rPr>
                <w:rFonts w:eastAsia="Times New Roman"/>
              </w:rPr>
            </w:pPr>
            <w:r>
              <w:rPr>
                <w:rFonts w:eastAsia="Times New Roman"/>
                <w:color w:val="000000"/>
                <w:sz w:val="20"/>
                <w:szCs w:val="20"/>
              </w:rPr>
              <w:t>Commitments and contingent liabilities (Note 12)</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1618682776"/>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499541686"/>
              <w:rPr>
                <w:rFonts w:eastAsia="Times New Roman"/>
              </w:rPr>
            </w:pPr>
            <w:r>
              <w:rPr>
                <w:rFonts w:eastAsia="Times New Roman"/>
                <w:color w:val="000000"/>
                <w:sz w:val="20"/>
                <w:szCs w:val="20"/>
              </w:rPr>
              <w:t>Common stock, $0.01 par value, 2,000,000,000 shares authorized; 540,539,096 and 552,896,328 shares issued, respectively; 420,325,959 and 440,776,011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lastRenderedPageBreak/>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1,985 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2037264592"/>
              <w:rPr>
                <w:rFonts w:eastAsia="Times New Roman"/>
              </w:rPr>
            </w:pPr>
            <w:r>
              <w:rPr>
                <w:rFonts w:eastAsia="Times New Roman"/>
                <w:color w:val="000000"/>
                <w:sz w:val="20"/>
                <w:szCs w:val="20"/>
              </w:rPr>
              <w:t>Treasury stock, at cost, 120,213,137 and 112,120,317 shares, respectively</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(2,537)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(2,245)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8,739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10,699 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3,863 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1,601 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285,982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275,397 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270"/>
        <w:divId w:val="1281306080"/>
        <w:rPr>
          <w:rFonts w:eastAsia="Times New Roman"/>
        </w:rPr>
      </w:pPr>
      <w:r>
        <w:rPr>
          <w:rFonts w:eastAsia="Times New Roman"/>
          <w:color w:val="000000"/>
          <w:sz w:val="18"/>
          <w:szCs w:val="18"/>
        </w:rPr>
        <w:t>____________</w:t>
      </w:r>
    </w:p>
    <w:p w:rsidR="00000000" w:rsidRDefault="00897B14">
      <w:pPr>
        <w:ind w:hanging="360"/>
        <w:divId w:val="263851739"/>
        <w:rPr>
          <w:rFonts w:eastAsia="Times New Roman"/>
        </w:rPr>
      </w:pPr>
      <w:r>
        <w:rPr>
          <w:rFonts w:eastAsia="Times New Roman"/>
          <w:color w:val="000000"/>
          <w:sz w:val="18"/>
          <w:szCs w:val="18"/>
        </w:rPr>
        <w:t xml:space="preserve">(1) </w:t>
      </w:r>
      <w:r>
        <w:rPr>
          <w:rFonts w:eastAsia="Times New Roman"/>
          <w:color w:val="000000"/>
          <w:sz w:val="18"/>
          <w:szCs w:val="18"/>
        </w:rPr>
        <w:t>See Note 2 for details of balances with VIEs.</w:t>
      </w:r>
    </w:p>
    <w:p w:rsidR="00000000" w:rsidRDefault="00897B14">
      <w:pPr>
        <w:ind w:hanging="270"/>
        <w:divId w:val="1655796037"/>
        <w:rPr>
          <w:rFonts w:eastAsia="Times New Roman"/>
        </w:rPr>
      </w:pPr>
      <w:r>
        <w:rPr>
          <w:rFonts w:eastAsia="Times New Roman"/>
          <w:color w:val="000000"/>
          <w:sz w:val="18"/>
          <w:szCs w:val="18"/>
        </w:rPr>
        <w:t>(2) See Note 11 for details of redeemable noncontrolling interest.</w:t>
      </w:r>
    </w:p>
    <w:p w:rsidR="00000000" w:rsidRDefault="00897B14">
      <w:pPr>
        <w:jc w:val="center"/>
        <w:rPr>
          <w:rFonts w:eastAsia="Times New Roman"/>
        </w:rPr>
      </w:pPr>
      <w:r>
        <w:rPr>
          <w:rFonts w:eastAsia="Times New Roman"/>
          <w:color w:val="000000"/>
          <w:sz w:val="20"/>
          <w:szCs w:val="20"/>
        </w:rPr>
        <w:t>See Notes to Consolidated Financial Statements (Unaudited).</w:t>
      </w:r>
    </w:p>
    <w:p w:rsidR="00000000" w:rsidRDefault="00897B14">
      <w:pPr>
        <w:jc w:val="center"/>
        <w:divId w:val="335768186"/>
        <w:rPr>
          <w:rFonts w:eastAsia="Times New Roman"/>
        </w:rPr>
      </w:pPr>
      <w:r>
        <w:rPr>
          <w:rFonts w:eastAsia="Times New Roman"/>
          <w:color w:val="000000"/>
          <w:sz w:val="20"/>
          <w:szCs w:val="20"/>
        </w:rPr>
        <w:t>4</w:t>
      </w:r>
    </w:p>
    <w:p w:rsidR="00000000" w:rsidRDefault="00897B14">
      <w:pPr>
        <w:rPr>
          <w:rFonts w:eastAsia="Times New Roman"/>
        </w:rPr>
      </w:pPr>
      <w:r>
        <w:rPr>
          <w:rFonts w:eastAsia="Times New Roman"/>
        </w:rPr>
        <w:pict>
          <v:rect id="_x0000_i1030" style="width:0;height:1.5pt" o:hralign="center" o:hrstd="t" o:hr="t" fillcolor="#a0a0a0" stroked="f"/>
        </w:pict>
      </w:r>
    </w:p>
    <w:p w:rsidR="00000000" w:rsidRDefault="00897B14">
      <w:pPr>
        <w:jc w:val="center"/>
        <w:divId w:val="1419323326"/>
        <w:rPr>
          <w:rFonts w:eastAsia="Times New Roman"/>
        </w:rPr>
      </w:pPr>
      <w:r>
        <w:rPr>
          <w:rFonts w:eastAsia="Times New Roman"/>
          <w:b/>
          <w:bCs/>
          <w:color w:val="000000"/>
          <w:sz w:val="20"/>
          <w:szCs w:val="20"/>
        </w:rPr>
        <w:t>EQUITABLE HOLDINGS, INC.</w:t>
      </w:r>
    </w:p>
    <w:p w:rsidR="00000000" w:rsidRDefault="00897B14">
      <w:pPr>
        <w:jc w:val="center"/>
        <w:divId w:val="1419323326"/>
        <w:rPr>
          <w:rFonts w:eastAsia="Times New Roman"/>
        </w:rPr>
      </w:pPr>
      <w:r>
        <w:rPr>
          <w:rFonts w:eastAsia="Times New Roman"/>
          <w:b/>
          <w:bCs/>
          <w:color w:val="000000"/>
          <w:sz w:val="20"/>
          <w:szCs w:val="20"/>
        </w:rPr>
        <w:t>Consolidated Statem</w:t>
      </w:r>
      <w:r>
        <w:rPr>
          <w:rFonts w:eastAsia="Times New Roman"/>
          <w:b/>
          <w:bCs/>
          <w:color w:val="000000"/>
          <w:sz w:val="20"/>
          <w:szCs w:val="20"/>
        </w:rPr>
        <w:t>ents of Income (Loss)</w:t>
      </w:r>
    </w:p>
    <w:p w:rsidR="00000000" w:rsidRDefault="00897B14">
      <w:pPr>
        <w:jc w:val="center"/>
        <w:divId w:val="1639069528"/>
        <w:rPr>
          <w:rFonts w:eastAsia="Times New Roman"/>
        </w:rPr>
      </w:pPr>
      <w:r>
        <w:rPr>
          <w:rFonts w:eastAsia="Times New Roman"/>
          <w:b/>
          <w:bCs/>
          <w:color w:val="000000"/>
          <w:sz w:val="20"/>
          <w:szCs w:val="20"/>
        </w:rPr>
        <w:t>For the Three and Six Months Ended June 30, 2021 and 2020 (Unaudited)</w:t>
      </w:r>
    </w:p>
    <w:p w:rsidR="00000000" w:rsidRDefault="00897B14">
      <w:pPr>
        <w:divId w:val="72268240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50"/>
        <w:gridCol w:w="37"/>
        <w:gridCol w:w="121"/>
        <w:gridCol w:w="699"/>
        <w:gridCol w:w="36"/>
        <w:gridCol w:w="36"/>
        <w:gridCol w:w="36"/>
        <w:gridCol w:w="36"/>
        <w:gridCol w:w="120"/>
        <w:gridCol w:w="630"/>
        <w:gridCol w:w="36"/>
        <w:gridCol w:w="36"/>
        <w:gridCol w:w="36"/>
        <w:gridCol w:w="36"/>
        <w:gridCol w:w="120"/>
        <w:gridCol w:w="843"/>
        <w:gridCol w:w="36"/>
        <w:gridCol w:w="36"/>
        <w:gridCol w:w="36"/>
        <w:gridCol w:w="36"/>
        <w:gridCol w:w="120"/>
        <w:gridCol w:w="844"/>
        <w:gridCol w:w="36"/>
        <w:gridCol w:w="36"/>
        <w:gridCol w:w="36"/>
        <w:gridCol w:w="36"/>
        <w:gridCol w:w="36"/>
        <w:gridCol w:w="36"/>
        <w:gridCol w:w="36"/>
      </w:tblGrid>
      <w:tr w:rsidR="00000000">
        <w:trPr>
          <w:jc w:val="center"/>
        </w:trPr>
        <w:tc>
          <w:tcPr>
            <w:tcW w:w="50" w:type="pct"/>
            <w:vAlign w:val="center"/>
            <w:hideMark/>
          </w:tcPr>
          <w:p w:rsidR="00000000" w:rsidRDefault="00897B14">
            <w:pPr>
              <w:rPr>
                <w:rFonts w:eastAsia="Times New Roman"/>
              </w:rPr>
            </w:pPr>
          </w:p>
        </w:tc>
        <w:tc>
          <w:tcPr>
            <w:tcW w:w="254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(1,199)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(6,038)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(3,745)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Credit losses on Available for 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51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management and service fees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2,950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4,103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736 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3,512 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640 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1,465 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5,667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1,075 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(4,019)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(8.94)</w:t>
            </w:r>
          </w:p>
        </w:tc>
        <w:tc>
          <w:tcPr>
            <w:tcW w:w="0" w:type="auto"/>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2.95 </w:t>
            </w:r>
          </w:p>
        </w:tc>
        <w:tc>
          <w:tcPr>
            <w:tcW w:w="0" w:type="auto"/>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w:t>
            </w:r>
            <w:r>
              <w:rPr>
                <w:rFonts w:eastAsia="Times New Roman"/>
                <w:color w:val="000000"/>
                <w:sz w:val="20"/>
                <w:szCs w:val="20"/>
              </w:rPr>
              <w:t>8.94)</w:t>
            </w:r>
          </w:p>
        </w:tc>
        <w:tc>
          <w:tcPr>
            <w:tcW w:w="0" w:type="auto"/>
            <w:tcBorders>
              <w:top w:val="double" w:sz="6"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455.8 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428.3</w:t>
            </w:r>
            <w:r>
              <w:rPr>
                <w:rFonts w:eastAsia="Times New Roman"/>
                <w:color w:val="000000"/>
                <w:sz w:val="20"/>
                <w:szCs w:val="20"/>
              </w:rPr>
              <w:t>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bottom w:val="double" w:sz="6"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450.4 </w:t>
            </w:r>
          </w:p>
        </w:tc>
        <w:tc>
          <w:tcPr>
            <w:tcW w:w="0" w:type="auto"/>
            <w:tcBorders>
              <w:top w:val="double" w:sz="6"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429.2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457.1 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349867009"/>
        <w:rPr>
          <w:rFonts w:eastAsia="Times New Roman"/>
        </w:rPr>
      </w:pPr>
    </w:p>
    <w:p w:rsidR="00000000" w:rsidRDefault="00897B14">
      <w:pPr>
        <w:jc w:val="center"/>
        <w:rPr>
          <w:rFonts w:eastAsia="Times New Roman"/>
        </w:rPr>
      </w:pPr>
    </w:p>
    <w:p w:rsidR="00000000" w:rsidRDefault="00897B14">
      <w:pPr>
        <w:jc w:val="center"/>
        <w:rPr>
          <w:rFonts w:eastAsia="Times New Roman"/>
        </w:rPr>
      </w:pPr>
      <w:r>
        <w:rPr>
          <w:rFonts w:eastAsia="Times New Roman"/>
          <w:color w:val="000000"/>
          <w:sz w:val="20"/>
          <w:szCs w:val="20"/>
        </w:rPr>
        <w:t>See Notes to Consolidated Financial Statements (Unaudited).</w:t>
      </w:r>
    </w:p>
    <w:p w:rsidR="00000000" w:rsidRDefault="00897B14">
      <w:pPr>
        <w:jc w:val="center"/>
        <w:divId w:val="166361400"/>
        <w:rPr>
          <w:rFonts w:eastAsia="Times New Roman"/>
        </w:rPr>
      </w:pPr>
      <w:r>
        <w:rPr>
          <w:rFonts w:eastAsia="Times New Roman"/>
          <w:color w:val="000000"/>
          <w:sz w:val="20"/>
          <w:szCs w:val="20"/>
        </w:rPr>
        <w:t>5</w:t>
      </w:r>
    </w:p>
    <w:p w:rsidR="00000000" w:rsidRDefault="00897B14">
      <w:pPr>
        <w:rPr>
          <w:rFonts w:eastAsia="Times New Roman"/>
        </w:rPr>
      </w:pPr>
      <w:r>
        <w:rPr>
          <w:rFonts w:eastAsia="Times New Roman"/>
        </w:rPr>
        <w:pict>
          <v:rect id="_x0000_i1031" style="width:0;height:1.5pt" o:hralign="center" o:hrstd="t" o:hr="t" fillcolor="#a0a0a0" stroked="f"/>
        </w:pict>
      </w:r>
    </w:p>
    <w:p w:rsidR="00000000" w:rsidRDefault="00897B14">
      <w:pPr>
        <w:divId w:val="882601066"/>
        <w:rPr>
          <w:rFonts w:eastAsia="Times New Roman"/>
        </w:rPr>
      </w:pPr>
    </w:p>
    <w:p w:rsidR="00000000" w:rsidRDefault="00897B14">
      <w:pPr>
        <w:jc w:val="center"/>
        <w:divId w:val="969819554"/>
        <w:rPr>
          <w:rFonts w:eastAsia="Times New Roman"/>
        </w:rPr>
      </w:pPr>
      <w:r>
        <w:rPr>
          <w:rFonts w:eastAsia="Times New Roman"/>
          <w:b/>
          <w:bCs/>
          <w:color w:val="000000"/>
          <w:sz w:val="20"/>
          <w:szCs w:val="20"/>
        </w:rPr>
        <w:t>EQUITABLE HOLDINGS, INC.</w:t>
      </w:r>
    </w:p>
    <w:p w:rsidR="00000000" w:rsidRDefault="00897B14">
      <w:pPr>
        <w:jc w:val="center"/>
        <w:divId w:val="969819554"/>
        <w:rPr>
          <w:rFonts w:eastAsia="Times New Roman"/>
        </w:rPr>
      </w:pPr>
      <w:r>
        <w:rPr>
          <w:rFonts w:eastAsia="Times New Roman"/>
          <w:b/>
          <w:bCs/>
          <w:color w:val="000000"/>
          <w:sz w:val="20"/>
          <w:szCs w:val="20"/>
        </w:rPr>
        <w:t>Consolidated Statements of Comprehensive Income (Loss)</w:t>
      </w:r>
    </w:p>
    <w:p w:rsidR="00000000" w:rsidRDefault="00897B14">
      <w:pPr>
        <w:jc w:val="center"/>
        <w:divId w:val="969819554"/>
        <w:rPr>
          <w:rFonts w:eastAsia="Times New Roman"/>
        </w:rPr>
      </w:pPr>
      <w:r>
        <w:rPr>
          <w:rFonts w:eastAsia="Times New Roman"/>
          <w:b/>
          <w:bCs/>
          <w:color w:val="000000"/>
          <w:sz w:val="20"/>
          <w:szCs w:val="20"/>
        </w:rPr>
        <w:t>For the Three and Six Months Ended June 30, 2021 and 2020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246"/>
        <w:gridCol w:w="36"/>
        <w:gridCol w:w="120"/>
        <w:gridCol w:w="647"/>
        <w:gridCol w:w="36"/>
        <w:gridCol w:w="36"/>
        <w:gridCol w:w="36"/>
        <w:gridCol w:w="36"/>
        <w:gridCol w:w="120"/>
        <w:gridCol w:w="598"/>
        <w:gridCol w:w="36"/>
        <w:gridCol w:w="36"/>
        <w:gridCol w:w="36"/>
        <w:gridCol w:w="36"/>
        <w:gridCol w:w="120"/>
        <w:gridCol w:w="789"/>
        <w:gridCol w:w="36"/>
        <w:gridCol w:w="36"/>
        <w:gridCol w:w="36"/>
        <w:gridCol w:w="36"/>
        <w:gridCol w:w="120"/>
        <w:gridCol w:w="789"/>
        <w:gridCol w:w="36"/>
        <w:gridCol w:w="36"/>
        <w:gridCol w:w="36"/>
        <w:gridCol w:w="36"/>
        <w:gridCol w:w="36"/>
        <w:gridCol w:w="36"/>
        <w:gridCol w:w="36"/>
      </w:tblGrid>
      <w:tr w:rsidR="00000000">
        <w:trPr>
          <w:jc w:val="center"/>
        </w:trPr>
        <w:tc>
          <w:tcPr>
            <w:tcW w:w="50" w:type="pct"/>
            <w:vAlign w:val="center"/>
            <w:hideMark/>
          </w:tcPr>
          <w:p w:rsidR="00000000" w:rsidRDefault="00897B14">
            <w:pPr>
              <w:jc w:val="center"/>
              <w:rPr>
                <w:rFonts w:eastAsia="Times New Roman"/>
              </w:rPr>
            </w:pPr>
          </w:p>
        </w:tc>
        <w:tc>
          <w:tcPr>
            <w:tcW w:w="266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COMPREHENSIVE INCOME (LOSS)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1,492 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comprehensive income (loss) net of income taxes: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Change in unrealized gains (losses), net of 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1,614 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other comprehensive income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Comprehensive income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Less: Comprehensive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rPr>
          <w:rFonts w:eastAsia="Times New Roman"/>
        </w:rPr>
      </w:pPr>
      <w:r>
        <w:rPr>
          <w:rFonts w:eastAsia="Times New Roman"/>
          <w:color w:val="000000"/>
          <w:sz w:val="20"/>
          <w:szCs w:val="20"/>
        </w:rPr>
        <w:t>See Notes to Consolidated Financial Statements (Unaudited).</w:t>
      </w:r>
    </w:p>
    <w:p w:rsidR="00000000" w:rsidRDefault="00897B14">
      <w:pPr>
        <w:jc w:val="center"/>
        <w:divId w:val="2124570129"/>
        <w:rPr>
          <w:rFonts w:eastAsia="Times New Roman"/>
        </w:rPr>
      </w:pPr>
      <w:r>
        <w:rPr>
          <w:rFonts w:eastAsia="Times New Roman"/>
          <w:color w:val="000000"/>
          <w:sz w:val="20"/>
          <w:szCs w:val="20"/>
        </w:rPr>
        <w:t>6</w:t>
      </w:r>
    </w:p>
    <w:p w:rsidR="00000000" w:rsidRDefault="00897B14">
      <w:pPr>
        <w:rPr>
          <w:rFonts w:eastAsia="Times New Roman"/>
        </w:rPr>
      </w:pPr>
      <w:r>
        <w:rPr>
          <w:rFonts w:eastAsia="Times New Roman"/>
        </w:rPr>
        <w:pict>
          <v:rect id="_x0000_i1032" style="width:0;height:1.5pt" o:hralign="center" o:hrstd="t" o:hr="t" fillcolor="#a0a0a0" stroked="f"/>
        </w:pict>
      </w:r>
    </w:p>
    <w:p w:rsidR="00000000" w:rsidRDefault="00897B14">
      <w:pPr>
        <w:divId w:val="1388603845"/>
        <w:rPr>
          <w:rFonts w:eastAsia="Times New Roman"/>
        </w:rPr>
      </w:pPr>
    </w:p>
    <w:p w:rsidR="00000000" w:rsidRDefault="00897B14">
      <w:pPr>
        <w:jc w:val="center"/>
        <w:divId w:val="1164930193"/>
        <w:rPr>
          <w:rFonts w:eastAsia="Times New Roman"/>
        </w:rPr>
      </w:pPr>
      <w:r>
        <w:rPr>
          <w:rFonts w:eastAsia="Times New Roman"/>
          <w:b/>
          <w:bCs/>
          <w:color w:val="000000"/>
          <w:sz w:val="20"/>
          <w:szCs w:val="20"/>
        </w:rPr>
        <w:t>EQUITABLE HOLDINGS, INC.</w:t>
      </w:r>
    </w:p>
    <w:p w:rsidR="00000000" w:rsidRDefault="00897B14">
      <w:pPr>
        <w:jc w:val="center"/>
        <w:divId w:val="1164930193"/>
        <w:rPr>
          <w:rFonts w:eastAsia="Times New Roman"/>
        </w:rPr>
      </w:pPr>
      <w:r>
        <w:rPr>
          <w:rFonts w:eastAsia="Times New Roman"/>
          <w:b/>
          <w:bCs/>
          <w:color w:val="000000"/>
          <w:sz w:val="20"/>
          <w:szCs w:val="20"/>
        </w:rPr>
        <w:t>Consolidated Statements of Equity</w:t>
      </w:r>
    </w:p>
    <w:p w:rsidR="00000000" w:rsidRDefault="00897B14">
      <w:pPr>
        <w:jc w:val="center"/>
        <w:divId w:val="1164930193"/>
        <w:rPr>
          <w:rFonts w:eastAsia="Times New Roman"/>
        </w:rPr>
      </w:pPr>
      <w:r>
        <w:rPr>
          <w:rFonts w:eastAsia="Times New Roman"/>
          <w:b/>
          <w:bCs/>
          <w:color w:val="000000"/>
          <w:sz w:val="20"/>
          <w:szCs w:val="20"/>
        </w:rPr>
        <w:t>For the Three and Six Months Ended June 30, 2020 and 2019 (Unaudited)</w:t>
      </w:r>
    </w:p>
    <w:p w:rsidR="00000000" w:rsidRDefault="00897B14">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135"/>
        <w:gridCol w:w="38"/>
        <w:gridCol w:w="91"/>
        <w:gridCol w:w="582"/>
        <w:gridCol w:w="36"/>
        <w:gridCol w:w="36"/>
        <w:gridCol w:w="36"/>
        <w:gridCol w:w="36"/>
        <w:gridCol w:w="91"/>
        <w:gridCol w:w="502"/>
        <w:gridCol w:w="36"/>
        <w:gridCol w:w="36"/>
        <w:gridCol w:w="36"/>
        <w:gridCol w:w="36"/>
        <w:gridCol w:w="91"/>
        <w:gridCol w:w="588"/>
        <w:gridCol w:w="36"/>
        <w:gridCol w:w="36"/>
        <w:gridCol w:w="36"/>
        <w:gridCol w:w="36"/>
        <w:gridCol w:w="91"/>
        <w:gridCol w:w="502"/>
        <w:gridCol w:w="36"/>
        <w:gridCol w:w="36"/>
        <w:gridCol w:w="36"/>
        <w:gridCol w:w="36"/>
        <w:gridCol w:w="91"/>
        <w:gridCol w:w="502"/>
        <w:gridCol w:w="36"/>
        <w:gridCol w:w="36"/>
        <w:gridCol w:w="36"/>
        <w:gridCol w:w="36"/>
        <w:gridCol w:w="91"/>
        <w:gridCol w:w="883"/>
        <w:gridCol w:w="36"/>
        <w:gridCol w:w="36"/>
        <w:gridCol w:w="36"/>
        <w:gridCol w:w="36"/>
        <w:gridCol w:w="91"/>
        <w:gridCol w:w="492"/>
        <w:gridCol w:w="36"/>
        <w:gridCol w:w="36"/>
        <w:gridCol w:w="36"/>
        <w:gridCol w:w="36"/>
        <w:gridCol w:w="91"/>
        <w:gridCol w:w="612"/>
        <w:gridCol w:w="36"/>
        <w:gridCol w:w="36"/>
        <w:gridCol w:w="36"/>
        <w:gridCol w:w="36"/>
        <w:gridCol w:w="90"/>
        <w:gridCol w:w="420"/>
        <w:gridCol w:w="36"/>
      </w:tblGrid>
      <w:tr w:rsidR="00000000">
        <w:trPr>
          <w:jc w:val="center"/>
        </w:trPr>
        <w:tc>
          <w:tcPr>
            <w:tcW w:w="50" w:type="pct"/>
            <w:vAlign w:val="center"/>
            <w:hideMark/>
          </w:tcPr>
          <w:p w:rsidR="00000000" w:rsidRDefault="00897B14">
            <w:pPr>
              <w:jc w:val="center"/>
              <w:rPr>
                <w:rFonts w:eastAsia="Times New Roman"/>
              </w:rPr>
            </w:pPr>
          </w:p>
        </w:tc>
        <w:tc>
          <w:tcPr>
            <w:tcW w:w="93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0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0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3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Three Months Ended June 30,</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4"/>
                <w:szCs w:val="14"/>
              </w:rPr>
              <w:t>April 1, 2021</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1,928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(2,300)</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8,758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740</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10,693</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1,575</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12,268</w:t>
            </w:r>
            <w:r>
              <w:rPr>
                <w:rFonts w:eastAsia="Times New Roman"/>
                <w:color w:val="000000"/>
                <w:sz w:val="14"/>
                <w:szCs w:val="14"/>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18</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(278)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(279)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(279)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(87)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(87)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Stockholder dividends (cash dividends declared per common share of $0.18)</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(76)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(76)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(76)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96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219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1,243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1,243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1,244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41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41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4"/>
                <w:szCs w:val="14"/>
              </w:rPr>
              <w:t>June 30,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1,980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b/>
                <w:bCs/>
                <w:color w:val="000000"/>
                <w:sz w:val="14"/>
                <w:szCs w:val="14"/>
              </w:rPr>
              <w:t>2,537)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8,739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1,983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11,732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1,572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13,304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1489"/>
        <w:gridCol w:w="38"/>
        <w:gridCol w:w="90"/>
        <w:gridCol w:w="509"/>
        <w:gridCol w:w="36"/>
        <w:gridCol w:w="36"/>
        <w:gridCol w:w="36"/>
        <w:gridCol w:w="36"/>
        <w:gridCol w:w="90"/>
        <w:gridCol w:w="459"/>
        <w:gridCol w:w="36"/>
        <w:gridCol w:w="36"/>
        <w:gridCol w:w="36"/>
        <w:gridCol w:w="36"/>
        <w:gridCol w:w="90"/>
        <w:gridCol w:w="520"/>
        <w:gridCol w:w="36"/>
        <w:gridCol w:w="36"/>
        <w:gridCol w:w="36"/>
        <w:gridCol w:w="36"/>
        <w:gridCol w:w="90"/>
        <w:gridCol w:w="422"/>
        <w:gridCol w:w="36"/>
        <w:gridCol w:w="36"/>
        <w:gridCol w:w="36"/>
        <w:gridCol w:w="36"/>
        <w:gridCol w:w="90"/>
        <w:gridCol w:w="472"/>
        <w:gridCol w:w="36"/>
        <w:gridCol w:w="36"/>
        <w:gridCol w:w="36"/>
        <w:gridCol w:w="36"/>
        <w:gridCol w:w="90"/>
        <w:gridCol w:w="813"/>
        <w:gridCol w:w="36"/>
        <w:gridCol w:w="36"/>
        <w:gridCol w:w="36"/>
        <w:gridCol w:w="36"/>
        <w:gridCol w:w="90"/>
        <w:gridCol w:w="449"/>
        <w:gridCol w:w="36"/>
        <w:gridCol w:w="36"/>
        <w:gridCol w:w="36"/>
        <w:gridCol w:w="36"/>
        <w:gridCol w:w="90"/>
        <w:gridCol w:w="607"/>
        <w:gridCol w:w="36"/>
        <w:gridCol w:w="36"/>
        <w:gridCol w:w="36"/>
        <w:gridCol w:w="36"/>
        <w:gridCol w:w="90"/>
        <w:gridCol w:w="476"/>
        <w:gridCol w:w="36"/>
      </w:tblGrid>
      <w:tr w:rsidR="00000000">
        <w:trPr>
          <w:jc w:val="center"/>
        </w:trPr>
        <w:tc>
          <w:tcPr>
            <w:tcW w:w="50" w:type="pct"/>
            <w:vAlign w:val="center"/>
            <w:hideMark/>
          </w:tcPr>
          <w:p w:rsidR="00000000" w:rsidRDefault="00897B14">
            <w:pPr>
              <w:jc w:val="center"/>
              <w:rPr>
                <w:rFonts w:eastAsia="Times New Roman"/>
              </w:rPr>
            </w:pPr>
          </w:p>
        </w:tc>
        <w:tc>
          <w:tcPr>
            <w:tcW w:w="93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0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0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3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April 1, 2020</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775 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5 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1,930 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(2,025)</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17,007 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2,289 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19,981 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1,554 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21,535 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(69)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(69)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Stockholder dividends (cash dividends declared per common share of $0.17)</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(77)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(77)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(77)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Purchase of AllianceBernstein Units from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w:t>
            </w:r>
            <w:r>
              <w:rPr>
                <w:rFonts w:eastAsia="Times New Roman"/>
                <w:color w:val="000000"/>
                <w:sz w:val="14"/>
                <w:szCs w:val="14"/>
              </w:rPr>
              <w:t>4,019)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(4,019)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61 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(3,958)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1,639 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1,639 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1,642 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June 30,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775 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(2,047)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12,899 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3,928 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17,498 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rPr>
          <w:rFonts w:eastAsia="Times New Roman"/>
        </w:rPr>
      </w:pPr>
    </w:p>
    <w:p w:rsidR="00000000" w:rsidRDefault="00897B14">
      <w:pPr>
        <w:jc w:val="center"/>
        <w:rPr>
          <w:rFonts w:eastAsia="Times New Roman"/>
        </w:rPr>
      </w:pPr>
      <w:r>
        <w:rPr>
          <w:rFonts w:eastAsia="Times New Roman"/>
          <w:color w:val="000000"/>
          <w:sz w:val="20"/>
          <w:szCs w:val="20"/>
        </w:rPr>
        <w:t>See Notes to Consolidated Financial Statements (Unaudited).</w:t>
      </w:r>
    </w:p>
    <w:p w:rsidR="00000000" w:rsidRDefault="00897B14">
      <w:pPr>
        <w:jc w:val="center"/>
        <w:divId w:val="776366693"/>
        <w:rPr>
          <w:rFonts w:eastAsia="Times New Roman"/>
        </w:rPr>
      </w:pPr>
      <w:r>
        <w:rPr>
          <w:rFonts w:eastAsia="Times New Roman"/>
          <w:color w:val="000000"/>
          <w:sz w:val="20"/>
          <w:szCs w:val="20"/>
        </w:rPr>
        <w:t>7</w:t>
      </w:r>
    </w:p>
    <w:p w:rsidR="00000000" w:rsidRDefault="00897B14">
      <w:pPr>
        <w:rPr>
          <w:rFonts w:eastAsia="Times New Roman"/>
        </w:rPr>
      </w:pPr>
      <w:r>
        <w:rPr>
          <w:rFonts w:eastAsia="Times New Roman"/>
        </w:rPr>
        <w:pict>
          <v:rect id="_x0000_i1033" style="width:0;height:1.5pt" o:hralign="center" o:hrstd="t" o:hr="t" fillcolor="#a0a0a0" stroked="f"/>
        </w:pict>
      </w:r>
    </w:p>
    <w:p w:rsidR="00000000" w:rsidRDefault="00897B14">
      <w:pPr>
        <w:jc w:val="center"/>
        <w:divId w:val="1389763616"/>
        <w:rPr>
          <w:rFonts w:eastAsia="Times New Roman"/>
        </w:rPr>
      </w:pPr>
      <w:r>
        <w:rPr>
          <w:rFonts w:eastAsia="Times New Roman"/>
          <w:b/>
          <w:bCs/>
          <w:color w:val="000000"/>
          <w:sz w:val="20"/>
          <w:szCs w:val="20"/>
        </w:rPr>
        <w:t xml:space="preserve">EQUITABLE HOLDINGS, INC. </w:t>
      </w:r>
    </w:p>
    <w:p w:rsidR="00000000" w:rsidRDefault="00897B14">
      <w:pPr>
        <w:jc w:val="center"/>
        <w:divId w:val="1389763616"/>
        <w:rPr>
          <w:rFonts w:eastAsia="Times New Roman"/>
        </w:rPr>
      </w:pPr>
      <w:r>
        <w:rPr>
          <w:rFonts w:eastAsia="Times New Roman"/>
          <w:b/>
          <w:bCs/>
          <w:color w:val="000000"/>
          <w:sz w:val="20"/>
          <w:szCs w:val="20"/>
        </w:rPr>
        <w:t>CONSOLIDATED STATEMENTS OF EQUITY</w:t>
      </w:r>
    </w:p>
    <w:p w:rsidR="00000000" w:rsidRDefault="00897B14">
      <w:pPr>
        <w:jc w:val="center"/>
        <w:divId w:val="2097893407"/>
        <w:rPr>
          <w:rFonts w:eastAsia="Times New Roman"/>
        </w:rPr>
      </w:pPr>
      <w:r>
        <w:rPr>
          <w:rFonts w:eastAsia="Times New Roman"/>
          <w:b/>
          <w:bCs/>
          <w:color w:val="000000"/>
          <w:sz w:val="20"/>
          <w:szCs w:val="20"/>
        </w:rPr>
        <w:t>For the Three and Six Months Ended June 30, 2021 and 2020 (Unaudited)</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1132"/>
        <w:gridCol w:w="38"/>
        <w:gridCol w:w="91"/>
        <w:gridCol w:w="581"/>
        <w:gridCol w:w="36"/>
        <w:gridCol w:w="36"/>
        <w:gridCol w:w="36"/>
        <w:gridCol w:w="36"/>
        <w:gridCol w:w="91"/>
        <w:gridCol w:w="495"/>
        <w:gridCol w:w="36"/>
        <w:gridCol w:w="36"/>
        <w:gridCol w:w="36"/>
        <w:gridCol w:w="36"/>
        <w:gridCol w:w="91"/>
        <w:gridCol w:w="578"/>
        <w:gridCol w:w="36"/>
        <w:gridCol w:w="36"/>
        <w:gridCol w:w="36"/>
        <w:gridCol w:w="36"/>
        <w:gridCol w:w="91"/>
        <w:gridCol w:w="495"/>
        <w:gridCol w:w="36"/>
        <w:gridCol w:w="36"/>
        <w:gridCol w:w="36"/>
        <w:gridCol w:w="36"/>
        <w:gridCol w:w="91"/>
        <w:gridCol w:w="488"/>
        <w:gridCol w:w="36"/>
        <w:gridCol w:w="36"/>
        <w:gridCol w:w="36"/>
        <w:gridCol w:w="36"/>
        <w:gridCol w:w="94"/>
        <w:gridCol w:w="871"/>
        <w:gridCol w:w="36"/>
        <w:gridCol w:w="36"/>
        <w:gridCol w:w="36"/>
        <w:gridCol w:w="36"/>
        <w:gridCol w:w="91"/>
        <w:gridCol w:w="493"/>
        <w:gridCol w:w="36"/>
        <w:gridCol w:w="36"/>
        <w:gridCol w:w="36"/>
        <w:gridCol w:w="36"/>
        <w:gridCol w:w="91"/>
        <w:gridCol w:w="594"/>
        <w:gridCol w:w="36"/>
        <w:gridCol w:w="36"/>
        <w:gridCol w:w="36"/>
        <w:gridCol w:w="36"/>
        <w:gridCol w:w="90"/>
        <w:gridCol w:w="420"/>
        <w:gridCol w:w="36"/>
      </w:tblGrid>
      <w:tr w:rsidR="00000000">
        <w:trPr>
          <w:jc w:val="center"/>
        </w:trPr>
        <w:tc>
          <w:tcPr>
            <w:tcW w:w="50" w:type="pct"/>
            <w:vAlign w:val="center"/>
            <w:hideMark/>
          </w:tcPr>
          <w:p w:rsidR="00000000" w:rsidRDefault="00897B14">
            <w:pPr>
              <w:jc w:val="center"/>
              <w:rPr>
                <w:rFonts w:eastAsia="Times New Roman"/>
              </w:rPr>
            </w:pPr>
          </w:p>
        </w:tc>
        <w:tc>
          <w:tcPr>
            <w:tcW w:w="126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9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Six Months Ended June 30,</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4"/>
                <w:szCs w:val="14"/>
              </w:rPr>
              <w:t>(in millions)</w:t>
            </w: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4"/>
                <w:szCs w:val="14"/>
              </w:rPr>
              <w:t>January 1, 2021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1,269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1,985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(2,245)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10,699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3,863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1,601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17,177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47</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78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89</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(698)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(709)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(709)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Reissuance of treasury stock</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(47)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359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(359)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Dividends on common stock (cash dividends declared per common share of $0.35)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(39)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(1,365)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(1,365)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184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(1,181)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(1,880)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(1,880)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(1,882)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4"/>
                <w:szCs w:val="14"/>
              </w:rPr>
              <w:t>June 30,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1,980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(2,537)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8,739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1,983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11,732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1,572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4"/>
                <w:szCs w:val="14"/>
              </w:rPr>
              <w:t>13,304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divId w:val="182982526"/>
        <w:rPr>
          <w:rFonts w:eastAsia="Times New Roman"/>
          <w:vanish/>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2043"/>
        <w:gridCol w:w="39"/>
        <w:gridCol w:w="90"/>
        <w:gridCol w:w="498"/>
        <w:gridCol w:w="36"/>
        <w:gridCol w:w="36"/>
        <w:gridCol w:w="36"/>
        <w:gridCol w:w="36"/>
        <w:gridCol w:w="90"/>
        <w:gridCol w:w="377"/>
        <w:gridCol w:w="36"/>
        <w:gridCol w:w="36"/>
        <w:gridCol w:w="36"/>
        <w:gridCol w:w="36"/>
        <w:gridCol w:w="90"/>
        <w:gridCol w:w="451"/>
        <w:gridCol w:w="36"/>
        <w:gridCol w:w="36"/>
        <w:gridCol w:w="36"/>
        <w:gridCol w:w="36"/>
        <w:gridCol w:w="90"/>
        <w:gridCol w:w="409"/>
        <w:gridCol w:w="36"/>
        <w:gridCol w:w="36"/>
        <w:gridCol w:w="36"/>
        <w:gridCol w:w="36"/>
        <w:gridCol w:w="90"/>
        <w:gridCol w:w="420"/>
        <w:gridCol w:w="36"/>
        <w:gridCol w:w="36"/>
        <w:gridCol w:w="36"/>
        <w:gridCol w:w="36"/>
        <w:gridCol w:w="90"/>
        <w:gridCol w:w="622"/>
        <w:gridCol w:w="36"/>
        <w:gridCol w:w="36"/>
        <w:gridCol w:w="36"/>
        <w:gridCol w:w="36"/>
        <w:gridCol w:w="90"/>
        <w:gridCol w:w="451"/>
        <w:gridCol w:w="36"/>
        <w:gridCol w:w="36"/>
        <w:gridCol w:w="36"/>
        <w:gridCol w:w="36"/>
        <w:gridCol w:w="90"/>
        <w:gridCol w:w="465"/>
        <w:gridCol w:w="36"/>
        <w:gridCol w:w="36"/>
        <w:gridCol w:w="36"/>
        <w:gridCol w:w="36"/>
        <w:gridCol w:w="90"/>
        <w:gridCol w:w="420"/>
        <w:gridCol w:w="36"/>
      </w:tblGrid>
      <w:tr w:rsidR="00000000">
        <w:trPr>
          <w:divId w:val="182982526"/>
          <w:jc w:val="center"/>
        </w:trPr>
        <w:tc>
          <w:tcPr>
            <w:tcW w:w="50" w:type="pct"/>
            <w:vAlign w:val="center"/>
            <w:hideMark/>
          </w:tcPr>
          <w:p w:rsidR="00000000" w:rsidRDefault="00897B14">
            <w:pPr>
              <w:jc w:val="center"/>
              <w:rPr>
                <w:rFonts w:eastAsia="Times New Roman"/>
              </w:rPr>
            </w:pPr>
          </w:p>
        </w:tc>
        <w:tc>
          <w:tcPr>
            <w:tcW w:w="126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9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897B14">
        <w:trPr>
          <w:divId w:val="182982526"/>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January 1, 2020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775 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1,920 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(1,832)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11,744 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844 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13,456 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1,591 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15,047 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Cumulative effect of adoption of ASU 2016-03, Current Expected Credit Los</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Stock compensation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49 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2982526"/>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2982526"/>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897B14">
        <w:trPr>
          <w:divId w:val="182982526"/>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(162)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(162)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Dividends on common stock (cash dividends declared per common share of $0.32)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(146)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(146)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(146)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2982526"/>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897B14">
        <w:trPr>
          <w:divId w:val="182982526"/>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1,369 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1,369 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1,497 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3,084 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3,084 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3,079 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82982526"/>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4"/>
                <w:szCs w:val="14"/>
              </w:rPr>
              <w:t>June 30,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775 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(2,047)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12,899 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3,928 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17,498 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1,540 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4"/>
                <w:szCs w:val="14"/>
              </w:rPr>
              <w:t>19,038 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rPr>
          <w:rFonts w:eastAsia="Times New Roman"/>
        </w:rPr>
      </w:pPr>
    </w:p>
    <w:p w:rsidR="00000000" w:rsidRDefault="00897B14">
      <w:pPr>
        <w:jc w:val="center"/>
        <w:rPr>
          <w:rFonts w:eastAsia="Times New Roman"/>
        </w:rPr>
      </w:pPr>
    </w:p>
    <w:p w:rsidR="00000000" w:rsidRDefault="00897B14">
      <w:pPr>
        <w:jc w:val="center"/>
        <w:rPr>
          <w:rFonts w:eastAsia="Times New Roman"/>
        </w:rPr>
      </w:pPr>
      <w:r>
        <w:rPr>
          <w:rFonts w:eastAsia="Times New Roman"/>
          <w:color w:val="000000"/>
          <w:sz w:val="20"/>
          <w:szCs w:val="20"/>
        </w:rPr>
        <w:t>See Notes to Consolidated Financial Statements (Unaudited).</w:t>
      </w:r>
    </w:p>
    <w:p w:rsidR="00000000" w:rsidRDefault="00897B14">
      <w:pPr>
        <w:jc w:val="center"/>
        <w:divId w:val="1121075599"/>
        <w:rPr>
          <w:rFonts w:eastAsia="Times New Roman"/>
        </w:rPr>
      </w:pPr>
      <w:r>
        <w:rPr>
          <w:rFonts w:eastAsia="Times New Roman"/>
          <w:color w:val="000000"/>
          <w:sz w:val="20"/>
          <w:szCs w:val="20"/>
        </w:rPr>
        <w:t>8</w:t>
      </w:r>
    </w:p>
    <w:p w:rsidR="00000000" w:rsidRDefault="00897B14">
      <w:pPr>
        <w:rPr>
          <w:rFonts w:eastAsia="Times New Roman"/>
        </w:rPr>
      </w:pPr>
      <w:r>
        <w:rPr>
          <w:rFonts w:eastAsia="Times New Roman"/>
        </w:rPr>
        <w:pict>
          <v:rect id="_x0000_i1034" style="width:0;height:1.5pt" o:hralign="center" o:hrstd="t" o:hr="t" fillcolor="#a0a0a0" stroked="f"/>
        </w:pict>
      </w:r>
    </w:p>
    <w:p w:rsidR="00000000" w:rsidRDefault="00897B14">
      <w:pPr>
        <w:divId w:val="1286499695"/>
        <w:rPr>
          <w:rFonts w:eastAsia="Times New Roman"/>
        </w:rPr>
      </w:pPr>
    </w:p>
    <w:p w:rsidR="00000000" w:rsidRDefault="00897B14">
      <w:pPr>
        <w:jc w:val="center"/>
        <w:divId w:val="1726181159"/>
        <w:rPr>
          <w:rFonts w:eastAsia="Times New Roman"/>
        </w:rPr>
      </w:pPr>
      <w:r>
        <w:rPr>
          <w:rFonts w:eastAsia="Times New Roman"/>
          <w:b/>
          <w:bCs/>
          <w:color w:val="000000"/>
          <w:sz w:val="20"/>
          <w:szCs w:val="20"/>
        </w:rPr>
        <w:t>EQUITABLE HOLDINGS, INC.</w:t>
      </w:r>
    </w:p>
    <w:p w:rsidR="00000000" w:rsidRDefault="00897B14">
      <w:pPr>
        <w:jc w:val="center"/>
        <w:divId w:val="1726181159"/>
        <w:rPr>
          <w:rFonts w:eastAsia="Times New Roman"/>
        </w:rPr>
      </w:pPr>
      <w:r>
        <w:rPr>
          <w:rFonts w:eastAsia="Times New Roman"/>
          <w:b/>
          <w:bCs/>
          <w:color w:val="000000"/>
          <w:sz w:val="20"/>
          <w:szCs w:val="20"/>
        </w:rPr>
        <w:t>Consolida</w:t>
      </w:r>
      <w:r>
        <w:rPr>
          <w:rFonts w:eastAsia="Times New Roman"/>
          <w:b/>
          <w:bCs/>
          <w:color w:val="000000"/>
          <w:sz w:val="20"/>
          <w:szCs w:val="20"/>
        </w:rPr>
        <w:t>ted Statements of Cash Flows</w:t>
      </w:r>
    </w:p>
    <w:p w:rsidR="00000000" w:rsidRDefault="00897B14">
      <w:pPr>
        <w:jc w:val="center"/>
        <w:divId w:val="1602833099"/>
        <w:rPr>
          <w:rFonts w:eastAsia="Times New Roman"/>
        </w:rPr>
      </w:pPr>
      <w:r>
        <w:rPr>
          <w:rFonts w:eastAsia="Times New Roman"/>
          <w:b/>
          <w:bCs/>
          <w:color w:val="000000"/>
          <w:sz w:val="20"/>
          <w:szCs w:val="20"/>
        </w:rPr>
        <w:t>Six Months Ended June 30, 2021 and 2020 (Unaudited)</w:t>
      </w:r>
    </w:p>
    <w:p w:rsidR="00000000" w:rsidRDefault="00897B14">
      <w:pPr>
        <w:divId w:val="1913074736"/>
        <w:rPr>
          <w:rFonts w:eastAsia="Times New Roman"/>
        </w:rPr>
      </w:pPr>
    </w:p>
    <w:p w:rsidR="00000000" w:rsidRDefault="00897B14">
      <w:pPr>
        <w:divId w:val="1073812638"/>
        <w:rPr>
          <w:rFonts w:eastAsia="Times New Roman"/>
        </w:rPr>
      </w:pPr>
    </w:p>
    <w:p w:rsidR="00000000" w:rsidRDefault="00897B14">
      <w:pPr>
        <w:divId w:val="2095974622"/>
        <w:rPr>
          <w:rFonts w:eastAsia="Times New Roman"/>
        </w:rPr>
      </w:pPr>
    </w:p>
    <w:p w:rsidR="00000000" w:rsidRDefault="00897B14">
      <w:pPr>
        <w:divId w:val="1043169150"/>
        <w:rPr>
          <w:rFonts w:eastAsia="Times New Roman"/>
        </w:rPr>
      </w:pPr>
    </w:p>
    <w:p w:rsidR="00000000" w:rsidRDefault="00897B14">
      <w:pPr>
        <w:divId w:val="62751791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836"/>
        <w:gridCol w:w="40"/>
        <w:gridCol w:w="120"/>
        <w:gridCol w:w="894"/>
        <w:gridCol w:w="36"/>
        <w:gridCol w:w="36"/>
        <w:gridCol w:w="36"/>
        <w:gridCol w:w="36"/>
        <w:gridCol w:w="121"/>
        <w:gridCol w:w="858"/>
        <w:gridCol w:w="36"/>
        <w:gridCol w:w="36"/>
        <w:gridCol w:w="36"/>
        <w:gridCol w:w="36"/>
        <w:gridCol w:w="36"/>
        <w:gridCol w:w="36"/>
        <w:gridCol w:w="36"/>
      </w:tblGrid>
      <w:tr w:rsidR="00000000">
        <w:trPr>
          <w:jc w:val="center"/>
        </w:trPr>
        <w:tc>
          <w:tcPr>
            <w:tcW w:w="50" w:type="pct"/>
            <w:vAlign w:val="center"/>
            <w:hideMark/>
          </w:tcPr>
          <w:p w:rsidR="00000000" w:rsidRDefault="00897B14">
            <w:pPr>
              <w:rPr>
                <w:rFonts w:eastAsia="Times New Roman"/>
              </w:rPr>
            </w:pPr>
          </w:p>
        </w:tc>
        <w:tc>
          <w:tcPr>
            <w:tcW w:w="36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897B14">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1,492 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Adjus</w:t>
            </w:r>
            <w:r>
              <w:rPr>
                <w:rFonts w:eastAsia="Times New Roman"/>
                <w:color w:val="000000"/>
                <w:sz w:val="20"/>
                <w:szCs w:val="20"/>
              </w:rPr>
              <w:t>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(3,362)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(Gains) losses on businesses HFS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Non-cash pension plan restructuring</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1,540 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Equity (income) loss from limited partnerships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155" w:type="dxa"/>
            </w:tcMar>
            <w:hideMark/>
          </w:tcPr>
          <w:p w:rsidR="00000000" w:rsidRDefault="00897B14">
            <w:pPr>
              <w:spacing w:after="100"/>
              <w:jc w:val="both"/>
              <w:rPr>
                <w:rFonts w:eastAsia="Times New Roman"/>
              </w:rPr>
            </w:pPr>
            <w:r>
              <w:rPr>
                <w:rFonts w:eastAsia="Times New Roman"/>
                <w:color w:val="000000"/>
                <w:sz w:val="20"/>
                <w:szCs w:val="20"/>
              </w:rPr>
              <w:t>Changes in:</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897B14">
            <w:pPr>
              <w:spacing w:after="100"/>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704 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897B14">
            <w:pPr>
              <w:spacing w:after="100"/>
              <w:jc w:val="both"/>
              <w:rPr>
                <w:rFonts w:eastAsia="Times New Roman"/>
              </w:rPr>
            </w:pPr>
            <w:r>
              <w:rPr>
                <w:rFonts w:eastAsia="Times New Roman"/>
                <w:color w:val="000000"/>
                <w:sz w:val="20"/>
                <w:szCs w:val="20"/>
              </w:rPr>
              <w:t>Reinsurance recoverable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897B14">
            <w:pPr>
              <w:spacing w:after="100"/>
              <w:jc w:val="both"/>
              <w:rPr>
                <w:rFonts w:eastAsia="Times New Roman"/>
              </w:rPr>
            </w:pPr>
            <w:r>
              <w:rPr>
                <w:rFonts w:eastAsia="Times New Roman"/>
                <w:color w:val="000000"/>
                <w:sz w:val="20"/>
                <w:szCs w:val="20"/>
              </w:rPr>
              <w:t>Segregated cash and securities,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(787)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897B14">
            <w:pPr>
              <w:spacing w:after="100"/>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897B14">
            <w:pPr>
              <w:spacing w:after="100"/>
              <w:jc w:val="both"/>
              <w:rPr>
                <w:rFonts w:eastAsia="Times New Roman"/>
              </w:rPr>
            </w:pPr>
            <w:r>
              <w:rPr>
                <w:rFonts w:eastAsia="Times New Roman"/>
                <w:color w:val="000000"/>
                <w:sz w:val="20"/>
                <w:szCs w:val="20"/>
              </w:rPr>
              <w:t>Future policy benefits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1,807 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897B14">
            <w:pPr>
              <w:spacing w:after="100"/>
              <w:jc w:val="both"/>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897B14">
            <w:pPr>
              <w:spacing w:after="100"/>
              <w:jc w:val="both"/>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155" w:type="dxa"/>
            </w:tcMar>
            <w:hideMark/>
          </w:tcPr>
          <w:p w:rsidR="00000000" w:rsidRDefault="00897B14">
            <w:pPr>
              <w:spacing w:after="100"/>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maturities, available-for-sale</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7,595 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Trading account securities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938 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(26,519)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(11,832)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(860)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(1,679)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from the sale of business, net of cash sold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settlements related to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(6,100)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5,004 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Repayments of loans to affiliates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(8,291)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divId w:val="313218511"/>
        <w:rPr>
          <w:rFonts w:eastAsia="Times New Roman"/>
        </w:rPr>
      </w:pPr>
    </w:p>
    <w:p w:rsidR="00000000" w:rsidRDefault="00897B14">
      <w:pPr>
        <w:jc w:val="center"/>
        <w:divId w:val="313218511"/>
        <w:rPr>
          <w:rFonts w:eastAsia="Times New Roman"/>
        </w:rPr>
      </w:pPr>
    </w:p>
    <w:p w:rsidR="00000000" w:rsidRDefault="00897B14">
      <w:pPr>
        <w:jc w:val="center"/>
        <w:divId w:val="313218511"/>
        <w:rPr>
          <w:rFonts w:eastAsia="Times New Roman"/>
        </w:rPr>
      </w:pPr>
    </w:p>
    <w:p w:rsidR="00000000" w:rsidRDefault="00897B14">
      <w:pPr>
        <w:jc w:val="center"/>
        <w:divId w:val="313218511"/>
        <w:rPr>
          <w:rFonts w:eastAsia="Times New Roman"/>
        </w:rPr>
      </w:pPr>
      <w:r>
        <w:rPr>
          <w:rFonts w:eastAsia="Times New Roman"/>
          <w:color w:val="000000"/>
          <w:sz w:val="20"/>
          <w:szCs w:val="20"/>
        </w:rPr>
        <w:t>See Notes to Consolidated Financial Statements (Unaudited).</w:t>
      </w:r>
    </w:p>
    <w:p w:rsidR="00000000" w:rsidRDefault="00897B14">
      <w:pPr>
        <w:jc w:val="center"/>
        <w:divId w:val="313218511"/>
        <w:rPr>
          <w:rFonts w:eastAsia="Times New Roman"/>
        </w:rPr>
      </w:pPr>
      <w:r>
        <w:rPr>
          <w:rFonts w:eastAsia="Times New Roman"/>
          <w:color w:val="000000"/>
          <w:sz w:val="20"/>
          <w:szCs w:val="20"/>
        </w:rPr>
        <w:t>9</w:t>
      </w:r>
    </w:p>
    <w:p w:rsidR="00000000" w:rsidRDefault="00897B14">
      <w:pPr>
        <w:rPr>
          <w:rFonts w:eastAsia="Times New Roman"/>
        </w:rPr>
      </w:pPr>
      <w:r>
        <w:rPr>
          <w:rFonts w:eastAsia="Times New Roman"/>
        </w:rPr>
        <w:pict>
          <v:rect id="_x0000_i1035" style="width:0;height:1.5pt" o:hralign="center" o:hrstd="t" o:hr="t" fillcolor="#a0a0a0" stroked="f"/>
        </w:pict>
      </w:r>
    </w:p>
    <w:p w:rsidR="00000000" w:rsidRDefault="00897B14">
      <w:pPr>
        <w:divId w:val="505949539"/>
        <w:rPr>
          <w:rFonts w:eastAsia="Times New Roman"/>
        </w:rPr>
      </w:pPr>
    </w:p>
    <w:p w:rsidR="00000000" w:rsidRDefault="00897B14">
      <w:pPr>
        <w:jc w:val="center"/>
        <w:divId w:val="1570842876"/>
        <w:rPr>
          <w:rFonts w:eastAsia="Times New Roman"/>
        </w:rPr>
      </w:pPr>
      <w:r>
        <w:rPr>
          <w:rFonts w:eastAsia="Times New Roman"/>
          <w:b/>
          <w:bCs/>
          <w:color w:val="000000"/>
          <w:sz w:val="20"/>
          <w:szCs w:val="20"/>
        </w:rPr>
        <w:t>EQUITABLE HOLDINGS, INC.</w:t>
      </w:r>
    </w:p>
    <w:p w:rsidR="00000000" w:rsidRDefault="00897B14">
      <w:pPr>
        <w:jc w:val="center"/>
        <w:divId w:val="1570842876"/>
        <w:rPr>
          <w:rFonts w:eastAsia="Times New Roman"/>
        </w:rPr>
      </w:pPr>
      <w:r>
        <w:rPr>
          <w:rFonts w:eastAsia="Times New Roman"/>
          <w:b/>
          <w:bCs/>
          <w:color w:val="000000"/>
          <w:sz w:val="20"/>
          <w:szCs w:val="20"/>
        </w:rPr>
        <w:t>Consolidated Statements of Cash Flows</w:t>
      </w:r>
    </w:p>
    <w:p w:rsidR="00000000" w:rsidRDefault="00897B14">
      <w:pPr>
        <w:jc w:val="center"/>
        <w:divId w:val="1414661563"/>
        <w:rPr>
          <w:rFonts w:eastAsia="Times New Roman"/>
        </w:rPr>
      </w:pPr>
      <w:r>
        <w:rPr>
          <w:rFonts w:eastAsia="Times New Roman"/>
          <w:b/>
          <w:bCs/>
          <w:color w:val="000000"/>
          <w:sz w:val="20"/>
          <w:szCs w:val="20"/>
        </w:rPr>
        <w:t>Six Months Ended June 30, 2021 and 2020 (Unaudited)</w:t>
      </w:r>
    </w:p>
    <w:p w:rsidR="00000000" w:rsidRDefault="00897B14">
      <w:pPr>
        <w:divId w:val="1839810934"/>
        <w:rPr>
          <w:rFonts w:eastAsia="Times New Roman"/>
        </w:rPr>
      </w:pPr>
    </w:p>
    <w:p w:rsidR="00000000" w:rsidRDefault="00897B14">
      <w:pPr>
        <w:divId w:val="1207908519"/>
        <w:rPr>
          <w:rFonts w:eastAsia="Times New Roman"/>
        </w:rPr>
      </w:pPr>
    </w:p>
    <w:p w:rsidR="00000000" w:rsidRDefault="00897B14">
      <w:pPr>
        <w:divId w:val="1925215986"/>
        <w:rPr>
          <w:rFonts w:eastAsia="Times New Roman"/>
        </w:rPr>
      </w:pPr>
    </w:p>
    <w:p w:rsidR="00000000" w:rsidRDefault="00897B14">
      <w:pPr>
        <w:divId w:val="1378243266"/>
        <w:rPr>
          <w:rFonts w:eastAsia="Times New Roman"/>
        </w:rPr>
      </w:pPr>
    </w:p>
    <w:p w:rsidR="00000000" w:rsidRDefault="00897B14">
      <w:pPr>
        <w:divId w:val="8015130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40"/>
        <w:gridCol w:w="38"/>
        <w:gridCol w:w="120"/>
        <w:gridCol w:w="895"/>
        <w:gridCol w:w="36"/>
        <w:gridCol w:w="36"/>
        <w:gridCol w:w="36"/>
        <w:gridCol w:w="36"/>
        <w:gridCol w:w="120"/>
        <w:gridCol w:w="858"/>
        <w:gridCol w:w="36"/>
        <w:gridCol w:w="36"/>
        <w:gridCol w:w="36"/>
        <w:gridCol w:w="36"/>
        <w:gridCol w:w="36"/>
        <w:gridCol w:w="36"/>
        <w:gridCol w:w="36"/>
      </w:tblGrid>
      <w:tr w:rsidR="00000000">
        <w:trPr>
          <w:jc w:val="center"/>
        </w:trPr>
        <w:tc>
          <w:tcPr>
            <w:tcW w:w="50" w:type="pct"/>
            <w:vAlign w:val="center"/>
            <w:hideMark/>
          </w:tcPr>
          <w:p w:rsidR="00000000" w:rsidRDefault="00897B14">
            <w:pPr>
              <w:rPr>
                <w:rFonts w:eastAsia="Times New Roman"/>
              </w:rPr>
            </w:pPr>
          </w:p>
        </w:tc>
        <w:tc>
          <w:tcPr>
            <w:tcW w:w="36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9,989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4,599 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(3,118)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(2,029)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Proceeds from notes issued by consolidated VIEs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Effect of exchange rate changes on cash and cash equivalents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3,894 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4,405 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Change in cash of businesses held-for-sale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8,364 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trHeight w:val="18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Right-of-use assets obtained in exchange for lease obligations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 of assets to reinsurer</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18"/>
                <w:szCs w:val="18"/>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18"/>
                <w:szCs w:val="18"/>
              </w:rPr>
              <w:t>(9,023)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1645545971"/>
        <w:rPr>
          <w:rFonts w:eastAsia="Times New Roman"/>
        </w:rPr>
      </w:pPr>
      <w:r>
        <w:rPr>
          <w:rFonts w:eastAsia="Times New Roman"/>
          <w:color w:val="000000"/>
          <w:sz w:val="18"/>
          <w:szCs w:val="18"/>
        </w:rPr>
        <w:t>__________</w:t>
      </w:r>
    </w:p>
    <w:p w:rsidR="00000000" w:rsidRDefault="00897B14">
      <w:pPr>
        <w:ind w:hanging="360"/>
        <w:divId w:val="1199053341"/>
        <w:rPr>
          <w:rFonts w:eastAsia="Times New Roman"/>
        </w:rPr>
      </w:pPr>
      <w:r>
        <w:rPr>
          <w:rFonts w:eastAsia="Times New Roman"/>
          <w:color w:val="000000"/>
          <w:sz w:val="18"/>
          <w:szCs w:val="18"/>
        </w:rPr>
        <w:t xml:space="preserve">(1) </w:t>
      </w:r>
      <w:r>
        <w:rPr>
          <w:rFonts w:eastAsia="Times New Roman"/>
          <w:color w:val="000000"/>
          <w:sz w:val="18"/>
          <w:szCs w:val="18"/>
        </w:rPr>
        <w:t>Amount includes cash paid for Venerable transaction of $494 million . (see Note 1 Organization).</w:t>
      </w:r>
    </w:p>
    <w:p w:rsidR="00000000" w:rsidRDefault="00897B14">
      <w:pPr>
        <w:ind w:hanging="360"/>
        <w:divId w:val="1785267609"/>
        <w:rPr>
          <w:rFonts w:eastAsia="Times New Roman"/>
        </w:rPr>
      </w:pPr>
    </w:p>
    <w:p w:rsidR="00000000" w:rsidRDefault="00897B14">
      <w:pPr>
        <w:jc w:val="center"/>
        <w:rPr>
          <w:rFonts w:eastAsia="Times New Roman"/>
        </w:rPr>
      </w:pPr>
    </w:p>
    <w:p w:rsidR="00000000" w:rsidRDefault="00897B14">
      <w:pPr>
        <w:jc w:val="center"/>
        <w:rPr>
          <w:rFonts w:eastAsia="Times New Roman"/>
        </w:rPr>
      </w:pPr>
    </w:p>
    <w:p w:rsidR="00000000" w:rsidRDefault="00897B14">
      <w:pPr>
        <w:jc w:val="center"/>
        <w:rPr>
          <w:rFonts w:eastAsia="Times New Roman"/>
        </w:rPr>
      </w:pPr>
    </w:p>
    <w:p w:rsidR="00000000" w:rsidRDefault="00897B14">
      <w:pPr>
        <w:jc w:val="center"/>
        <w:divId w:val="1108619874"/>
        <w:rPr>
          <w:rFonts w:eastAsia="Times New Roman"/>
        </w:rPr>
      </w:pPr>
    </w:p>
    <w:p w:rsidR="00000000" w:rsidRDefault="00897B14">
      <w:pPr>
        <w:jc w:val="center"/>
        <w:divId w:val="1108619874"/>
        <w:rPr>
          <w:rFonts w:eastAsia="Times New Roman"/>
        </w:rPr>
      </w:pPr>
    </w:p>
    <w:p w:rsidR="00000000" w:rsidRDefault="00897B14">
      <w:pPr>
        <w:jc w:val="center"/>
        <w:divId w:val="1108619874"/>
        <w:rPr>
          <w:rFonts w:eastAsia="Times New Roman"/>
        </w:rPr>
      </w:pPr>
    </w:p>
    <w:p w:rsidR="00000000" w:rsidRDefault="00897B14">
      <w:pPr>
        <w:jc w:val="center"/>
        <w:divId w:val="1108619874"/>
        <w:rPr>
          <w:rFonts w:eastAsia="Times New Roman"/>
        </w:rPr>
      </w:pPr>
      <w:r>
        <w:rPr>
          <w:rFonts w:eastAsia="Times New Roman"/>
          <w:color w:val="000000"/>
          <w:sz w:val="20"/>
          <w:szCs w:val="20"/>
        </w:rPr>
        <w:t>See Notes to Consolidated Financial Statements (Unaudited).</w:t>
      </w:r>
    </w:p>
    <w:p w:rsidR="00000000" w:rsidRDefault="00897B14">
      <w:pPr>
        <w:jc w:val="center"/>
        <w:divId w:val="1108619874"/>
        <w:rPr>
          <w:rFonts w:eastAsia="Times New Roman"/>
        </w:rPr>
      </w:pPr>
      <w:r>
        <w:rPr>
          <w:rFonts w:eastAsia="Times New Roman"/>
          <w:color w:val="000000"/>
          <w:sz w:val="20"/>
          <w:szCs w:val="20"/>
        </w:rPr>
        <w:t>10</w:t>
      </w:r>
    </w:p>
    <w:p w:rsidR="00000000" w:rsidRDefault="00897B14">
      <w:pPr>
        <w:rPr>
          <w:rFonts w:eastAsia="Times New Roman"/>
        </w:rPr>
      </w:pPr>
      <w:r>
        <w:rPr>
          <w:rFonts w:eastAsia="Times New Roman"/>
        </w:rPr>
        <w:pict>
          <v:rect id="_x0000_i1036" style="width:0;height:1.5pt" o:hralign="center" o:hrstd="t" o:hr="t" fillcolor="#a0a0a0" stroked="f"/>
        </w:pict>
      </w:r>
    </w:p>
    <w:p w:rsidR="00000000" w:rsidRDefault="00897B14">
      <w:pPr>
        <w:divId w:val="198419104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714617208"/>
        <w:rPr>
          <w:rFonts w:eastAsia="Times New Roman"/>
        </w:rPr>
      </w:pPr>
      <w:r>
        <w:rPr>
          <w:rFonts w:eastAsia="Times New Roman"/>
          <w:b/>
          <w:bCs/>
          <w:color w:val="000000"/>
          <w:sz w:val="20"/>
          <w:szCs w:val="20"/>
        </w:rPr>
        <w:t>EQUITABLE HOLDINGS, INC.</w:t>
      </w:r>
    </w:p>
    <w:p w:rsidR="00000000" w:rsidRDefault="00897B14">
      <w:pPr>
        <w:jc w:val="center"/>
        <w:divId w:val="714617208"/>
        <w:rPr>
          <w:rFonts w:eastAsia="Times New Roman"/>
        </w:rPr>
      </w:pPr>
      <w:r>
        <w:rPr>
          <w:rFonts w:eastAsia="Times New Roman"/>
          <w:b/>
          <w:bCs/>
          <w:color w:val="000000"/>
          <w:sz w:val="20"/>
          <w:szCs w:val="20"/>
        </w:rPr>
        <w:t>Notes to Consolidated Financial Statements (Unaudited)</w:t>
      </w:r>
    </w:p>
    <w:p w:rsidR="00000000" w:rsidRDefault="00897B14">
      <w:pPr>
        <w:divId w:val="1500080137"/>
        <w:rPr>
          <w:rFonts w:eastAsia="Times New Roman"/>
        </w:rPr>
      </w:pPr>
    </w:p>
    <w:p w:rsidR="00000000" w:rsidRDefault="00897B14">
      <w:pPr>
        <w:divId w:val="1512837144"/>
        <w:rPr>
          <w:rFonts w:eastAsia="Times New Roman"/>
        </w:rPr>
      </w:pPr>
      <w:r>
        <w:rPr>
          <w:rFonts w:eastAsia="Times New Roman"/>
          <w:b/>
          <w:bCs/>
          <w:color w:val="000000"/>
          <w:sz w:val="20"/>
          <w:szCs w:val="20"/>
        </w:rPr>
        <w:t xml:space="preserve">1)    ORGANIZATION </w:t>
      </w:r>
    </w:p>
    <w:p w:rsidR="00000000" w:rsidRDefault="00897B14">
      <w:pPr>
        <w:divId w:val="140082009"/>
        <w:rPr>
          <w:rFonts w:eastAsia="Times New Roman"/>
        </w:rPr>
      </w:pPr>
      <w:r>
        <w:rPr>
          <w:rFonts w:eastAsia="Times New Roman"/>
          <w:color w:val="000000"/>
          <w:sz w:val="20"/>
          <w:szCs w:val="20"/>
        </w:rPr>
        <w:t xml:space="preserve">Equitable Holdings, Inc. </w:t>
      </w:r>
      <w:r>
        <w:rPr>
          <w:rFonts w:eastAsia="Times New Roman"/>
          <w:color w:val="000000"/>
          <w:sz w:val="20"/>
          <w:szCs w:val="20"/>
        </w:rPr>
        <w:t>is the holding company for a diversified financial services organization. The Company conducts operations in four segments: Individual Retirement, Group Retirement, Investment Management and Research, and Protection Solutions. The Company’s management eval</w:t>
      </w:r>
      <w:r>
        <w:rPr>
          <w:rFonts w:eastAsia="Times New Roman"/>
          <w:color w:val="000000"/>
          <w:sz w:val="20"/>
          <w:szCs w:val="20"/>
        </w:rPr>
        <w:t xml:space="preserve">uates the performance of each of these segments independently. </w:t>
      </w:r>
    </w:p>
    <w:p w:rsidR="00000000" w:rsidRDefault="00897B14">
      <w:pPr>
        <w:ind w:hanging="360"/>
        <w:jc w:val="both"/>
        <w:divId w:val="844593867"/>
        <w:rPr>
          <w:rFonts w:eastAsia="Times New Roman"/>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w:t>
      </w:r>
      <w:r>
        <w:rPr>
          <w:rFonts w:eastAsia="Times New Roman"/>
          <w:color w:val="000000"/>
          <w:sz w:val="20"/>
          <w:szCs w:val="20"/>
        </w:rPr>
        <w:t>rement income.</w:t>
      </w:r>
    </w:p>
    <w:p w:rsidR="00000000" w:rsidRDefault="00897B14">
      <w:pPr>
        <w:ind w:hanging="360"/>
        <w:jc w:val="both"/>
        <w:divId w:val="1635721577"/>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rsidR="00000000" w:rsidRDefault="00897B14">
      <w:pPr>
        <w:ind w:hanging="360"/>
        <w:jc w:val="both"/>
        <w:divId w:val="1420525152"/>
        <w:rPr>
          <w:rFonts w:eastAsia="Times New Roman"/>
        </w:rPr>
      </w:pPr>
      <w:r>
        <w:rPr>
          <w:rFonts w:eastAsia="Times New Roman"/>
          <w:color w:val="000000"/>
          <w:sz w:val="20"/>
          <w:szCs w:val="20"/>
        </w:rPr>
        <w:t>•The Inves</w:t>
      </w:r>
      <w:r>
        <w:rPr>
          <w:rFonts w:eastAsia="Times New Roman"/>
          <w:color w:val="000000"/>
          <w:sz w:val="20"/>
          <w:szCs w:val="20"/>
        </w:rPr>
        <w:t>tment Management and Research segment provides diversified investment management, research and related solutions globally to a broad range of clients through three main client channels - Institutional, Retail and Private Wealth Management - and distributes</w:t>
      </w:r>
      <w:r>
        <w:rPr>
          <w:rFonts w:eastAsia="Times New Roman"/>
          <w:color w:val="000000"/>
          <w:sz w:val="20"/>
          <w:szCs w:val="20"/>
        </w:rPr>
        <w:t xml:space="preserve"> its institutional research products and solutions through Bernstein Research Services. The Investment Management and Research segment reflects the business of AB Holding and ABLP and their subsidiaries (collectively, AB).</w:t>
      </w:r>
    </w:p>
    <w:p w:rsidR="00000000" w:rsidRDefault="00897B14">
      <w:pPr>
        <w:ind w:hanging="360"/>
        <w:divId w:val="1492789504"/>
        <w:rPr>
          <w:rFonts w:eastAsia="Times New Roman"/>
        </w:rPr>
      </w:pPr>
      <w:r>
        <w:rPr>
          <w:rFonts w:eastAsia="Times New Roman"/>
          <w:color w:val="000000"/>
          <w:sz w:val="20"/>
          <w:szCs w:val="20"/>
        </w:rPr>
        <w:t>•The Protection Solutions segment</w:t>
      </w:r>
      <w:r>
        <w:rPr>
          <w:rFonts w:eastAsia="Times New Roman"/>
          <w:color w:val="000000"/>
          <w:sz w:val="20"/>
          <w:szCs w:val="20"/>
        </w:rPr>
        <w:t xml:space="preserve"> includes the Company’s life insurance and group employee benefits businesses. The life insurance business offers a variety of VUL, IUL and term life products to help affluent and high net worth individuals, as well as small and medium-sized business owner</w:t>
      </w:r>
      <w:r>
        <w:rPr>
          <w:rFonts w:eastAsia="Times New Roman"/>
          <w:color w:val="000000"/>
          <w:sz w:val="20"/>
          <w:szCs w:val="20"/>
        </w:rPr>
        <w:t>s, with their wealth protection, wealth transfer and corporate needs. Our group employee benefits business offers a suite of life, short- and long-term disability, dental and vision insurance products to small and medium-size businesses across the United S</w:t>
      </w:r>
      <w:r>
        <w:rPr>
          <w:rFonts w:eastAsia="Times New Roman"/>
          <w:color w:val="000000"/>
          <w:sz w:val="20"/>
          <w:szCs w:val="20"/>
        </w:rPr>
        <w:t>tates.</w:t>
      </w:r>
    </w:p>
    <w:p w:rsidR="00000000" w:rsidRDefault="00897B14">
      <w:pPr>
        <w:divId w:val="128668210"/>
        <w:rPr>
          <w:rFonts w:eastAsia="Times New Roman"/>
        </w:rPr>
      </w:pPr>
      <w:r>
        <w:rPr>
          <w:rFonts w:eastAsia="Times New Roman"/>
          <w:color w:val="000000"/>
          <w:sz w:val="20"/>
          <w:szCs w:val="20"/>
        </w:rPr>
        <w:t>The Company reports certain activities and items that are not included in our segments in Corporate and Other. Corporate and Other includes certain of our financing and investment expenses. It also includes: Equitable Advisors broker-dealer business</w:t>
      </w:r>
      <w:r>
        <w:rPr>
          <w:rFonts w:eastAsia="Times New Roman"/>
          <w:color w:val="000000"/>
          <w:sz w:val="20"/>
          <w:szCs w:val="20"/>
        </w:rPr>
        <w:t>, closed block of life insurance (the “Closed Block”), run-off variable annuity reinsurance business, run-off group pension business, run-off health business, benefit plans for our employees, certain strategic investments and certain unallocated items, inc</w:t>
      </w:r>
      <w:r>
        <w:rPr>
          <w:rFonts w:eastAsia="Times New Roman"/>
          <w:color w:val="000000"/>
          <w:sz w:val="20"/>
          <w:szCs w:val="20"/>
        </w:rPr>
        <w:t>luding capital and related investments, interest expense and corporate expense. AB’s results of operations are reflected in the Investment Management and Research segment. Accordingly, Corporate and Other does not include any items applicable to AB.</w:t>
      </w:r>
    </w:p>
    <w:p w:rsidR="00000000" w:rsidRDefault="00897B14">
      <w:pPr>
        <w:divId w:val="1990132122"/>
        <w:rPr>
          <w:rFonts w:eastAsia="Times New Roman"/>
        </w:rPr>
      </w:pPr>
      <w:r>
        <w:rPr>
          <w:rFonts w:eastAsia="Times New Roman"/>
          <w:color w:val="000000"/>
          <w:sz w:val="20"/>
          <w:szCs w:val="20"/>
        </w:rPr>
        <w:t xml:space="preserve">As of </w:t>
      </w:r>
      <w:r>
        <w:rPr>
          <w:rFonts w:eastAsia="Times New Roman"/>
          <w:color w:val="000000"/>
          <w:sz w:val="20"/>
          <w:szCs w:val="20"/>
        </w:rPr>
        <w:t>June 30, 2021 and December 31, 2020 the Company’s economic interest in AB was approximately 65% for both periods. The General Partner of AB is a wholly-owned subsidiary of the Company. Because the General Partner has the authority to manage and control the</w:t>
      </w:r>
      <w:r>
        <w:rPr>
          <w:rFonts w:eastAsia="Times New Roman"/>
          <w:color w:val="000000"/>
          <w:sz w:val="20"/>
          <w:szCs w:val="20"/>
        </w:rPr>
        <w:t xml:space="preserve"> business of AB, AB is consolidated in the Company’s financial statements for all periods presented.</w:t>
      </w:r>
    </w:p>
    <w:p w:rsidR="00000000" w:rsidRDefault="00897B14">
      <w:pPr>
        <w:divId w:val="1942031272"/>
        <w:rPr>
          <w:rFonts w:eastAsia="Times New Roman"/>
        </w:rPr>
      </w:pPr>
      <w:r>
        <w:rPr>
          <w:rFonts w:eastAsia="Times New Roman"/>
          <w:color w:val="000000"/>
          <w:sz w:val="20"/>
          <w:szCs w:val="20"/>
        </w:rPr>
        <w:t>On June 1, 2021, Holdings completed its previously announced sale (the “Transaction”) of Corporate Solutions Life Reinsurance Company, an insurance company</w:t>
      </w:r>
      <w:r>
        <w:rPr>
          <w:rFonts w:eastAsia="Times New Roman"/>
          <w:color w:val="000000"/>
          <w:sz w:val="20"/>
          <w:szCs w:val="20"/>
        </w:rPr>
        <w:t xml:space="preserve"> domiciled in Delaware and wholly owned subsidiary of the Company (“CSLRC”), to Venerable Insurance and Annuity Company, an insurance company domiciled in Iowa (“VIAC”), pursuant to the Master Transaction Agreement, dated October 27, 2020 (the “Master Tran</w:t>
      </w:r>
      <w:r>
        <w:rPr>
          <w:rFonts w:eastAsia="Times New Roman"/>
          <w:color w:val="000000"/>
          <w:sz w:val="20"/>
          <w:szCs w:val="20"/>
        </w:rPr>
        <w:t>saction Agreement”), among the Company, VIAC and, solely with respect to Article XIV thereof, Venerable Holdings, Inc., a Delaware corporation (“Venerable”).</w:t>
      </w:r>
    </w:p>
    <w:p w:rsidR="00000000" w:rsidRDefault="00897B14">
      <w:pPr>
        <w:divId w:val="1110902811"/>
        <w:rPr>
          <w:rFonts w:eastAsia="Times New Roman"/>
        </w:rPr>
      </w:pPr>
      <w:r>
        <w:rPr>
          <w:rFonts w:eastAsia="Times New Roman"/>
          <w:color w:val="000000"/>
          <w:sz w:val="20"/>
          <w:szCs w:val="20"/>
        </w:rPr>
        <w:t>Pursuant to the Master Transaction Agreement, immediately prior to the closing of the Transaction,</w:t>
      </w:r>
      <w:r>
        <w:rPr>
          <w:rFonts w:eastAsia="Times New Roman"/>
          <w:color w:val="000000"/>
          <w:sz w:val="20"/>
          <w:szCs w:val="20"/>
        </w:rPr>
        <w:t xml:space="preserve"> CSLRC effected the recapture of all of the business that was ceded to CS Life Re Company, an insurance company domiciled in Arizona and wholly owned subsidiary of CSLRC (“Reinsurance Subsidiary”), and sold 100% of the equity of the Reinsurance Subsidiary </w:t>
      </w:r>
      <w:r>
        <w:rPr>
          <w:rFonts w:eastAsia="Times New Roman"/>
          <w:color w:val="000000"/>
          <w:sz w:val="20"/>
          <w:szCs w:val="20"/>
        </w:rPr>
        <w:t>to another wholly owned subsidiary of the Company.</w:t>
      </w:r>
    </w:p>
    <w:p w:rsidR="00000000" w:rsidRDefault="00897B14">
      <w:pPr>
        <w:divId w:val="130366772"/>
        <w:rPr>
          <w:rFonts w:eastAsia="Times New Roman"/>
        </w:rPr>
      </w:pPr>
      <w:r>
        <w:rPr>
          <w:rFonts w:eastAsia="Times New Roman"/>
          <w:color w:val="000000"/>
          <w:sz w:val="20"/>
          <w:szCs w:val="20"/>
        </w:rPr>
        <w:t>VIAC paid the Company a cash purchase price of $215 million for CSLRC at closing. The post-closing true-up adjustment is expected to be immaterial. VIAC also issued a surplus note in aggregate principal am</w:t>
      </w:r>
      <w:r>
        <w:rPr>
          <w:rFonts w:eastAsia="Times New Roman"/>
          <w:color w:val="000000"/>
          <w:sz w:val="20"/>
          <w:szCs w:val="20"/>
        </w:rPr>
        <w:t xml:space="preserve">ount of $50 million to Equitable Financial Life Insurance Company, a New York-domiciled life insurance company and a wholly owned subsidiary of Holdings, for cash consideration. </w:t>
      </w:r>
    </w:p>
    <w:p w:rsidR="00000000" w:rsidRDefault="00897B14">
      <w:pPr>
        <w:divId w:val="413556307"/>
        <w:rPr>
          <w:rFonts w:eastAsia="Times New Roman"/>
        </w:rPr>
      </w:pPr>
      <w:r>
        <w:rPr>
          <w:rFonts w:eastAsia="Times New Roman"/>
          <w:color w:val="000000"/>
          <w:sz w:val="20"/>
          <w:szCs w:val="20"/>
        </w:rPr>
        <w:t>Immediately following the closing of the Transaction, CSLRC and Equitable Fin</w:t>
      </w:r>
      <w:r>
        <w:rPr>
          <w:rFonts w:eastAsia="Times New Roman"/>
          <w:color w:val="000000"/>
          <w:sz w:val="20"/>
          <w:szCs w:val="20"/>
        </w:rPr>
        <w:t xml:space="preserve">ancial entered into a coinsurance and modified coinsurance agreement (the “Reinsurance Agreement”), pursuant to which Equitable Financial ceded to CSLRC, on a combined coinsurance and modified coinsurance basis, legacy variable annuity policies sold by </w:t>
      </w:r>
    </w:p>
    <w:p w:rsidR="00000000" w:rsidRDefault="00897B14">
      <w:pPr>
        <w:jc w:val="center"/>
        <w:divId w:val="877814205"/>
        <w:rPr>
          <w:rFonts w:eastAsia="Times New Roman"/>
        </w:rPr>
      </w:pPr>
      <w:r>
        <w:rPr>
          <w:rFonts w:eastAsia="Times New Roman"/>
          <w:color w:val="000000"/>
          <w:sz w:val="20"/>
          <w:szCs w:val="20"/>
        </w:rPr>
        <w:t>11</w:t>
      </w:r>
    </w:p>
    <w:p w:rsidR="00000000" w:rsidRDefault="00897B14">
      <w:pPr>
        <w:rPr>
          <w:rFonts w:eastAsia="Times New Roman"/>
        </w:rPr>
      </w:pPr>
      <w:r>
        <w:rPr>
          <w:rFonts w:eastAsia="Times New Roman"/>
        </w:rPr>
        <w:pict>
          <v:rect id="_x0000_i1037" style="width:0;height:1.5pt" o:hralign="center" o:hrstd="t" o:hr="t" fillcolor="#a0a0a0" stroked="f"/>
        </w:pict>
      </w:r>
    </w:p>
    <w:p w:rsidR="00000000" w:rsidRDefault="00897B14">
      <w:pPr>
        <w:divId w:val="154952955"/>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274606060"/>
        <w:rPr>
          <w:rFonts w:eastAsia="Times New Roman"/>
        </w:rPr>
      </w:pPr>
      <w:r>
        <w:rPr>
          <w:rFonts w:eastAsia="Times New Roman"/>
          <w:b/>
          <w:bCs/>
          <w:color w:val="000000"/>
          <w:sz w:val="20"/>
          <w:szCs w:val="20"/>
        </w:rPr>
        <w:t>EQUITABLE HOLDINGS, INC.</w:t>
      </w:r>
    </w:p>
    <w:p w:rsidR="00000000" w:rsidRDefault="00897B14">
      <w:pPr>
        <w:jc w:val="center"/>
        <w:divId w:val="274606060"/>
        <w:rPr>
          <w:rFonts w:eastAsia="Times New Roman"/>
        </w:rPr>
      </w:pPr>
      <w:r>
        <w:rPr>
          <w:rFonts w:eastAsia="Times New Roman"/>
          <w:b/>
          <w:bCs/>
          <w:color w:val="000000"/>
          <w:sz w:val="20"/>
          <w:szCs w:val="20"/>
        </w:rPr>
        <w:t>Notes to Consolidated Financial Statements (Unaudited), Continued</w:t>
      </w:r>
    </w:p>
    <w:p w:rsidR="00000000" w:rsidRDefault="00897B14">
      <w:pPr>
        <w:divId w:val="370419998"/>
        <w:rPr>
          <w:rFonts w:eastAsia="Times New Roman"/>
        </w:rPr>
      </w:pPr>
      <w:r>
        <w:rPr>
          <w:rFonts w:eastAsia="Times New Roman"/>
          <w:color w:val="000000"/>
          <w:sz w:val="20"/>
          <w:szCs w:val="20"/>
        </w:rPr>
        <w:t xml:space="preserve">Equitable Financial between 2006-2008 (the “Block”), comprised of non-New York “Accumulator” policies containing fixed rate Guaranteed Minimum Income Benefit and/or Guaranteed Minimum Death </w:t>
      </w:r>
      <w:r>
        <w:rPr>
          <w:rFonts w:eastAsia="Times New Roman"/>
          <w:color w:val="000000"/>
          <w:sz w:val="20"/>
          <w:szCs w:val="20"/>
        </w:rPr>
        <w:t>Benefit guarantees. At the closing of the Transaction, CSLRC deposited assets supporting the general account liabilities relating to the Block into a trust account for the benefit of Equitable Financial, which assets will secure its obligations to Equitabl</w:t>
      </w:r>
      <w:r>
        <w:rPr>
          <w:rFonts w:eastAsia="Times New Roman"/>
          <w:color w:val="000000"/>
          <w:sz w:val="20"/>
          <w:szCs w:val="20"/>
        </w:rPr>
        <w:t>e Financial under the Reinsurance Agreement. At the closing of the Transaction, AllianceBernstein L.P., a subsidiary of the Company (“AB”), entered into an investment advisory agreement with CSLRC pursuant to which AB will serve as the preferred investment</w:t>
      </w:r>
      <w:r>
        <w:rPr>
          <w:rFonts w:eastAsia="Times New Roman"/>
          <w:color w:val="000000"/>
          <w:sz w:val="20"/>
          <w:szCs w:val="20"/>
        </w:rPr>
        <w:t xml:space="preserve"> manager of the general account assets transferred to the trust account. The Company transferred assets of $9.5 billion, including primarily available for sale securities and cash, to a collateral trust account as the consideration for the reinsurance tran</w:t>
      </w:r>
      <w:r>
        <w:rPr>
          <w:rFonts w:eastAsia="Times New Roman"/>
          <w:color w:val="000000"/>
          <w:sz w:val="20"/>
          <w:szCs w:val="20"/>
        </w:rPr>
        <w:t>saction. In addition, the Company recorded $9.6 billion of direct insurance liabilities ceded under the reinsurance contract, of which $5.3 billion is accounted at fair value, as the reinsurance of GMxB with no lapse guarantee riders are embedded derivativ</w:t>
      </w:r>
      <w:r>
        <w:rPr>
          <w:rFonts w:eastAsia="Times New Roman"/>
          <w:color w:val="000000"/>
          <w:sz w:val="20"/>
          <w:szCs w:val="20"/>
        </w:rPr>
        <w:t>es. Additionally, $16.9 billion of Separate Account liabilities were ceded under a modified coinsurance portion of the agreement.</w:t>
      </w:r>
    </w:p>
    <w:p w:rsidR="00000000" w:rsidRDefault="00897B14">
      <w:pPr>
        <w:divId w:val="2129472619"/>
        <w:rPr>
          <w:rFonts w:eastAsia="Times New Roman"/>
        </w:rPr>
      </w:pPr>
      <w:r>
        <w:rPr>
          <w:rFonts w:eastAsia="Times New Roman"/>
          <w:color w:val="000000"/>
          <w:sz w:val="20"/>
          <w:szCs w:val="20"/>
        </w:rPr>
        <w:t xml:space="preserve">In addition, upon the completion of the Transaction, Equitable Investment Management Group, LLC, a wholly owned subsidiary of </w:t>
      </w:r>
      <w:r>
        <w:rPr>
          <w:rFonts w:eastAsia="Times New Roman"/>
          <w:color w:val="000000"/>
          <w:sz w:val="20"/>
          <w:szCs w:val="20"/>
        </w:rPr>
        <w:t xml:space="preserve">the Company, acquired an approximate 9.09% equity interest in Venerable’s parent holding company, VA Capital Company LLC. In connection with such investment, Equitable Investment Management Group, LLC will have the right to designate a member of the Board </w:t>
      </w:r>
      <w:r>
        <w:rPr>
          <w:rFonts w:eastAsia="Times New Roman"/>
          <w:color w:val="000000"/>
          <w:sz w:val="20"/>
          <w:szCs w:val="20"/>
        </w:rPr>
        <w:t>of Managers of VA Capital Company LLC.</w:t>
      </w:r>
    </w:p>
    <w:p w:rsidR="00000000" w:rsidRDefault="00897B14">
      <w:pPr>
        <w:divId w:val="623929181"/>
        <w:rPr>
          <w:rFonts w:eastAsia="Times New Roman"/>
        </w:rPr>
      </w:pPr>
    </w:p>
    <w:p w:rsidR="00000000" w:rsidRDefault="00897B14">
      <w:pPr>
        <w:divId w:val="2032993481"/>
        <w:rPr>
          <w:rFonts w:eastAsia="Times New Roman"/>
        </w:rPr>
      </w:pPr>
      <w:r>
        <w:rPr>
          <w:rFonts w:eastAsia="Times New Roman"/>
          <w:b/>
          <w:bCs/>
          <w:color w:val="000000"/>
          <w:sz w:val="20"/>
          <w:szCs w:val="20"/>
        </w:rPr>
        <w:t xml:space="preserve">2)     SIGNIFICANT ACCOUNTING POLICIES </w:t>
      </w:r>
    </w:p>
    <w:p w:rsidR="00000000" w:rsidRDefault="00897B14">
      <w:pPr>
        <w:divId w:val="251665303"/>
        <w:rPr>
          <w:rFonts w:eastAsia="Times New Roman"/>
        </w:rPr>
      </w:pPr>
      <w:r>
        <w:rPr>
          <w:rFonts w:eastAsia="Times New Roman"/>
          <w:color w:val="000000"/>
          <w:sz w:val="20"/>
          <w:szCs w:val="20"/>
          <w:u w:val="single"/>
        </w:rPr>
        <w:t>Basis of Presentation and Principles of Consolidation</w:t>
      </w:r>
    </w:p>
    <w:p w:rsidR="00000000" w:rsidRDefault="00897B14">
      <w:pPr>
        <w:divId w:val="228344029"/>
        <w:rPr>
          <w:rFonts w:eastAsia="Times New Roman"/>
        </w:rPr>
      </w:pPr>
      <w:r>
        <w:rPr>
          <w:rFonts w:eastAsia="Times New Roman"/>
          <w:color w:val="000000"/>
          <w:sz w:val="20"/>
          <w:szCs w:val="20"/>
        </w:rPr>
        <w:t>The unaudited interim consolidated financial statements (the “consolidated financial statements”) have been prepared in c</w:t>
      </w:r>
      <w:r>
        <w:rPr>
          <w:rFonts w:eastAsia="Times New Roman"/>
          <w:color w:val="000000"/>
          <w:sz w:val="20"/>
          <w:szCs w:val="20"/>
        </w:rPr>
        <w:t>onformity with accounting principles generally accepted in the United States of America (“U.S. GAAP” or “GAAP”) on a basis consistent with reporting interim financial information in accordance with instructions to the Form 10-Q and Article 10 of Regulation</w:t>
      </w:r>
      <w:r>
        <w:rPr>
          <w:rFonts w:eastAsia="Times New Roman"/>
          <w:color w:val="000000"/>
          <w:sz w:val="20"/>
          <w:szCs w:val="20"/>
        </w:rPr>
        <w:t xml:space="preserve"> S-X of the Securities and Exchange Commission (“SEC”). </w:t>
      </w:r>
    </w:p>
    <w:p w:rsidR="00000000" w:rsidRDefault="00897B14">
      <w:pPr>
        <w:divId w:val="1989239420"/>
        <w:rPr>
          <w:rFonts w:eastAsia="Times New Roman"/>
        </w:rPr>
      </w:pPr>
      <w:r>
        <w:rPr>
          <w:rFonts w:eastAsia="Times New Roman"/>
          <w:color w:val="000000"/>
          <w:sz w:val="20"/>
          <w:szCs w:val="20"/>
        </w:rPr>
        <w:t>In the opinion of management, all adjustments necessary for a fair statement of the financial position and results of operations have been made. All such adjustments are of a normal, recurring nature</w:t>
      </w:r>
      <w:r>
        <w:rPr>
          <w:rFonts w:eastAsia="Times New Roman"/>
          <w:color w:val="000000"/>
          <w:sz w:val="20"/>
          <w:szCs w:val="20"/>
        </w:rPr>
        <w:t>, with the exception of the Company’s update of its interest rate assumption and adoption of new economic scenario generator as further described below in Assumption Updates and Model Changes. Interim results are not necessarily indicative of the results t</w:t>
      </w:r>
      <w:r>
        <w:rPr>
          <w:rFonts w:eastAsia="Times New Roman"/>
          <w:color w:val="000000"/>
          <w:sz w:val="20"/>
          <w:szCs w:val="20"/>
        </w:rPr>
        <w:t xml:space="preserve">hat may be expected for the full year. These financial statements should be read in conjunction with the Company’s consolidated financial statements included in the Company’s Annual Report on Form 10-K for the year ended December 31, 2020. </w:t>
      </w:r>
    </w:p>
    <w:p w:rsidR="00000000" w:rsidRDefault="00897B14">
      <w:pPr>
        <w:divId w:val="1397505792"/>
        <w:rPr>
          <w:rFonts w:eastAsia="Times New Roman"/>
        </w:rPr>
      </w:pPr>
      <w:r>
        <w:rPr>
          <w:rFonts w:eastAsia="Times New Roman"/>
          <w:color w:val="000000"/>
          <w:sz w:val="20"/>
          <w:szCs w:val="20"/>
        </w:rPr>
        <w:t>The accompanyin</w:t>
      </w:r>
      <w:r>
        <w:rPr>
          <w:rFonts w:eastAsia="Times New Roman"/>
          <w:color w:val="000000"/>
          <w:sz w:val="20"/>
          <w:szCs w:val="20"/>
        </w:rPr>
        <w:t>g unaudited consolidated financial statements present the consolidated results of operations, financial condition, and cash flows of the Company and its subsidiaries and those investment companies, partnerships and joint ventures in which the Company has c</w:t>
      </w:r>
      <w:r>
        <w:rPr>
          <w:rFonts w:eastAsia="Times New Roman"/>
          <w:color w:val="000000"/>
          <w:sz w:val="20"/>
          <w:szCs w:val="20"/>
        </w:rPr>
        <w:t xml:space="preserve">ontrol and a majority economic interest as well as those variable interest entities (“VIEs”) that meet the requirements for consolidation. </w:t>
      </w:r>
    </w:p>
    <w:p w:rsidR="00000000" w:rsidRDefault="00897B14">
      <w:pPr>
        <w:divId w:val="130638474"/>
        <w:rPr>
          <w:rFonts w:eastAsia="Times New Roman"/>
        </w:rPr>
      </w:pPr>
      <w:r>
        <w:rPr>
          <w:rFonts w:eastAsia="Times New Roman"/>
          <w:color w:val="000000"/>
          <w:sz w:val="20"/>
          <w:szCs w:val="20"/>
        </w:rPr>
        <w:t>All significant intercompany transactions and balances have been eliminated in consolidation. The terms “second quar</w:t>
      </w:r>
      <w:r>
        <w:rPr>
          <w:rFonts w:eastAsia="Times New Roman"/>
          <w:color w:val="000000"/>
          <w:sz w:val="20"/>
          <w:szCs w:val="20"/>
        </w:rPr>
        <w:t>ter 2021” and “second quarter 2020” refer to the three months ended June 30, 2021 and 2020, respectively. The terms “first six months of 2021” and “first six months of 2020” refer to the six months ended June 30, 2021 and 2020, respectively.</w:t>
      </w:r>
    </w:p>
    <w:p w:rsidR="00000000" w:rsidRDefault="00897B14">
      <w:pPr>
        <w:divId w:val="1893535310"/>
        <w:rPr>
          <w:rFonts w:eastAsia="Times New Roman"/>
        </w:rPr>
      </w:pPr>
      <w:r>
        <w:rPr>
          <w:rFonts w:eastAsia="Times New Roman"/>
          <w:color w:val="000000"/>
          <w:sz w:val="20"/>
          <w:szCs w:val="20"/>
        </w:rPr>
        <w:t xml:space="preserve">Certain prior year amounts have been reclassified to conform to the current year’s presentation. </w:t>
      </w:r>
    </w:p>
    <w:p w:rsidR="00000000" w:rsidRDefault="00897B14">
      <w:pPr>
        <w:divId w:val="1321081424"/>
        <w:rPr>
          <w:rFonts w:eastAsia="Times New Roman"/>
        </w:rPr>
      </w:pPr>
    </w:p>
    <w:p w:rsidR="00000000" w:rsidRDefault="00897B14">
      <w:pPr>
        <w:jc w:val="center"/>
        <w:divId w:val="245766581"/>
        <w:rPr>
          <w:rFonts w:eastAsia="Times New Roman"/>
        </w:rPr>
      </w:pPr>
    </w:p>
    <w:p w:rsidR="00000000" w:rsidRDefault="00897B14">
      <w:pPr>
        <w:jc w:val="center"/>
        <w:divId w:val="245766581"/>
        <w:rPr>
          <w:rFonts w:eastAsia="Times New Roman"/>
        </w:rPr>
      </w:pPr>
      <w:r>
        <w:rPr>
          <w:rFonts w:eastAsia="Times New Roman"/>
          <w:color w:val="000000"/>
          <w:sz w:val="20"/>
          <w:szCs w:val="20"/>
        </w:rPr>
        <w:t>12</w:t>
      </w:r>
    </w:p>
    <w:p w:rsidR="00000000" w:rsidRDefault="00897B14">
      <w:pPr>
        <w:rPr>
          <w:rFonts w:eastAsia="Times New Roman"/>
        </w:rPr>
      </w:pPr>
      <w:r>
        <w:rPr>
          <w:rFonts w:eastAsia="Times New Roman"/>
        </w:rPr>
        <w:pict>
          <v:rect id="_x0000_i1038" style="width:0;height:1.5pt" o:hralign="center" o:hrstd="t" o:hr="t" fillcolor="#a0a0a0" stroked="f"/>
        </w:pict>
      </w:r>
    </w:p>
    <w:p w:rsidR="00000000" w:rsidRDefault="00897B14">
      <w:pPr>
        <w:divId w:val="1364475544"/>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1756321651"/>
        <w:rPr>
          <w:rFonts w:eastAsia="Times New Roman"/>
        </w:rPr>
      </w:pPr>
      <w:r>
        <w:rPr>
          <w:rFonts w:eastAsia="Times New Roman"/>
          <w:b/>
          <w:bCs/>
          <w:color w:val="000000"/>
          <w:sz w:val="20"/>
          <w:szCs w:val="20"/>
        </w:rPr>
        <w:t>EQUITABLE HOLDINGS, INC.</w:t>
      </w:r>
    </w:p>
    <w:p w:rsidR="00000000" w:rsidRDefault="00897B14">
      <w:pPr>
        <w:jc w:val="center"/>
        <w:divId w:val="1756321651"/>
        <w:rPr>
          <w:rFonts w:eastAsia="Times New Roman"/>
        </w:rPr>
      </w:pPr>
      <w:r>
        <w:rPr>
          <w:rFonts w:eastAsia="Times New Roman"/>
          <w:b/>
          <w:bCs/>
          <w:color w:val="000000"/>
          <w:sz w:val="20"/>
          <w:szCs w:val="20"/>
        </w:rPr>
        <w:t>Notes to Con</w:t>
      </w:r>
      <w:r>
        <w:rPr>
          <w:rFonts w:eastAsia="Times New Roman"/>
          <w:b/>
          <w:bCs/>
          <w:color w:val="000000"/>
          <w:sz w:val="20"/>
          <w:szCs w:val="20"/>
        </w:rPr>
        <w:t>solidated Financial Statements (Unaudited), Continued</w:t>
      </w:r>
    </w:p>
    <w:p w:rsidR="00000000" w:rsidRDefault="00897B14">
      <w:pPr>
        <w:divId w:val="90971865"/>
        <w:rPr>
          <w:rFonts w:eastAsia="Times New Roman"/>
        </w:rPr>
      </w:pPr>
      <w:r>
        <w:rPr>
          <w:rFonts w:eastAsia="Times New Roman"/>
          <w:color w:val="000000"/>
          <w:sz w:val="20"/>
          <w:szCs w:val="20"/>
          <w:u w:val="single"/>
        </w:rPr>
        <w:t>Adoption of New Accounting Pronouncements</w:t>
      </w:r>
    </w:p>
    <w:tbl>
      <w:tblPr>
        <w:tblW w:w="4868" w:type="pct"/>
        <w:tblCellMar>
          <w:top w:w="15" w:type="dxa"/>
          <w:left w:w="15" w:type="dxa"/>
          <w:bottom w:w="15" w:type="dxa"/>
          <w:right w:w="15" w:type="dxa"/>
        </w:tblCellMar>
        <w:tblLook w:val="04A0" w:firstRow="1" w:lastRow="0" w:firstColumn="1" w:lastColumn="0" w:noHBand="0" w:noVBand="1"/>
      </w:tblPr>
      <w:tblGrid>
        <w:gridCol w:w="65"/>
        <w:gridCol w:w="3887"/>
        <w:gridCol w:w="36"/>
        <w:gridCol w:w="66"/>
        <w:gridCol w:w="3888"/>
        <w:gridCol w:w="37"/>
        <w:gridCol w:w="36"/>
        <w:gridCol w:w="36"/>
        <w:gridCol w:w="36"/>
      </w:tblGrid>
      <w:tr w:rsidR="00000000">
        <w:trPr>
          <w:divId w:val="775372251"/>
        </w:trPr>
        <w:tc>
          <w:tcPr>
            <w:tcW w:w="50" w:type="pct"/>
            <w:vAlign w:val="center"/>
            <w:hideMark/>
          </w:tcPr>
          <w:p w:rsidR="00000000" w:rsidRDefault="00897B14">
            <w:pPr>
              <w:rPr>
                <w:rFonts w:eastAsia="Times New Roman"/>
              </w:rPr>
            </w:pPr>
          </w:p>
        </w:tc>
        <w:tc>
          <w:tcPr>
            <w:tcW w:w="244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44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372251"/>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Effect on the Financial Statement or Other Significant Matters</w:t>
            </w:r>
          </w:p>
        </w:tc>
        <w:tc>
          <w:tcPr>
            <w:tcW w:w="0" w:type="auto"/>
            <w:gridSpan w:val="3"/>
            <w:vAlign w:val="center"/>
            <w:hideMark/>
          </w:tcPr>
          <w:p w:rsidR="00000000" w:rsidRDefault="00897B14">
            <w:pPr>
              <w:spacing w:after="100"/>
              <w:jc w:val="center"/>
              <w:rPr>
                <w:rFonts w:eastAsia="Times New Roman"/>
              </w:rPr>
            </w:pPr>
          </w:p>
        </w:tc>
      </w:tr>
      <w:tr w:rsidR="00000000">
        <w:trPr>
          <w:divId w:val="775372251"/>
        </w:trPr>
        <w:tc>
          <w:tcPr>
            <w:tcW w:w="0" w:type="auto"/>
            <w:gridSpan w:val="6"/>
            <w:tcBorders>
              <w:top w:val="single" w:sz="4" w:space="0" w:color="000000"/>
              <w:left w:val="single" w:sz="4" w:space="0" w:color="000000"/>
              <w:right w:val="single" w:sz="4" w:space="0" w:color="000000"/>
            </w:tcBorders>
            <w:tcMar>
              <w:top w:w="30" w:type="dxa"/>
              <w:left w:w="20" w:type="dxa"/>
              <w:bottom w:w="30" w:type="dxa"/>
              <w:right w:w="740" w:type="dxa"/>
            </w:tcMar>
            <w:hideMark/>
          </w:tcPr>
          <w:p w:rsidR="00000000" w:rsidRDefault="00897B14">
            <w:pPr>
              <w:spacing w:after="100"/>
              <w:jc w:val="both"/>
              <w:rPr>
                <w:rFonts w:eastAsia="Times New Roman"/>
              </w:rPr>
            </w:pPr>
            <w:r>
              <w:rPr>
                <w:rFonts w:eastAsia="Times New Roman"/>
                <w:i/>
                <w:iCs/>
                <w:color w:val="000000"/>
                <w:sz w:val="18"/>
                <w:szCs w:val="18"/>
              </w:rPr>
              <w:t>ASU 2019-12: Income Taxes (Topic 740): Simplifying the Accounting for Income Taxes</w:t>
            </w:r>
          </w:p>
        </w:tc>
        <w:tc>
          <w:tcPr>
            <w:tcW w:w="0" w:type="auto"/>
            <w:gridSpan w:val="3"/>
            <w:vAlign w:val="center"/>
            <w:hideMark/>
          </w:tcPr>
          <w:p w:rsidR="00000000" w:rsidRDefault="00897B14">
            <w:pPr>
              <w:spacing w:after="100"/>
              <w:jc w:val="both"/>
              <w:rPr>
                <w:rFonts w:eastAsia="Times New Roman"/>
              </w:rPr>
            </w:pPr>
          </w:p>
        </w:tc>
      </w:tr>
      <w:tr w:rsidR="00000000">
        <w:trPr>
          <w:divId w:val="775372251"/>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This ASU simplifies the accounting for income taxes by removing certain exceptions to the general principles in Topic 740, as well as clarifying and amending existi</w:t>
            </w:r>
            <w:r>
              <w:rPr>
                <w:rFonts w:eastAsia="Times New Roman"/>
                <w:color w:val="000000"/>
                <w:sz w:val="18"/>
                <w:szCs w:val="18"/>
              </w:rPr>
              <w:t>ng guidance.</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On January 1, 2021, the Company adopted the new accounting standards update. The new guidance is applied either on a retrospective, modified retrospective or prospective basis based on the items to which the amendments relate. The adoption d</w:t>
            </w:r>
            <w:r>
              <w:rPr>
                <w:rFonts w:eastAsia="Times New Roman"/>
                <w:color w:val="000000"/>
                <w:sz w:val="18"/>
                <w:szCs w:val="18"/>
              </w:rPr>
              <w:t>id not have a material impact on the Company’s consolidated financial position, results of operations and cash flows as of the adoption date.</w:t>
            </w:r>
          </w:p>
        </w:tc>
        <w:tc>
          <w:tcPr>
            <w:tcW w:w="0" w:type="auto"/>
            <w:gridSpan w:val="3"/>
            <w:vAlign w:val="center"/>
            <w:hideMark/>
          </w:tcPr>
          <w:p w:rsidR="00000000" w:rsidRDefault="00897B14">
            <w:pPr>
              <w:spacing w:after="100"/>
              <w:jc w:val="both"/>
              <w:rPr>
                <w:rFonts w:eastAsia="Times New Roman"/>
              </w:rPr>
            </w:pPr>
          </w:p>
        </w:tc>
      </w:tr>
      <w:tr w:rsidR="00000000">
        <w:trPr>
          <w:divId w:val="77537225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7537225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37225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7537225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37225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7537225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84636889"/>
        <w:rPr>
          <w:rFonts w:eastAsia="Times New Roman"/>
        </w:rPr>
      </w:pPr>
      <w:r>
        <w:rPr>
          <w:rFonts w:eastAsia="Times New Roman"/>
          <w:color w:val="000000"/>
          <w:sz w:val="20"/>
          <w:szCs w:val="20"/>
          <w:u w:val="single"/>
        </w:rPr>
        <w:t>Future Adoption of New Accounting Pronouncements</w:t>
      </w:r>
    </w:p>
    <w:tbl>
      <w:tblPr>
        <w:tblW w:w="4912" w:type="pct"/>
        <w:tblCellMar>
          <w:top w:w="15" w:type="dxa"/>
          <w:left w:w="15" w:type="dxa"/>
          <w:bottom w:w="15" w:type="dxa"/>
          <w:right w:w="15" w:type="dxa"/>
        </w:tblCellMar>
        <w:tblLook w:val="04A0" w:firstRow="1" w:lastRow="0" w:firstColumn="1" w:lastColumn="0" w:noHBand="0" w:noVBand="1"/>
      </w:tblPr>
      <w:tblGrid>
        <w:gridCol w:w="66"/>
        <w:gridCol w:w="2567"/>
        <w:gridCol w:w="37"/>
        <w:gridCol w:w="67"/>
        <w:gridCol w:w="2567"/>
        <w:gridCol w:w="38"/>
        <w:gridCol w:w="67"/>
        <w:gridCol w:w="2714"/>
        <w:gridCol w:w="37"/>
      </w:tblGrid>
      <w:tr w:rsidR="00000000">
        <w:trPr>
          <w:divId w:val="184636889"/>
        </w:trPr>
        <w:tc>
          <w:tcPr>
            <w:tcW w:w="50" w:type="pct"/>
            <w:vAlign w:val="center"/>
            <w:hideMark/>
          </w:tcPr>
          <w:p w:rsidR="00000000" w:rsidRDefault="00897B14">
            <w:pPr>
              <w:rPr>
                <w:rFonts w:eastAsia="Times New Roman"/>
              </w:rPr>
            </w:pPr>
          </w:p>
        </w:tc>
        <w:tc>
          <w:tcPr>
            <w:tcW w:w="1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67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84636889"/>
        </w:trPr>
        <w:tc>
          <w:tcPr>
            <w:tcW w:w="0" w:type="auto"/>
            <w:gridSpan w:val="3"/>
            <w:tcBorders>
              <w:top w:val="single" w:sz="4" w:space="0" w:color="000000"/>
              <w:left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bottom w:val="single" w:sz="8" w:space="0" w:color="000000"/>
              <w:right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184636889"/>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897B14">
            <w:pPr>
              <w:spacing w:after="100"/>
              <w:rPr>
                <w:rFonts w:eastAsia="Times New Roman"/>
              </w:rPr>
            </w:pPr>
            <w:r>
              <w:rPr>
                <w:rFonts w:eastAsia="Times New Roman"/>
                <w:i/>
                <w:iCs/>
                <w:color w:val="000000"/>
                <w:sz w:val="18"/>
                <w:szCs w:val="18"/>
              </w:rPr>
              <w:t>ASU 2018-12: Financial Services - Insurance (Topic 944); ASU 2020-11: Financial Services - Insurance (Topic 944): Effective Date and Early Application</w:t>
            </w:r>
          </w:p>
        </w:tc>
      </w:tr>
      <w:tr w:rsidR="00000000">
        <w:trPr>
          <w:divId w:val="184636889"/>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897B14">
            <w:pPr>
              <w:spacing w:after="240"/>
              <w:jc w:val="both"/>
              <w:rPr>
                <w:rFonts w:eastAsia="Times New Roman"/>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p>
        </w:tc>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In November 2020, th</w:t>
            </w:r>
            <w:r>
              <w:rPr>
                <w:rFonts w:eastAsia="Times New Roman"/>
                <w:color w:val="000000"/>
                <w:sz w:val="18"/>
                <w:szCs w:val="18"/>
              </w:rPr>
              <w:t>e FASB issued ASU 2020-11 which deferred the effective date of the amendments in ASU 2018-12 for all insurance entities. ASU 2018-12 is effective for fiscal years, and interim periods within those fiscal years, beginning after December 15, 2022. Early adop</w:t>
            </w:r>
            <w:r>
              <w:rPr>
                <w:rFonts w:eastAsia="Times New Roman"/>
                <w:color w:val="000000"/>
                <w:sz w:val="18"/>
                <w:szCs w:val="18"/>
              </w:rPr>
              <w:t>tion is allowed.</w:t>
            </w:r>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The Company is currently evaluating the impact that adoption of this guidance will have on the Company’s consolidated financial statements, however the adoption of the ASU is expected to have a significant impact on the Company’s consoli</w:t>
            </w:r>
            <w:r>
              <w:rPr>
                <w:rFonts w:eastAsia="Times New Roman"/>
                <w:color w:val="000000"/>
                <w:sz w:val="18"/>
                <w:szCs w:val="18"/>
              </w:rPr>
              <w:t>dated financial condition, results of operations, cash flows and required disclosures, as well as processes and controls.</w:t>
            </w:r>
          </w:p>
        </w:tc>
      </w:tr>
      <w:tr w:rsidR="00000000">
        <w:trPr>
          <w:divId w:val="184636889"/>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897B14">
            <w:pPr>
              <w:spacing w:after="100"/>
              <w:jc w:val="both"/>
              <w:divId w:val="155154627"/>
              <w:rPr>
                <w:rFonts w:eastAsia="Times New Roman"/>
              </w:rPr>
            </w:pPr>
            <w:r>
              <w:rPr>
                <w:rFonts w:eastAsia="Times New Roman"/>
                <w:color w:val="000000"/>
                <w:sz w:val="18"/>
                <w:szCs w:val="18"/>
              </w:rPr>
              <w:t>1. Measurement of the liability for future policy benefits for traditional and limited payment contracts. The ASU requires companie</w:t>
            </w:r>
            <w:r>
              <w:rPr>
                <w:rFonts w:eastAsia="Times New Roman"/>
                <w:color w:val="000000"/>
                <w:sz w:val="18"/>
                <w:szCs w:val="18"/>
              </w:rPr>
              <w:t>s to review, and if necessary, update cash flow assumptions at least annually for non-participating traditional and limited-payment insurance contracts. Interest rates used to discount the liability will need to be updated quarterly using an upper medium g</w:t>
            </w:r>
            <w:r>
              <w:rPr>
                <w:rFonts w:eastAsia="Times New Roman"/>
                <w:color w:val="000000"/>
                <w:sz w:val="18"/>
                <w:szCs w:val="18"/>
              </w:rPr>
              <w:t>rade (low credit risk) fixed-income instrument yield.</w:t>
            </w:r>
          </w:p>
          <w:p w:rsidR="00000000" w:rsidRDefault="00897B14">
            <w:pPr>
              <w:spacing w:after="100"/>
              <w:jc w:val="both"/>
              <w:divId w:val="1872063088"/>
              <w:rPr>
                <w:rFonts w:eastAsia="Times New Roman"/>
              </w:rPr>
            </w:pPr>
            <w:r>
              <w:rPr>
                <w:rFonts w:eastAsia="Times New Roman"/>
                <w:color w:val="000000"/>
                <w:sz w:val="18"/>
                <w:szCs w:val="18"/>
              </w:rPr>
              <w:t xml:space="preserve">2. Measurement of MRBs. MRBs, as defined under the ASU, will encompass certain GMxB features associated with variable annuity products and other general account annuities with other than nominal market </w:t>
            </w:r>
            <w:r>
              <w:rPr>
                <w:rFonts w:eastAsia="Times New Roman"/>
                <w:color w:val="000000"/>
                <w:sz w:val="18"/>
                <w:szCs w:val="18"/>
              </w:rPr>
              <w:t>risk. The ASU requires MRBs to be measured at fair value with changes in value attributable to changes in instrument-specific credit risk recognized in OCI.</w:t>
            </w:r>
          </w:p>
          <w:p w:rsidR="00000000" w:rsidRDefault="00897B14">
            <w:pPr>
              <w:spacing w:after="100"/>
              <w:jc w:val="both"/>
              <w:divId w:val="1698043068"/>
              <w:rPr>
                <w:rFonts w:eastAsia="Times New Roman"/>
              </w:rPr>
            </w:pPr>
            <w:r>
              <w:rPr>
                <w:rFonts w:eastAsia="Times New Roman"/>
                <w:color w:val="000000"/>
                <w:sz w:val="18"/>
                <w:szCs w:val="18"/>
              </w:rPr>
              <w:t>3. Amortization of deferred acquisition costs. The ASU simplifies the amortization of deferred acqu</w:t>
            </w:r>
            <w:r>
              <w:rPr>
                <w:rFonts w:eastAsia="Times New Roman"/>
                <w:color w:val="000000"/>
                <w:sz w:val="18"/>
                <w:szCs w:val="18"/>
              </w:rPr>
              <w:t xml:space="preserve">isition costs and other balances amortized in proportion to premiums, gross profits, or gross margins, requiring such balances to be amortized on a constant level basis over the expected term of the contracts. Deferred costs will be required to be written </w:t>
            </w:r>
            <w:r>
              <w:rPr>
                <w:rFonts w:eastAsia="Times New Roman"/>
                <w:color w:val="000000"/>
                <w:sz w:val="18"/>
                <w:szCs w:val="18"/>
              </w:rPr>
              <w:t>off for unexpected contract terminations but will not be subject to impairment testing.</w:t>
            </w:r>
          </w:p>
          <w:p w:rsidR="00000000" w:rsidRDefault="00897B14">
            <w:pPr>
              <w:spacing w:after="100"/>
              <w:jc w:val="both"/>
              <w:divId w:val="2121995852"/>
              <w:rPr>
                <w:rFonts w:eastAsia="Times New Roman"/>
              </w:rPr>
            </w:pP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897B14">
            <w:pPr>
              <w:spacing w:after="240"/>
              <w:jc w:val="both"/>
              <w:rPr>
                <w:rFonts w:eastAsia="Times New Roman"/>
              </w:rPr>
            </w:pPr>
            <w:r>
              <w:rPr>
                <w:rFonts w:eastAsia="Times New Roman"/>
                <w:color w:val="000000"/>
                <w:sz w:val="18"/>
                <w:szCs w:val="18"/>
              </w:rPr>
              <w:t>For the liability for future policyholder benefits for traditional and limited payment contracts, companies can elect one of two adoption methods. Companies can eit</w:t>
            </w:r>
            <w:r>
              <w:rPr>
                <w:rFonts w:eastAsia="Times New Roman"/>
                <w:color w:val="000000"/>
                <w:sz w:val="18"/>
                <w:szCs w:val="18"/>
              </w:rPr>
              <w:t>her elect a modified retrospective transition method applied to contracts in force as of the beginning of the earliest period presented on the basis of their existing carrying amounts, adjusted for the removal of any related amounts in AOCI or a full retro</w:t>
            </w:r>
            <w:r>
              <w:rPr>
                <w:rFonts w:eastAsia="Times New Roman"/>
                <w:color w:val="000000"/>
                <w:sz w:val="18"/>
                <w:szCs w:val="18"/>
              </w:rPr>
              <w:t>spective transition method using actual historical experience information as of contract inception. The same adoption method must be used for deferred policy acquisition costs.</w:t>
            </w:r>
            <w:r>
              <w:rPr>
                <w:rFonts w:eastAsia="Times New Roman"/>
                <w:color w:val="000000"/>
                <w:sz w:val="18"/>
                <w:szCs w:val="18"/>
              </w:rPr>
              <w:br/>
              <w:t xml:space="preserve">For MRBs, the ASU should be applied retrospectively as of the beginning of the </w:t>
            </w:r>
            <w:r>
              <w:rPr>
                <w:rFonts w:eastAsia="Times New Roman"/>
                <w:color w:val="000000"/>
                <w:sz w:val="18"/>
                <w:szCs w:val="18"/>
              </w:rPr>
              <w:t>earliest period presented.</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20" w:type="dxa"/>
              <w:bottom w:w="0" w:type="dxa"/>
              <w:right w:w="20" w:type="dxa"/>
            </w:tcMar>
            <w:vAlign w:val="center"/>
            <w:hideMark/>
          </w:tcPr>
          <w:p w:rsidR="00000000" w:rsidRDefault="00897B14">
            <w:pPr>
              <w:spacing w:after="240"/>
              <w:jc w:val="both"/>
              <w:rPr>
                <w:rFonts w:eastAsia="Times New Roman"/>
              </w:rPr>
            </w:pPr>
          </w:p>
        </w:tc>
      </w:tr>
    </w:tbl>
    <w:p w:rsidR="00000000" w:rsidRDefault="00897B14">
      <w:pPr>
        <w:jc w:val="center"/>
        <w:divId w:val="351341791"/>
        <w:rPr>
          <w:rFonts w:eastAsia="Times New Roman"/>
        </w:rPr>
      </w:pPr>
      <w:r>
        <w:rPr>
          <w:rFonts w:eastAsia="Times New Roman"/>
          <w:color w:val="000000"/>
          <w:sz w:val="20"/>
          <w:szCs w:val="20"/>
        </w:rPr>
        <w:t>13</w:t>
      </w:r>
    </w:p>
    <w:p w:rsidR="00000000" w:rsidRDefault="00897B14">
      <w:pPr>
        <w:rPr>
          <w:rFonts w:eastAsia="Times New Roman"/>
        </w:rPr>
      </w:pPr>
      <w:r>
        <w:rPr>
          <w:rFonts w:eastAsia="Times New Roman"/>
        </w:rPr>
        <w:pict>
          <v:rect id="_x0000_i1039" style="width:0;height:1.5pt" o:hralign="center" o:hrstd="t" o:hr="t" fillcolor="#a0a0a0" stroked="f"/>
        </w:pict>
      </w:r>
    </w:p>
    <w:p w:rsidR="00000000" w:rsidRDefault="00897B14">
      <w:pPr>
        <w:divId w:val="1089080098"/>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700671810"/>
        <w:rPr>
          <w:rFonts w:eastAsia="Times New Roman"/>
        </w:rPr>
      </w:pPr>
      <w:r>
        <w:rPr>
          <w:rFonts w:eastAsia="Times New Roman"/>
          <w:b/>
          <w:bCs/>
          <w:color w:val="000000"/>
          <w:sz w:val="20"/>
          <w:szCs w:val="20"/>
        </w:rPr>
        <w:t>EQUITABLE HOLDINGS, INC.</w:t>
      </w:r>
    </w:p>
    <w:p w:rsidR="00000000" w:rsidRDefault="00897B14">
      <w:pPr>
        <w:jc w:val="center"/>
        <w:divId w:val="700671810"/>
        <w:rPr>
          <w:rFonts w:eastAsia="Times New Roman"/>
        </w:rPr>
      </w:pPr>
      <w:r>
        <w:rPr>
          <w:rFonts w:eastAsia="Times New Roman"/>
          <w:b/>
          <w:bCs/>
          <w:color w:val="000000"/>
          <w:sz w:val="20"/>
          <w:szCs w:val="20"/>
        </w:rPr>
        <w:t>Notes to Consolidated Financial Statements (Unaudited), Continued</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6"/>
        <w:gridCol w:w="67"/>
        <w:gridCol w:w="2567"/>
        <w:gridCol w:w="37"/>
        <w:gridCol w:w="67"/>
        <w:gridCol w:w="2715"/>
        <w:gridCol w:w="37"/>
      </w:tblGrid>
      <w:tr w:rsidR="00000000">
        <w:trPr>
          <w:divId w:val="195892865"/>
        </w:trPr>
        <w:tc>
          <w:tcPr>
            <w:tcW w:w="50" w:type="pct"/>
            <w:vAlign w:val="center"/>
            <w:hideMark/>
          </w:tcPr>
          <w:p w:rsidR="00000000" w:rsidRDefault="00897B14">
            <w:pPr>
              <w:jc w:val="center"/>
              <w:rPr>
                <w:rFonts w:eastAsia="Times New Roman"/>
              </w:rPr>
            </w:pPr>
          </w:p>
        </w:tc>
        <w:tc>
          <w:tcPr>
            <w:tcW w:w="1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67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95892865"/>
        </w:trPr>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195892865"/>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4. Expanded footnote disclosures. The ASU requires additional disclosures including disaggregated roll-forwards of beginning to ending balances of the liability for future policy benefits, policyholder account balances, MRBs, separate account liabilities a</w:t>
            </w:r>
            <w:r>
              <w:rPr>
                <w:rFonts w:eastAsia="Times New Roman"/>
                <w:color w:val="000000"/>
                <w:sz w:val="18"/>
                <w:szCs w:val="18"/>
              </w:rPr>
              <w:t>nd deferred acquisition costs. Companies will also be required to disclose information about significant inputs, judgements, assumptions and methods used in measurement.</w:t>
            </w:r>
          </w:p>
        </w:tc>
        <w:tc>
          <w:tcPr>
            <w:tcW w:w="0" w:type="auto"/>
            <w:gridSpan w:val="3"/>
            <w:tcBorders>
              <w:top w:val="single" w:sz="4" w:space="0" w:color="000000"/>
              <w:left w:val="single" w:sz="4" w:space="0" w:color="000000"/>
              <w:bottom w:val="single" w:sz="4" w:space="0" w:color="000000"/>
            </w:tcBorders>
            <w:tcMar>
              <w:top w:w="0" w:type="dxa"/>
              <w:left w:w="20" w:type="dxa"/>
              <w:bottom w:w="0" w:type="dxa"/>
              <w:right w:w="20" w:type="dxa"/>
            </w:tcMar>
            <w:vAlign w:val="center"/>
            <w:hideMark/>
          </w:tcPr>
          <w:p w:rsidR="00000000" w:rsidRDefault="00897B14">
            <w:pPr>
              <w:spacing w:after="100"/>
              <w:jc w:val="both"/>
              <w:rPr>
                <w:rFonts w:eastAsia="Times New Roman"/>
              </w:rPr>
            </w:pP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95892865"/>
        </w:trPr>
        <w:tc>
          <w:tcPr>
            <w:tcW w:w="0" w:type="auto"/>
            <w:gridSpan w:val="9"/>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897B14">
            <w:pPr>
              <w:spacing w:after="100"/>
              <w:rPr>
                <w:rFonts w:eastAsia="Times New Roman"/>
              </w:rPr>
            </w:pPr>
            <w:r>
              <w:rPr>
                <w:rFonts w:eastAsia="Times New Roman"/>
                <w:i/>
                <w:iCs/>
                <w:color w:val="000000"/>
                <w:sz w:val="18"/>
                <w:szCs w:val="18"/>
              </w:rPr>
              <w:t>ASU2020-04: Reference Rate Reform (Topic 848): Facilitation of the Effects of Reference Rate Reform on Financial Reporting</w:t>
            </w:r>
          </w:p>
        </w:tc>
      </w:tr>
      <w:tr w:rsidR="00000000">
        <w:trPr>
          <w:divId w:val="195892865"/>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The amendments in this ASU provide optional expedients and exceptions to contracts, hedging relationships, and other transac</w:t>
            </w:r>
            <w:r>
              <w:rPr>
                <w:rFonts w:eastAsia="Times New Roman"/>
                <w:color w:val="000000"/>
                <w:sz w:val="18"/>
                <w:szCs w:val="18"/>
              </w:rPr>
              <w:t>tions affected by reference rate reform if certain criteria are met.  The amendments in this ASU apply only to contracts, hedging relationships, and other transactions that reference LIBOR or another reference rate expected to be discontinued because of re</w:t>
            </w:r>
            <w:r>
              <w:rPr>
                <w:rFonts w:eastAsia="Times New Roman"/>
                <w:color w:val="000000"/>
                <w:sz w:val="18"/>
                <w:szCs w:val="18"/>
              </w:rPr>
              <w:t>ference rate reform.</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This ASU is effective as of March 12, 2020 through December 31, 2022.</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18"/>
                <w:szCs w:val="18"/>
              </w:rPr>
              <w:t>The Company is currently assessing the applicability of the optional expedients and exceptions provided under the ASU. Management is evaluating the impact that t</w:t>
            </w:r>
            <w:r>
              <w:rPr>
                <w:rFonts w:eastAsia="Times New Roman"/>
                <w:color w:val="000000"/>
                <w:sz w:val="18"/>
                <w:szCs w:val="18"/>
              </w:rPr>
              <w:t>he adoption of this guidance will have on the Company’s consolidated financial statements.</w:t>
            </w:r>
          </w:p>
        </w:tc>
      </w:tr>
    </w:tbl>
    <w:p w:rsidR="00000000" w:rsidRDefault="00897B14">
      <w:pPr>
        <w:divId w:val="1670522611"/>
        <w:rPr>
          <w:rFonts w:eastAsia="Times New Roman"/>
        </w:rPr>
      </w:pPr>
      <w:r>
        <w:rPr>
          <w:rFonts w:eastAsia="Times New Roman"/>
          <w:color w:val="000000"/>
          <w:sz w:val="20"/>
          <w:szCs w:val="20"/>
          <w:u w:val="single"/>
        </w:rPr>
        <w:t>Investments</w:t>
      </w:r>
    </w:p>
    <w:p w:rsidR="00000000" w:rsidRDefault="00897B14">
      <w:pPr>
        <w:divId w:val="1053886944"/>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 and deferred income taxes. Changes in credit losses are recognized i</w:t>
      </w:r>
      <w:r>
        <w:rPr>
          <w:rFonts w:eastAsia="Times New Roman"/>
          <w:color w:val="000000"/>
          <w:sz w:val="20"/>
          <w:szCs w:val="20"/>
        </w:rPr>
        <w:t>n Investment gains (losses), net. The redeemable preferred stock investments that are reported in fixed maturities include REIT, perpetual preferred stock and redeemable preferred stock. These securities may not have a stated maturity, may not be cumulativ</w:t>
      </w:r>
      <w:r>
        <w:rPr>
          <w:rFonts w:eastAsia="Times New Roman"/>
          <w:color w:val="000000"/>
          <w:sz w:val="20"/>
          <w:szCs w:val="20"/>
        </w:rPr>
        <w:t>e and do not provide for mandatory redemption by the issuer.</w:t>
      </w:r>
      <w:r>
        <w:rPr>
          <w:rFonts w:eastAsia="Times New Roman"/>
          <w:color w:val="00FFFF"/>
          <w:sz w:val="20"/>
          <w:szCs w:val="20"/>
        </w:rPr>
        <w:t xml:space="preserve"> </w:t>
      </w:r>
      <w:r>
        <w:rPr>
          <w:rFonts w:eastAsia="Times New Roman"/>
          <w:color w:val="000000"/>
          <w:sz w:val="20"/>
          <w:szCs w:val="20"/>
        </w:rPr>
        <w:t>Effective January 1, 2021, the Company began classifying certain preferred stock as equity securities to better reflect the economics and nature of these securities. These preferred stock securit</w:t>
      </w:r>
      <w:r>
        <w:rPr>
          <w:rFonts w:eastAsia="Times New Roman"/>
          <w:color w:val="000000"/>
          <w:sz w:val="20"/>
          <w:szCs w:val="20"/>
        </w:rPr>
        <w:t>ies are reported in other equity investments.</w:t>
      </w:r>
    </w:p>
    <w:p w:rsidR="00000000" w:rsidRDefault="00897B14">
      <w:pPr>
        <w:divId w:val="1442187015"/>
        <w:rPr>
          <w:rFonts w:eastAsia="Times New Roman"/>
        </w:rPr>
      </w:pPr>
      <w:r>
        <w:rPr>
          <w:rFonts w:eastAsia="Times New Roman"/>
          <w:color w:val="000000"/>
          <w:sz w:val="20"/>
          <w:szCs w:val="20"/>
        </w:rPr>
        <w:t>The Company determines the fair values of fixed maturities and equity securities based upon quoted prices in active markets, when available, or through the use of alternative approaches when market quotes are n</w:t>
      </w:r>
      <w:r>
        <w:rPr>
          <w:rFonts w:eastAsia="Times New Roman"/>
          <w:color w:val="000000"/>
          <w:sz w:val="20"/>
          <w:szCs w:val="20"/>
        </w:rPr>
        <w:t xml:space="preserve">ot readily accessible or available. These alternative approaches include matrix or model pricing and use of independent pricing services, each supported by reference to principal market trades or other observable market assumptions for similar securities. </w:t>
      </w:r>
      <w:r>
        <w:rPr>
          <w:rFonts w:eastAsia="Times New Roman"/>
          <w:color w:val="000000"/>
          <w:sz w:val="20"/>
          <w:szCs w:val="20"/>
        </w:rPr>
        <w:t>More specifically, the matrix pricing approach to fair value is a discounted cash flow methodology that incorporates market interest rates commensurate with the credit quality and duration of the investment. The Company’s management, with the assistance of</w:t>
      </w:r>
      <w:r>
        <w:rPr>
          <w:rFonts w:eastAsia="Times New Roman"/>
          <w:color w:val="000000"/>
          <w:sz w:val="20"/>
          <w:szCs w:val="20"/>
        </w:rPr>
        <w:t xml:space="preserve"> its investment advisors, evaluates AFS debt securities that experienced a decline in fair value below amortized cost for credit losses which are evaluated in accordance with the new financial instruments credit losses guidance. Integral to this review is </w:t>
      </w:r>
      <w:r>
        <w:rPr>
          <w:rFonts w:eastAsia="Times New Roman"/>
          <w:color w:val="000000"/>
          <w:sz w:val="20"/>
          <w:szCs w:val="20"/>
        </w:rPr>
        <w:t>an assessment made each quarter, on a security-by-security basis, by the IUS Committee, of various indicators of credit deterioration to determine whether the investment security has experienced a credit loss. This assessment includes, but is not limited t</w:t>
      </w:r>
      <w:r>
        <w:rPr>
          <w:rFonts w:eastAsia="Times New Roman"/>
          <w:color w:val="000000"/>
          <w:sz w:val="20"/>
          <w:szCs w:val="20"/>
        </w:rPr>
        <w:t>o, consideration of the severity of the unrealized loss, failure, if any, of the issuer of the security to make scheduled payments, actions taken by rating agencies, adverse conditions specifically related to the security or sector, and the financial stren</w:t>
      </w:r>
      <w:r>
        <w:rPr>
          <w:rFonts w:eastAsia="Times New Roman"/>
          <w:color w:val="000000"/>
          <w:sz w:val="20"/>
          <w:szCs w:val="20"/>
        </w:rPr>
        <w:t>gth, liquidity and continued viability of the issuer.</w:t>
      </w:r>
    </w:p>
    <w:p w:rsidR="00000000" w:rsidRDefault="00897B14">
      <w:pPr>
        <w:divId w:val="387999776"/>
        <w:rPr>
          <w:rFonts w:eastAsia="Times New Roman"/>
        </w:rPr>
      </w:pPr>
      <w:r>
        <w:rPr>
          <w:rFonts w:eastAsia="Times New Roman"/>
          <w:color w:val="000000"/>
          <w:sz w:val="20"/>
          <w:szCs w:val="20"/>
        </w:rPr>
        <w:t>The Company recognizes an allowance for credit losses on AFS debt securities with a corresponding adjustment to earnings rather than a direct write down that reduces the cost basis of the investment, an</w:t>
      </w:r>
      <w:r>
        <w:rPr>
          <w:rFonts w:eastAsia="Times New Roman"/>
          <w:color w:val="000000"/>
          <w:sz w:val="20"/>
          <w:szCs w:val="20"/>
        </w:rPr>
        <w:t xml:space="preserve">d credit losses are limited to the amount by which the security’s amortized cost basis exceeds its fair value. Any improvements in estimated credit losses on AFS debt securities are recognized immediately in earnings. Management does not use the length of </w:t>
      </w:r>
      <w:r>
        <w:rPr>
          <w:rFonts w:eastAsia="Times New Roman"/>
          <w:color w:val="000000"/>
          <w:sz w:val="20"/>
          <w:szCs w:val="20"/>
        </w:rPr>
        <w:t xml:space="preserve">time a security has been in an unrealized loss position as a factor, either by itself or in combination with other factors, to conclude that a credit loss does not exist. </w:t>
      </w:r>
    </w:p>
    <w:p w:rsidR="00000000" w:rsidRDefault="00897B14">
      <w:pPr>
        <w:jc w:val="center"/>
        <w:divId w:val="835849081"/>
        <w:rPr>
          <w:rFonts w:eastAsia="Times New Roman"/>
        </w:rPr>
      </w:pPr>
      <w:r>
        <w:rPr>
          <w:rFonts w:eastAsia="Times New Roman"/>
          <w:color w:val="000000"/>
          <w:sz w:val="20"/>
          <w:szCs w:val="20"/>
        </w:rPr>
        <w:t>14</w:t>
      </w:r>
    </w:p>
    <w:p w:rsidR="00000000" w:rsidRDefault="00897B14">
      <w:pPr>
        <w:rPr>
          <w:rFonts w:eastAsia="Times New Roman"/>
        </w:rPr>
      </w:pPr>
      <w:r>
        <w:rPr>
          <w:rFonts w:eastAsia="Times New Roman"/>
        </w:rPr>
        <w:pict>
          <v:rect id="_x0000_i1040" style="width:0;height:1.5pt" o:hralign="center" o:hrstd="t" o:hr="t" fillcolor="#a0a0a0" stroked="f"/>
        </w:pict>
      </w:r>
    </w:p>
    <w:p w:rsidR="00000000" w:rsidRDefault="00897B14">
      <w:pPr>
        <w:divId w:val="1852990507"/>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1667322299"/>
        <w:rPr>
          <w:rFonts w:eastAsia="Times New Roman"/>
        </w:rPr>
      </w:pPr>
      <w:r>
        <w:rPr>
          <w:rFonts w:eastAsia="Times New Roman"/>
          <w:b/>
          <w:bCs/>
          <w:color w:val="000000"/>
          <w:sz w:val="20"/>
          <w:szCs w:val="20"/>
        </w:rPr>
        <w:t>EQUITABLE HOLDINGS, INC.</w:t>
      </w:r>
    </w:p>
    <w:p w:rsidR="00000000" w:rsidRDefault="00897B14">
      <w:pPr>
        <w:jc w:val="center"/>
        <w:divId w:val="1667322299"/>
        <w:rPr>
          <w:rFonts w:eastAsia="Times New Roman"/>
        </w:rPr>
      </w:pPr>
      <w:r>
        <w:rPr>
          <w:rFonts w:eastAsia="Times New Roman"/>
          <w:b/>
          <w:bCs/>
          <w:color w:val="000000"/>
          <w:sz w:val="20"/>
          <w:szCs w:val="20"/>
        </w:rPr>
        <w:t>Notes to Consolidated Financial Statements (Unaudited), Continued</w:t>
      </w:r>
    </w:p>
    <w:p w:rsidR="00000000" w:rsidRDefault="00897B14">
      <w:pPr>
        <w:divId w:val="426851547"/>
        <w:rPr>
          <w:rFonts w:eastAsia="Times New Roman"/>
        </w:rPr>
      </w:pPr>
      <w:r>
        <w:rPr>
          <w:rFonts w:eastAsia="Times New Roman"/>
          <w:color w:val="000000"/>
          <w:sz w:val="20"/>
          <w:szCs w:val="20"/>
        </w:rPr>
        <w:t xml:space="preserve">When the Company determines that there is more than </w:t>
      </w:r>
      <w:r>
        <w:rPr>
          <w:rFonts w:eastAsia="Times New Roman"/>
          <w:color w:val="000000"/>
          <w:sz w:val="20"/>
          <w:szCs w:val="20"/>
        </w:rPr>
        <w:t>50% likelihood that it is not going to recover the principal and interest cash flows related to an AFS debt security, the security is placed on nonaccrual status and the Company reverses accrued interest receivable against interest income. Since the nonacc</w:t>
      </w:r>
      <w:r>
        <w:rPr>
          <w:rFonts w:eastAsia="Times New Roman"/>
          <w:color w:val="000000"/>
          <w:sz w:val="20"/>
          <w:szCs w:val="20"/>
        </w:rPr>
        <w:t>rual policy results in a timely reversal of accrued interest receivable, the Company does not record an allowance for credit losses on accrued interest receivable.</w:t>
      </w:r>
    </w:p>
    <w:p w:rsidR="00000000" w:rsidRDefault="00897B14">
      <w:pPr>
        <w:divId w:val="904678180"/>
        <w:rPr>
          <w:rFonts w:eastAsia="Times New Roman"/>
        </w:rPr>
      </w:pPr>
    </w:p>
    <w:p w:rsidR="00000000" w:rsidRDefault="00897B14">
      <w:pPr>
        <w:divId w:val="1102072042"/>
        <w:rPr>
          <w:rFonts w:eastAsia="Times New Roman"/>
        </w:rPr>
      </w:pPr>
      <w:r>
        <w:rPr>
          <w:rFonts w:eastAsia="Times New Roman"/>
          <w:color w:val="000000"/>
          <w:sz w:val="20"/>
          <w:szCs w:val="20"/>
        </w:rPr>
        <w:t>If there is no intent to sell or likely requirement to dispose of the fixed maturity secur</w:t>
      </w:r>
      <w:r>
        <w:rPr>
          <w:rFonts w:eastAsia="Times New Roman"/>
          <w:color w:val="000000"/>
          <w:sz w:val="20"/>
          <w:szCs w:val="20"/>
        </w:rPr>
        <w:t>ity before its recovery, only the credit loss component of any resulting allowance is recognized in income (loss) and the remainder of the fair value loss is recognized in OCI. The amount of credit loss is the shortfall of the present value of the cash flo</w:t>
      </w:r>
      <w:r>
        <w:rPr>
          <w:rFonts w:eastAsia="Times New Roman"/>
          <w:color w:val="000000"/>
          <w:sz w:val="20"/>
          <w:szCs w:val="20"/>
        </w:rPr>
        <w:t>ws expected to be collected as compared to the amortized cost basis of the security. The present value is calculated by discounting management’s best estimate of projected future cash flows at the effective interest rate implicit in the debt security at th</w:t>
      </w:r>
      <w:r>
        <w:rPr>
          <w:rFonts w:eastAsia="Times New Roman"/>
          <w:color w:val="000000"/>
          <w:sz w:val="20"/>
          <w:szCs w:val="20"/>
        </w:rPr>
        <w:t>e date of acquisition. Projections of future cash flows are based on assumptions regarding probability of default and estimates regarding the amount and timing of recoveries. These assumptions and estimates require use of management judgment and consider i</w:t>
      </w:r>
      <w:r>
        <w:rPr>
          <w:rFonts w:eastAsia="Times New Roman"/>
          <w:color w:val="000000"/>
          <w:sz w:val="20"/>
          <w:szCs w:val="20"/>
        </w:rPr>
        <w:t>nternal credit analyses as well as market observable data relevant to the collectability of the security. For mortgage and asset-backed securities, projected future cash flows also include assumptions regarding prepayments and underlying collateral value.</w:t>
      </w:r>
    </w:p>
    <w:p w:rsidR="00000000" w:rsidRDefault="00897B14">
      <w:pPr>
        <w:divId w:val="1657800272"/>
        <w:rPr>
          <w:rFonts w:eastAsia="Times New Roman"/>
        </w:rPr>
      </w:pPr>
      <w:r>
        <w:rPr>
          <w:rFonts w:eastAsia="Times New Roman"/>
          <w:color w:val="000000"/>
          <w:sz w:val="20"/>
          <w:szCs w:val="20"/>
        </w:rPr>
        <w:t>Write-offs of AFS debt securities are recorded when all or a portion of a financial asset is deemed uncollectible. Full or partial write-offs are recorded as reductions to the amortized cost basis of the AFS debt security and deducted from the allowance in</w:t>
      </w:r>
      <w:r>
        <w:rPr>
          <w:rFonts w:eastAsia="Times New Roman"/>
          <w:color w:val="000000"/>
          <w:sz w:val="20"/>
          <w:szCs w:val="20"/>
        </w:rPr>
        <w:t xml:space="preserve"> the period in which the financial assets are deemed uncollectible. The Company elected to reverse accrued interest deemed uncollectible as a reversal of interest income. In instances where the Company collects cash that it has previously written off, the </w:t>
      </w:r>
      <w:r>
        <w:rPr>
          <w:rFonts w:eastAsia="Times New Roman"/>
          <w:color w:val="000000"/>
          <w:sz w:val="20"/>
          <w:szCs w:val="20"/>
        </w:rPr>
        <w:t xml:space="preserve">recovery will be recognized through earnings or as a reduction of the amortized cost basis for interest and principal, respectively. </w:t>
      </w:r>
    </w:p>
    <w:p w:rsidR="00000000" w:rsidRDefault="00897B14">
      <w:pPr>
        <w:divId w:val="585842493"/>
        <w:rPr>
          <w:rFonts w:eastAsia="Times New Roman"/>
        </w:rPr>
      </w:pPr>
      <w:r>
        <w:rPr>
          <w:rFonts w:eastAsia="Times New Roman"/>
          <w:color w:val="000000"/>
          <w:sz w:val="20"/>
          <w:szCs w:val="20"/>
        </w:rPr>
        <w:t xml:space="preserve">COLI has been purchased by the Company and certain subsidiaries on the lives of certain key employees and the Company and </w:t>
      </w:r>
      <w:r>
        <w:rPr>
          <w:rFonts w:eastAsia="Times New Roman"/>
          <w:color w:val="000000"/>
          <w:sz w:val="20"/>
          <w:szCs w:val="20"/>
        </w:rPr>
        <w:t>these subsidiaries are named as beneficiaries under these policies. COLI is carried at the cash surrender value of the policies. As of June 30, 2021 and December 31, 2020, the carrying value of COLI was $999 million and $992 million, respectively, and is r</w:t>
      </w:r>
      <w:r>
        <w:rPr>
          <w:rFonts w:eastAsia="Times New Roman"/>
          <w:color w:val="000000"/>
          <w:sz w:val="20"/>
          <w:szCs w:val="20"/>
        </w:rPr>
        <w:t>eported in Other invested assets in the consolidated balance sheets.</w:t>
      </w:r>
    </w:p>
    <w:p w:rsidR="00000000" w:rsidRDefault="00897B14">
      <w:pPr>
        <w:divId w:val="563687831"/>
        <w:rPr>
          <w:rFonts w:eastAsia="Times New Roman"/>
        </w:rPr>
      </w:pPr>
      <w:r>
        <w:rPr>
          <w:rFonts w:eastAsia="Times New Roman"/>
          <w:color w:val="000000"/>
          <w:sz w:val="20"/>
          <w:szCs w:val="20"/>
          <w:u w:val="single"/>
        </w:rPr>
        <w:t>Derivatives</w:t>
      </w:r>
    </w:p>
    <w:p w:rsidR="00000000" w:rsidRDefault="00897B14">
      <w:pPr>
        <w:divId w:val="385225326"/>
        <w:rPr>
          <w:rFonts w:eastAsia="Times New Roman"/>
        </w:rPr>
      </w:pPr>
      <w:r>
        <w:rPr>
          <w:rFonts w:eastAsia="Times New Roman"/>
          <w:color w:val="000000"/>
          <w:sz w:val="20"/>
          <w:szCs w:val="20"/>
        </w:rPr>
        <w:t>Derivatives are financial instruments whose values are derived from interest rates, foreign exchange rates, financial indices, values of securities or commodities, credit spre</w:t>
      </w:r>
      <w:r>
        <w:rPr>
          <w:rFonts w:eastAsia="Times New Roman"/>
          <w:color w:val="000000"/>
          <w:sz w:val="20"/>
          <w:szCs w:val="20"/>
        </w:rPr>
        <w:t>ads, market volatility, expected returns and liquidity. Values can also be affected by changes in estimates and assumptions, including those related to counterparty behavior and non-performance risk used in valuation models. Derivative financial instrument</w:t>
      </w:r>
      <w:r>
        <w:rPr>
          <w:rFonts w:eastAsia="Times New Roman"/>
          <w:color w:val="000000"/>
          <w:sz w:val="20"/>
          <w:szCs w:val="20"/>
        </w:rPr>
        <w:t xml:space="preserve">s generally used by the Company include equity, currency, and interest rate futures, total return and/or other equity swaps, interest rate swaps and floors, swaptions, variance swaps and equity options, all of which may be exchange-traded or contracted in </w:t>
      </w:r>
      <w:r>
        <w:rPr>
          <w:rFonts w:eastAsia="Times New Roman"/>
          <w:color w:val="000000"/>
          <w:sz w:val="20"/>
          <w:szCs w:val="20"/>
        </w:rPr>
        <w:t xml:space="preserve">the OTC market. All derivative positions are carried in the consolidated balance sheets at fair value, generally by obtaining quoted market prices or through the use of valuation models. </w:t>
      </w:r>
    </w:p>
    <w:p w:rsidR="00000000" w:rsidRDefault="00897B14">
      <w:pPr>
        <w:divId w:val="374551459"/>
        <w:rPr>
          <w:rFonts w:eastAsia="Times New Roman"/>
        </w:rPr>
      </w:pPr>
      <w:r>
        <w:rPr>
          <w:rFonts w:eastAsia="Times New Roman"/>
          <w:color w:val="000000"/>
          <w:sz w:val="20"/>
          <w:szCs w:val="20"/>
        </w:rPr>
        <w:t>Freestanding derivative contracts are reported in the consolidated b</w:t>
      </w:r>
      <w:r>
        <w:rPr>
          <w:rFonts w:eastAsia="Times New Roman"/>
          <w:color w:val="000000"/>
          <w:sz w:val="20"/>
          <w:szCs w:val="20"/>
        </w:rPr>
        <w:t xml:space="preserve">alance sheets either as assets within “other invested assets” or as liabilities within “other liabilities”. The Company nets the fair value of all derivative financial instruments with counterparties for which an ISDA Master Agreement and related CSA have </w:t>
      </w:r>
      <w:r>
        <w:rPr>
          <w:rFonts w:eastAsia="Times New Roman"/>
          <w:color w:val="000000"/>
          <w:sz w:val="20"/>
          <w:szCs w:val="20"/>
        </w:rPr>
        <w:t>been executed. All changes in the fair value of the Company’s freestanding derivative positions not designated to hedge accounting relationships, including net receipts and payments, are included in “net derivative gains (losses)” without considering chang</w:t>
      </w:r>
      <w:r>
        <w:rPr>
          <w:rFonts w:eastAsia="Times New Roman"/>
          <w:color w:val="000000"/>
          <w:sz w:val="20"/>
          <w:szCs w:val="20"/>
        </w:rPr>
        <w:t>es in the fair value of the economically associated assets or liabilities.</w:t>
      </w:r>
    </w:p>
    <w:p w:rsidR="00000000" w:rsidRDefault="00897B14">
      <w:pPr>
        <w:divId w:val="434325651"/>
        <w:rPr>
          <w:rFonts w:eastAsia="Times New Roman"/>
        </w:rPr>
      </w:pPr>
      <w:r>
        <w:rPr>
          <w:rFonts w:eastAsia="Times New Roman"/>
          <w:color w:val="000000"/>
          <w:sz w:val="20"/>
          <w:szCs w:val="20"/>
        </w:rPr>
        <w:t>The Company has designated certain derivatives it uses to economically manage asset/liability risk in relationships which qualify for hedge accounting. To qualify for hedge accounti</w:t>
      </w:r>
      <w:r>
        <w:rPr>
          <w:rFonts w:eastAsia="Times New Roman"/>
          <w:color w:val="000000"/>
          <w:sz w:val="20"/>
          <w:szCs w:val="20"/>
        </w:rPr>
        <w:t xml:space="preserve">ng, we formally document our designation at inception of the hedge relationship as a cash flow, fair value or net investment hedge. This documentation includes our risk management objective and strategy for undertaking the hedging transaction. The Company </w:t>
      </w:r>
      <w:r>
        <w:rPr>
          <w:rFonts w:eastAsia="Times New Roman"/>
          <w:color w:val="000000"/>
          <w:sz w:val="20"/>
          <w:szCs w:val="20"/>
        </w:rPr>
        <w:t>identifies how the hedging instrument is expected to offset the designated risks related to the hedged item and the method that will be used to retrospectively and prospectively assess the hedge effectiveness. To qualify for hedge accounting, a hedging ins</w:t>
      </w:r>
      <w:r>
        <w:rPr>
          <w:rFonts w:eastAsia="Times New Roman"/>
          <w:color w:val="000000"/>
          <w:sz w:val="20"/>
          <w:szCs w:val="20"/>
        </w:rPr>
        <w:t>trument must be assessed as being highly effective in offsetting the designated risk of the hedged item. Hedge effectiveness is formally assessed and documented at inception and periodically throughout the life of the hedge accounting relationship.</w:t>
      </w:r>
    </w:p>
    <w:p w:rsidR="00000000" w:rsidRDefault="00897B14">
      <w:pPr>
        <w:divId w:val="1074814069"/>
        <w:rPr>
          <w:rFonts w:eastAsia="Times New Roman"/>
        </w:rPr>
      </w:pPr>
      <w:r>
        <w:rPr>
          <w:rFonts w:eastAsia="Times New Roman"/>
          <w:color w:val="000000"/>
          <w:sz w:val="20"/>
          <w:szCs w:val="20"/>
        </w:rPr>
        <w:t>The Com</w:t>
      </w:r>
      <w:r>
        <w:rPr>
          <w:rFonts w:eastAsia="Times New Roman"/>
          <w:color w:val="000000"/>
          <w:sz w:val="20"/>
          <w:szCs w:val="20"/>
        </w:rPr>
        <w:t>pany does not exclude any components of the hedging instrument from the effectiveness assessments and therefor does not separately measure or account for any excluded components of the hedging instrument.</w:t>
      </w:r>
    </w:p>
    <w:p w:rsidR="00000000" w:rsidRDefault="00897B14">
      <w:pPr>
        <w:divId w:val="433987232"/>
        <w:rPr>
          <w:rFonts w:eastAsia="Times New Roman"/>
        </w:rPr>
      </w:pPr>
      <w:r>
        <w:rPr>
          <w:rFonts w:eastAsia="Times New Roman"/>
          <w:color w:val="000000"/>
          <w:sz w:val="20"/>
          <w:szCs w:val="20"/>
        </w:rPr>
        <w:t xml:space="preserve">While in cash flow hedge relationships, any periodic net receipts and payments from the hedging instrument are included in the income or expense line that the hedged item’s periodic income or expense is recognized. Other changes </w:t>
      </w:r>
    </w:p>
    <w:p w:rsidR="00000000" w:rsidRDefault="00897B14">
      <w:pPr>
        <w:jc w:val="center"/>
        <w:divId w:val="1808429608"/>
        <w:rPr>
          <w:rFonts w:eastAsia="Times New Roman"/>
        </w:rPr>
      </w:pPr>
      <w:r>
        <w:rPr>
          <w:rFonts w:eastAsia="Times New Roman"/>
          <w:color w:val="000000"/>
          <w:sz w:val="20"/>
          <w:szCs w:val="20"/>
        </w:rPr>
        <w:t>15</w:t>
      </w:r>
    </w:p>
    <w:p w:rsidR="00000000" w:rsidRDefault="00897B14">
      <w:pPr>
        <w:rPr>
          <w:rFonts w:eastAsia="Times New Roman"/>
        </w:rPr>
      </w:pPr>
      <w:r>
        <w:rPr>
          <w:rFonts w:eastAsia="Times New Roman"/>
        </w:rPr>
        <w:pict>
          <v:rect id="_x0000_i1041" style="width:0;height:1.5pt" o:hralign="center" o:hrstd="t" o:hr="t" fillcolor="#a0a0a0" stroked="f"/>
        </w:pict>
      </w:r>
    </w:p>
    <w:p w:rsidR="00000000" w:rsidRDefault="00897B14">
      <w:pPr>
        <w:divId w:val="1722290289"/>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953903751"/>
        <w:rPr>
          <w:rFonts w:eastAsia="Times New Roman"/>
        </w:rPr>
      </w:pPr>
      <w:r>
        <w:rPr>
          <w:rFonts w:eastAsia="Times New Roman"/>
          <w:b/>
          <w:bCs/>
          <w:color w:val="000000"/>
          <w:sz w:val="20"/>
          <w:szCs w:val="20"/>
        </w:rPr>
        <w:t>EQUITABLE HOLDINGS, INC.</w:t>
      </w:r>
    </w:p>
    <w:p w:rsidR="00000000" w:rsidRDefault="00897B14">
      <w:pPr>
        <w:jc w:val="center"/>
        <w:divId w:val="953903751"/>
        <w:rPr>
          <w:rFonts w:eastAsia="Times New Roman"/>
        </w:rPr>
      </w:pPr>
      <w:r>
        <w:rPr>
          <w:rFonts w:eastAsia="Times New Roman"/>
          <w:b/>
          <w:bCs/>
          <w:color w:val="000000"/>
          <w:sz w:val="20"/>
          <w:szCs w:val="20"/>
        </w:rPr>
        <w:t>Notes to Consolidated Financial Statements (Unaudited), Continued</w:t>
      </w:r>
    </w:p>
    <w:p w:rsidR="00000000" w:rsidRDefault="00897B14">
      <w:pPr>
        <w:divId w:val="1946420088"/>
        <w:rPr>
          <w:rFonts w:eastAsia="Times New Roman"/>
        </w:rPr>
      </w:pPr>
      <w:r>
        <w:rPr>
          <w:rFonts w:eastAsia="Times New Roman"/>
          <w:color w:val="000000"/>
          <w:sz w:val="20"/>
          <w:szCs w:val="20"/>
        </w:rPr>
        <w:t>in the fair value of the hedging instrument while in a cash flow hedging r</w:t>
      </w:r>
      <w:r>
        <w:rPr>
          <w:rFonts w:eastAsia="Times New Roman"/>
          <w:color w:val="000000"/>
          <w:sz w:val="20"/>
          <w:szCs w:val="20"/>
        </w:rPr>
        <w:t>elationship are reported within OCI. These amounts are deferred in AOCI until they are reclassified to Net income (loss). The reclassified amount offsets the effect of the cash flows on Net income (loss) in the same period when the hedged item affects earn</w:t>
      </w:r>
      <w:r>
        <w:rPr>
          <w:rFonts w:eastAsia="Times New Roman"/>
          <w:color w:val="000000"/>
          <w:sz w:val="20"/>
          <w:szCs w:val="20"/>
        </w:rPr>
        <w:t>ings and on the same line as the hedged item.</w:t>
      </w:r>
    </w:p>
    <w:p w:rsidR="00000000" w:rsidRDefault="00897B14">
      <w:pPr>
        <w:divId w:val="695227749"/>
        <w:rPr>
          <w:rFonts w:eastAsia="Times New Roman"/>
        </w:rPr>
      </w:pPr>
      <w:r>
        <w:rPr>
          <w:rFonts w:eastAsia="Times New Roman"/>
          <w:color w:val="000000"/>
          <w:sz w:val="20"/>
          <w:szCs w:val="20"/>
        </w:rPr>
        <w:t>We discontinue cash flow hedge accounting prospectively when the Company determines: (1) the hedging instrument is no longer highly effective in offsetting changes in the cash flow from the hedged risk, (2) the</w:t>
      </w:r>
      <w:r>
        <w:rPr>
          <w:rFonts w:eastAsia="Times New Roman"/>
          <w:color w:val="000000"/>
          <w:sz w:val="20"/>
          <w:szCs w:val="20"/>
        </w:rPr>
        <w:t xml:space="preserve"> hedged item is no longer probable of occurring within two months of their forecast, or (3) the hedging instrument is otherwise redesignated from the hedging relationship. Changes in the fair value of the derivative after discontinuation of cash flow hedge</w:t>
      </w:r>
      <w:r>
        <w:rPr>
          <w:rFonts w:eastAsia="Times New Roman"/>
          <w:color w:val="000000"/>
          <w:sz w:val="20"/>
          <w:szCs w:val="20"/>
        </w:rPr>
        <w:t xml:space="preserve"> accounting are accounted for as freestanding derivative positions not designated to hedge accounting relationships unless and until the derivative is redesignated to a hedge accounting relationship. When cash flow hedge accounting is discontinued the amou</w:t>
      </w:r>
      <w:r>
        <w:rPr>
          <w:rFonts w:eastAsia="Times New Roman"/>
          <w:color w:val="000000"/>
          <w:sz w:val="20"/>
          <w:szCs w:val="20"/>
        </w:rPr>
        <w:t>nts deferred in AOCI during the hedge relationship continue to be deferred in AOCI, as long as the hedged items continue to be probable of occurring within two months of their forecast, until the hedged item affects Net income (loss). Any amount deferred i</w:t>
      </w:r>
      <w:r>
        <w:rPr>
          <w:rFonts w:eastAsia="Times New Roman"/>
          <w:color w:val="000000"/>
          <w:sz w:val="20"/>
          <w:szCs w:val="20"/>
        </w:rPr>
        <w:t>n AOCI for hedged items which are no longer probable of occurring within two months of their forecast will be reclassified to “net derivative gains (losses)” at that time.</w:t>
      </w:r>
    </w:p>
    <w:p w:rsidR="00000000" w:rsidRDefault="00897B14">
      <w:pPr>
        <w:divId w:val="638268133"/>
        <w:rPr>
          <w:rFonts w:eastAsia="Times New Roman"/>
        </w:rPr>
      </w:pPr>
      <w:r>
        <w:rPr>
          <w:rFonts w:eastAsia="Times New Roman"/>
          <w:color w:val="000000"/>
          <w:sz w:val="20"/>
          <w:szCs w:val="20"/>
        </w:rPr>
        <w:t>The Company is a party to financial instruments and other contracts that contain “em</w:t>
      </w:r>
      <w:r>
        <w:rPr>
          <w:rFonts w:eastAsia="Times New Roman"/>
          <w:color w:val="000000"/>
          <w:sz w:val="20"/>
          <w:szCs w:val="20"/>
        </w:rPr>
        <w:t>bedded” derivative instruments. At inception, the Company assesses whether the economic characteristics of the embedded instrument are “clearly and closely related” to the economic characteristics of the remaining component of the “host contract” and wheth</w:t>
      </w:r>
      <w:r>
        <w:rPr>
          <w:rFonts w:eastAsia="Times New Roman"/>
          <w:color w:val="000000"/>
          <w:sz w:val="20"/>
          <w:szCs w:val="20"/>
        </w:rPr>
        <w:t>er a separate instrument with the same terms as the embedded instrument would meet the definition of a derivative instrument. Once those criteria are assessed, if necessary, the resulting embedded derivative is bifurcated from the host contract, carried in</w:t>
      </w:r>
      <w:r>
        <w:rPr>
          <w:rFonts w:eastAsia="Times New Roman"/>
          <w:color w:val="000000"/>
          <w:sz w:val="20"/>
          <w:szCs w:val="20"/>
        </w:rPr>
        <w:t xml:space="preserve"> the consolidated balance sheets at fair value, and changes in its fair value are recognized immediately and captioned in the consolidated statements of income (loss) according to the nature of the related host contract. For certain financial instruments t</w:t>
      </w:r>
      <w:r>
        <w:rPr>
          <w:rFonts w:eastAsia="Times New Roman"/>
          <w:color w:val="000000"/>
          <w:sz w:val="20"/>
          <w:szCs w:val="20"/>
        </w:rPr>
        <w:t>hat contain an embedded derivative that otherwise would need to be bifurcated and reported at fair value, the Company instead may elect to carry the entire instrument at fair value.</w:t>
      </w:r>
    </w:p>
    <w:p w:rsidR="00000000" w:rsidRDefault="00897B14">
      <w:pPr>
        <w:divId w:val="447044933"/>
        <w:rPr>
          <w:rFonts w:eastAsia="Times New Roman"/>
        </w:rPr>
      </w:pPr>
      <w:r>
        <w:rPr>
          <w:rFonts w:eastAsia="Times New Roman"/>
          <w:color w:val="000000"/>
          <w:sz w:val="20"/>
          <w:szCs w:val="20"/>
          <w:u w:val="single"/>
        </w:rPr>
        <w:t>Reinsurance</w:t>
      </w:r>
    </w:p>
    <w:p w:rsidR="00000000" w:rsidRDefault="00897B14">
      <w:pPr>
        <w:divId w:val="1097217290"/>
        <w:rPr>
          <w:rFonts w:eastAsia="Times New Roman"/>
        </w:rPr>
      </w:pPr>
      <w:r>
        <w:rPr>
          <w:rFonts w:eastAsia="Times New Roman"/>
          <w:color w:val="000000"/>
          <w:sz w:val="20"/>
          <w:szCs w:val="20"/>
        </w:rPr>
        <w:t>For each of its reinsurance agreements, the Company determines</w:t>
      </w:r>
      <w:r>
        <w:rPr>
          <w:rFonts w:eastAsia="Times New Roman"/>
          <w:color w:val="000000"/>
          <w:sz w:val="20"/>
          <w:szCs w:val="20"/>
        </w:rPr>
        <w:t xml:space="preserve"> whether the agreement provides indemnification against loss or liability relating to insurance risk in accordance with applicable accounting standards. Cessions under reinsurance agreements do not discharge the Company’s obligations as the primary insurer</w:t>
      </w:r>
      <w:r>
        <w:rPr>
          <w:rFonts w:eastAsia="Times New Roman"/>
          <w:color w:val="000000"/>
          <w:sz w:val="20"/>
          <w:szCs w:val="20"/>
        </w:rPr>
        <w:t>. The Company reviews all contractual features, including those that may limit the amount of insurance risk to which the reinsurer is subject or features that delay the timely reimbursement of claims.</w:t>
      </w:r>
    </w:p>
    <w:p w:rsidR="00000000" w:rsidRDefault="00897B14">
      <w:pPr>
        <w:divId w:val="1780023754"/>
        <w:rPr>
          <w:rFonts w:eastAsia="Times New Roman"/>
        </w:rPr>
      </w:pPr>
      <w:r>
        <w:rPr>
          <w:rFonts w:eastAsia="Times New Roman"/>
          <w:color w:val="000000"/>
          <w:sz w:val="20"/>
          <w:szCs w:val="20"/>
        </w:rPr>
        <w:t>For reinsurance of existing in-force blocks of long-dur</w:t>
      </w:r>
      <w:r>
        <w:rPr>
          <w:rFonts w:eastAsia="Times New Roman"/>
          <w:color w:val="000000"/>
          <w:sz w:val="20"/>
          <w:szCs w:val="20"/>
        </w:rPr>
        <w:t>ation contracts that transfer significant insurance risk, the difference, if any, between the amounts paid (received), and the liabilities ceded (assumed) related to the underlying contracts is considered the net cost of reinsurance at the inception of the</w:t>
      </w:r>
      <w:r>
        <w:rPr>
          <w:rFonts w:eastAsia="Times New Roman"/>
          <w:color w:val="000000"/>
          <w:sz w:val="20"/>
          <w:szCs w:val="20"/>
        </w:rPr>
        <w:t xml:space="preserve"> reinsurance agreement. The net cost of reinsurance is recorded as an adjustment and recognized as a component of other expenses on a basis consistent with the expected life of the underlying reinsured contracts. Subsequent amounts paid (received) on the r</w:t>
      </w:r>
      <w:r>
        <w:rPr>
          <w:rFonts w:eastAsia="Times New Roman"/>
          <w:color w:val="000000"/>
          <w:sz w:val="20"/>
          <w:szCs w:val="20"/>
        </w:rPr>
        <w:t>einsurance of in-force blocks, as well as amounts paid (received) related to new business, are recorded as premiums ceded (assumed); and amounts due from reinsurers (amounts due to reinsurers) are established.</w:t>
      </w:r>
    </w:p>
    <w:p w:rsidR="00000000" w:rsidRDefault="00897B14">
      <w:pPr>
        <w:divId w:val="545416215"/>
        <w:rPr>
          <w:rFonts w:eastAsia="Times New Roman"/>
        </w:rPr>
      </w:pPr>
      <w:r>
        <w:rPr>
          <w:rFonts w:eastAsia="Times New Roman"/>
          <w:color w:val="000000"/>
          <w:sz w:val="20"/>
          <w:szCs w:val="20"/>
        </w:rPr>
        <w:t>Assets and liabilities relating to reinsurance agreements with the same reinsurer may be recorded net on the balance sheet, if a right of offset exists within the reinsurance agreement. In the event that reinsurers do not meet their obligations to the Comp</w:t>
      </w:r>
      <w:r>
        <w:rPr>
          <w:rFonts w:eastAsia="Times New Roman"/>
          <w:color w:val="000000"/>
          <w:sz w:val="20"/>
          <w:szCs w:val="20"/>
        </w:rPr>
        <w:t xml:space="preserve">any under the terms of the reinsurance agreements, reinsurance recoverable balances could become uncollectible. In such instances, reinsurance recoverable balances are stated net of allowances for uncollectible reinsurance. </w:t>
      </w:r>
    </w:p>
    <w:p w:rsidR="00000000" w:rsidRDefault="00897B14">
      <w:pPr>
        <w:divId w:val="1986163187"/>
        <w:rPr>
          <w:rFonts w:eastAsia="Times New Roman"/>
        </w:rPr>
      </w:pPr>
      <w:r>
        <w:rPr>
          <w:rFonts w:eastAsia="Times New Roman"/>
          <w:color w:val="000000"/>
          <w:sz w:val="20"/>
          <w:szCs w:val="20"/>
        </w:rPr>
        <w:t>Premiums, policy charges and fe</w:t>
      </w:r>
      <w:r>
        <w:rPr>
          <w:rFonts w:eastAsia="Times New Roman"/>
          <w:color w:val="000000"/>
          <w:sz w:val="20"/>
          <w:szCs w:val="20"/>
        </w:rPr>
        <w:t xml:space="preserve">e income, and policyholders’ benefits include amounts assumed under reinsurance agreements and are net of reinsurance ceded. Amounts received from reinsurers for policy administration are reported in other revenues. With respect to GMIBs, a portion of the </w:t>
      </w:r>
      <w:r>
        <w:rPr>
          <w:rFonts w:eastAsia="Times New Roman"/>
          <w:color w:val="000000"/>
          <w:sz w:val="20"/>
          <w:szCs w:val="20"/>
        </w:rPr>
        <w:t>directly written GMIBs are accounted for as insurance liabilities, but the associated reinsurance agreements contain embedded derivatives as they are net settled. These embedded derivatives are included in GMIB reinsurance contract asset, at fair value wit</w:t>
      </w:r>
      <w:r>
        <w:rPr>
          <w:rFonts w:eastAsia="Times New Roman"/>
          <w:color w:val="000000"/>
          <w:sz w:val="20"/>
          <w:szCs w:val="20"/>
        </w:rPr>
        <w:t xml:space="preserve">h changes in estimated fair value reported in net derivative gains (losses). Separate Account liabilities that have been ceded on a Modified coinsurance (Modco) basis, receivable and payable have been recognized on a net basis as right of set off exists. </w:t>
      </w:r>
    </w:p>
    <w:p w:rsidR="00000000" w:rsidRDefault="00897B14">
      <w:pPr>
        <w:divId w:val="368840164"/>
        <w:rPr>
          <w:rFonts w:eastAsia="Times New Roman"/>
        </w:rPr>
      </w:pPr>
      <w:r>
        <w:rPr>
          <w:rFonts w:eastAsia="Times New Roman"/>
          <w:color w:val="000000"/>
          <w:sz w:val="20"/>
          <w:szCs w:val="20"/>
        </w:rPr>
        <w:t>If the Company determines that a reinsurance agreement does not expose the reinsurer to a reasonable possibility of a significant loss from insurance risk, the Company records the agreement using the deposit method of accounting. Deposits received are incl</w:t>
      </w:r>
      <w:r>
        <w:rPr>
          <w:rFonts w:eastAsia="Times New Roman"/>
          <w:color w:val="000000"/>
          <w:sz w:val="20"/>
          <w:szCs w:val="20"/>
        </w:rPr>
        <w:t xml:space="preserve">uded in other liabilities and deposits made are included within other assets. As amounts are paid or received, consistent with the underlying contracts, the deposit assets or liabilities are adjusted. Interest on such </w:t>
      </w:r>
    </w:p>
    <w:p w:rsidR="00000000" w:rsidRDefault="00897B14">
      <w:pPr>
        <w:jc w:val="center"/>
        <w:divId w:val="1767269162"/>
        <w:rPr>
          <w:rFonts w:eastAsia="Times New Roman"/>
        </w:rPr>
      </w:pPr>
      <w:r>
        <w:rPr>
          <w:rFonts w:eastAsia="Times New Roman"/>
          <w:color w:val="000000"/>
          <w:sz w:val="20"/>
          <w:szCs w:val="20"/>
        </w:rPr>
        <w:t>16</w:t>
      </w:r>
    </w:p>
    <w:p w:rsidR="00000000" w:rsidRDefault="00897B14">
      <w:pPr>
        <w:rPr>
          <w:rFonts w:eastAsia="Times New Roman"/>
        </w:rPr>
      </w:pPr>
      <w:r>
        <w:rPr>
          <w:rFonts w:eastAsia="Times New Roman"/>
        </w:rPr>
        <w:pict>
          <v:rect id="_x0000_i1042" style="width:0;height:1.5pt" o:hralign="center" o:hrstd="t" o:hr="t" fillcolor="#a0a0a0" stroked="f"/>
        </w:pict>
      </w:r>
    </w:p>
    <w:p w:rsidR="00000000" w:rsidRDefault="00897B14">
      <w:pPr>
        <w:divId w:val="2012372735"/>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296109650"/>
        <w:rPr>
          <w:rFonts w:eastAsia="Times New Roman"/>
        </w:rPr>
      </w:pPr>
      <w:r>
        <w:rPr>
          <w:rFonts w:eastAsia="Times New Roman"/>
          <w:b/>
          <w:bCs/>
          <w:color w:val="000000"/>
          <w:sz w:val="20"/>
          <w:szCs w:val="20"/>
        </w:rPr>
        <w:t>EQUITABLE HOLDINGS, INC.</w:t>
      </w:r>
    </w:p>
    <w:p w:rsidR="00000000" w:rsidRDefault="00897B14">
      <w:pPr>
        <w:jc w:val="center"/>
        <w:divId w:val="296109650"/>
        <w:rPr>
          <w:rFonts w:eastAsia="Times New Roman"/>
        </w:rPr>
      </w:pPr>
      <w:r>
        <w:rPr>
          <w:rFonts w:eastAsia="Times New Roman"/>
          <w:b/>
          <w:bCs/>
          <w:color w:val="000000"/>
          <w:sz w:val="20"/>
          <w:szCs w:val="20"/>
        </w:rPr>
        <w:t>Notes to Consolidated Financial Statements (Unaudited), Continued</w:t>
      </w:r>
    </w:p>
    <w:p w:rsidR="00000000" w:rsidRDefault="00897B14">
      <w:pPr>
        <w:divId w:val="1582719506"/>
        <w:rPr>
          <w:rFonts w:eastAsia="Times New Roman"/>
        </w:rPr>
      </w:pPr>
      <w:r>
        <w:rPr>
          <w:rFonts w:eastAsia="Times New Roman"/>
          <w:color w:val="000000"/>
          <w:sz w:val="20"/>
          <w:szCs w:val="20"/>
        </w:rPr>
        <w:t>deposits is recorded as other income or other operating costs and expenses, as appropr</w:t>
      </w:r>
      <w:r>
        <w:rPr>
          <w:rFonts w:eastAsia="Times New Roman"/>
          <w:color w:val="000000"/>
          <w:sz w:val="20"/>
          <w:szCs w:val="20"/>
        </w:rPr>
        <w:t xml:space="preserve">iate. Periodically, the Company evaluates the adequacy of the expected payments or recoveries and adjusts the deposit asset or liability through other revenues or other expenses, as appropriate. </w:t>
      </w:r>
    </w:p>
    <w:p w:rsidR="00000000" w:rsidRDefault="00897B14">
      <w:pPr>
        <w:divId w:val="1724523633"/>
        <w:rPr>
          <w:rFonts w:eastAsia="Times New Roman"/>
        </w:rPr>
      </w:pPr>
      <w:r>
        <w:rPr>
          <w:rFonts w:eastAsia="Times New Roman"/>
          <w:color w:val="000000"/>
          <w:sz w:val="20"/>
          <w:szCs w:val="20"/>
        </w:rPr>
        <w:t xml:space="preserve">For reinsurance contracts other than those accounted for as </w:t>
      </w:r>
      <w:r>
        <w:rPr>
          <w:rFonts w:eastAsia="Times New Roman"/>
          <w:color w:val="000000"/>
          <w:sz w:val="20"/>
          <w:szCs w:val="20"/>
        </w:rPr>
        <w:t>derivatives, reinsurance recoverable balances are calculated using methodologies and assumptions that are consistent with those used to calculate the direct liabilities.</w:t>
      </w:r>
    </w:p>
    <w:p w:rsidR="00000000" w:rsidRDefault="00897B14">
      <w:pPr>
        <w:divId w:val="191000272"/>
        <w:rPr>
          <w:rFonts w:eastAsia="Times New Roman"/>
        </w:rPr>
      </w:pPr>
      <w:r>
        <w:rPr>
          <w:rFonts w:eastAsia="Times New Roman"/>
          <w:color w:val="000000"/>
          <w:sz w:val="20"/>
          <w:szCs w:val="20"/>
          <w:u w:val="single"/>
        </w:rPr>
        <w:t>Accounting and Consolidation of VIEs</w:t>
      </w:r>
    </w:p>
    <w:p w:rsidR="00000000" w:rsidRDefault="00897B14">
      <w:pPr>
        <w:divId w:val="1120221689"/>
        <w:rPr>
          <w:rFonts w:eastAsia="Times New Roman"/>
        </w:rPr>
      </w:pPr>
      <w:r>
        <w:rPr>
          <w:rFonts w:eastAsia="Times New Roman"/>
          <w:color w:val="000000"/>
          <w:sz w:val="20"/>
          <w:szCs w:val="20"/>
        </w:rPr>
        <w:t>For all new investment products and entities deve</w:t>
      </w:r>
      <w:r>
        <w:rPr>
          <w:rFonts w:eastAsia="Times New Roman"/>
          <w:color w:val="000000"/>
          <w:sz w:val="20"/>
          <w:szCs w:val="20"/>
        </w:rPr>
        <w:t xml:space="preserve">loped by the Company, the Company first determines whether the entity is a VIE, which involves determining an entity’s variability and variable interests, identifying the holders of the equity investment at risk and assessing the five characteristics of a </w:t>
      </w:r>
      <w:r>
        <w:rPr>
          <w:rFonts w:eastAsia="Times New Roman"/>
          <w:color w:val="000000"/>
          <w:sz w:val="20"/>
          <w:szCs w:val="20"/>
        </w:rPr>
        <w:t>VIE. Once an entity has been determined to be a VIE, the Company then determines whether it is the primary beneficiary of the VIE based on its beneficial interests. If the Company is deemed to be the primary beneficiary of the VIE, then the Company consoli</w:t>
      </w:r>
      <w:r>
        <w:rPr>
          <w:rFonts w:eastAsia="Times New Roman"/>
          <w:color w:val="000000"/>
          <w:sz w:val="20"/>
          <w:szCs w:val="20"/>
        </w:rPr>
        <w:t>dates the entity.</w:t>
      </w:r>
    </w:p>
    <w:p w:rsidR="00000000" w:rsidRDefault="00897B14">
      <w:pPr>
        <w:divId w:val="567151024"/>
        <w:rPr>
          <w:rFonts w:eastAsia="Times New Roman"/>
        </w:rPr>
      </w:pPr>
      <w:r>
        <w:rPr>
          <w:rFonts w:eastAsia="Times New Roman"/>
          <w:color w:val="000000"/>
          <w:sz w:val="20"/>
          <w:szCs w:val="20"/>
        </w:rPr>
        <w:t>Management of the Company reviews quarterly its investment management agreements and its investments in, and other financial arrangements with, certain entities that hold client AUM to determine the entities that the Company is required t</w:t>
      </w:r>
      <w:r>
        <w:rPr>
          <w:rFonts w:eastAsia="Times New Roman"/>
          <w:color w:val="000000"/>
          <w:sz w:val="20"/>
          <w:szCs w:val="20"/>
        </w:rPr>
        <w:t>o consolidate under this guidance. These entities include certain mutual fund products, hedge funds, structured products, group trusts, collective investment trusts and limited partnerships.</w:t>
      </w:r>
    </w:p>
    <w:p w:rsidR="00000000" w:rsidRDefault="00897B14">
      <w:pPr>
        <w:divId w:val="984431590"/>
        <w:rPr>
          <w:rFonts w:eastAsia="Times New Roman"/>
        </w:rPr>
      </w:pPr>
      <w:r>
        <w:rPr>
          <w:rFonts w:eastAsia="Times New Roman"/>
          <w:color w:val="000000"/>
          <w:sz w:val="20"/>
          <w:szCs w:val="20"/>
        </w:rPr>
        <w:t>The analysis performed to identify variable interests held, deter</w:t>
      </w:r>
      <w:r>
        <w:rPr>
          <w:rFonts w:eastAsia="Times New Roman"/>
          <w:color w:val="000000"/>
          <w:sz w:val="20"/>
          <w:szCs w:val="20"/>
        </w:rPr>
        <w:t>mine whether entities are VIEs or VOEs, and evaluate whether the Company has a controlling financial interest in such entities requires the exercise of judgment and is updated on a continuous basis as circumstances change or new entities are developed. The</w:t>
      </w:r>
      <w:r>
        <w:rPr>
          <w:rFonts w:eastAsia="Times New Roman"/>
          <w:color w:val="000000"/>
          <w:sz w:val="20"/>
          <w:szCs w:val="20"/>
        </w:rPr>
        <w:t xml:space="preserve"> primary beneficiary evaluation generally is performed qualitatively based on all facts and circumstances, including consideration of economic interests in the VIE held directly and indirectly through related parties and entities under common control, as w</w:t>
      </w:r>
      <w:r>
        <w:rPr>
          <w:rFonts w:eastAsia="Times New Roman"/>
          <w:color w:val="000000"/>
          <w:sz w:val="20"/>
          <w:szCs w:val="20"/>
        </w:rPr>
        <w:t>ell as quantitatively, as appropriate.</w:t>
      </w:r>
    </w:p>
    <w:p w:rsidR="00000000" w:rsidRDefault="00897B14">
      <w:pPr>
        <w:jc w:val="both"/>
        <w:divId w:val="227544876"/>
        <w:rPr>
          <w:rFonts w:eastAsia="Times New Roman"/>
        </w:rPr>
      </w:pPr>
      <w:r>
        <w:rPr>
          <w:rFonts w:eastAsia="Times New Roman"/>
          <w:b/>
          <w:bCs/>
          <w:i/>
          <w:iCs/>
          <w:color w:val="000000"/>
          <w:sz w:val="20"/>
          <w:szCs w:val="20"/>
        </w:rPr>
        <w:t>Consolidated VIEs</w:t>
      </w:r>
    </w:p>
    <w:p w:rsidR="00000000" w:rsidRDefault="00897B14">
      <w:pPr>
        <w:jc w:val="both"/>
        <w:divId w:val="136268946"/>
        <w:rPr>
          <w:rFonts w:eastAsia="Times New Roman"/>
        </w:rPr>
      </w:pPr>
      <w:r>
        <w:rPr>
          <w:rFonts w:eastAsia="Times New Roman"/>
          <w:color w:val="000000"/>
          <w:sz w:val="20"/>
          <w:szCs w:val="20"/>
          <w:u w:val="single"/>
        </w:rPr>
        <w:t>Consolidated CLOs</w:t>
      </w:r>
    </w:p>
    <w:p w:rsidR="00000000" w:rsidRDefault="00897B14">
      <w:pPr>
        <w:divId w:val="422647355"/>
        <w:rPr>
          <w:rFonts w:eastAsia="Times New Roman"/>
        </w:rPr>
      </w:pPr>
      <w:r>
        <w:rPr>
          <w:rFonts w:eastAsia="Times New Roman"/>
          <w:color w:val="000000"/>
          <w:sz w:val="20"/>
          <w:szCs w:val="20"/>
        </w:rPr>
        <w:t>The Company is the investment manager of certain asset-backed investment vehicles, commonly referred to as CLOs, and certain other vehicles for which the Company earns fee income for investment management services. The Company may sell or syndicate investm</w:t>
      </w:r>
      <w:r>
        <w:rPr>
          <w:rFonts w:eastAsia="Times New Roman"/>
          <w:color w:val="000000"/>
          <w:sz w:val="20"/>
          <w:szCs w:val="20"/>
        </w:rPr>
        <w:t>ents through these vehicles, principally as part of the strategic investing activity as part of its investment management businesses. Additionally, the Company may invest in securities issued by these vehicles which are eliminated in consolidation of the C</w:t>
      </w:r>
      <w:r>
        <w:rPr>
          <w:rFonts w:eastAsia="Times New Roman"/>
          <w:color w:val="000000"/>
          <w:sz w:val="20"/>
          <w:szCs w:val="20"/>
        </w:rPr>
        <w:t xml:space="preserve">LOs. </w:t>
      </w:r>
    </w:p>
    <w:p w:rsidR="00000000" w:rsidRDefault="00897B14">
      <w:pPr>
        <w:divId w:val="1475416101"/>
        <w:rPr>
          <w:rFonts w:eastAsia="Times New Roman"/>
        </w:rPr>
      </w:pPr>
      <w:r>
        <w:rPr>
          <w:rFonts w:eastAsia="Times New Roman"/>
          <w:color w:val="000000"/>
          <w:sz w:val="20"/>
          <w:szCs w:val="20"/>
        </w:rPr>
        <w:t>As of June 30, 2021 and December 31, 2020, respectively, Equitable Financial holds $75 million and $38 million of equity interests in the CLOs. The Company consolidated the CLOs as of June 30, 2021 and December 31, 2020 as it is the primary beneficia</w:t>
      </w:r>
      <w:r>
        <w:rPr>
          <w:rFonts w:eastAsia="Times New Roman"/>
          <w:color w:val="000000"/>
          <w:sz w:val="20"/>
          <w:szCs w:val="20"/>
        </w:rPr>
        <w:t>ry due to the combination of both its equity interest held by Equitable Financial and the majority ownership of AB, which functions as the CLOs loan manager. The assets of the CLOs are legally isolated from the Company’s creditors and can only be used to s</w:t>
      </w:r>
      <w:r>
        <w:rPr>
          <w:rFonts w:eastAsia="Times New Roman"/>
          <w:color w:val="000000"/>
          <w:sz w:val="20"/>
          <w:szCs w:val="20"/>
        </w:rPr>
        <w:t>ettle obligations of the CLOs. The liabilities of the CLOs are non-recourse to the Company and the Company has no obligation to satisfy the liabilities of the CLOs. As of June 30, 2021, Equitable Financial holds $37 million of equity interests in a newly f</w:t>
      </w:r>
      <w:r>
        <w:rPr>
          <w:rFonts w:eastAsia="Times New Roman"/>
          <w:color w:val="000000"/>
          <w:sz w:val="20"/>
          <w:szCs w:val="20"/>
        </w:rPr>
        <w:t>ormed SPE established to purchase loans from the market in anticipation of a new CLO transaction. The Company consolidated the SPE as of June 30, 2021 as it is the primary beneficiary due to the combination of both its equity interest held by Equitable Fin</w:t>
      </w:r>
      <w:r>
        <w:rPr>
          <w:rFonts w:eastAsia="Times New Roman"/>
          <w:color w:val="000000"/>
          <w:sz w:val="20"/>
          <w:szCs w:val="20"/>
        </w:rPr>
        <w:t>ancial and the majority ownership of AB, which functions as the SPE loan manager.</w:t>
      </w:r>
    </w:p>
    <w:p w:rsidR="00000000" w:rsidRDefault="00897B14">
      <w:pPr>
        <w:divId w:val="1468351294"/>
        <w:rPr>
          <w:rFonts w:eastAsia="Times New Roman"/>
        </w:rPr>
      </w:pPr>
      <w:r>
        <w:rPr>
          <w:rFonts w:eastAsia="Times New Roman"/>
          <w:color w:val="000000"/>
          <w:sz w:val="20"/>
          <w:szCs w:val="20"/>
        </w:rPr>
        <w:t>Resulting from this consolidation in the Company’s consolidated balance sheets are fixed maturities, at fair value using the fair value option with total assets of $941 milli</w:t>
      </w:r>
      <w:r>
        <w:rPr>
          <w:rFonts w:eastAsia="Times New Roman"/>
          <w:color w:val="000000"/>
          <w:sz w:val="20"/>
          <w:szCs w:val="20"/>
        </w:rPr>
        <w:t>on and $389 million notes issued by consolidated variable interest entities, at fair value using the fair value option with total liabilities of $746 million and $313 million at June 30, 2021 and December 31, 2020, respectively</w:t>
      </w:r>
      <w:r>
        <w:rPr>
          <w:rFonts w:eastAsia="Times New Roman"/>
          <w:color w:val="FF0000"/>
          <w:sz w:val="20"/>
          <w:szCs w:val="20"/>
        </w:rPr>
        <w:t>.</w:t>
      </w:r>
      <w:r>
        <w:rPr>
          <w:rFonts w:eastAsia="Times New Roman"/>
          <w:color w:val="000000"/>
          <w:sz w:val="20"/>
          <w:szCs w:val="20"/>
        </w:rPr>
        <w:t xml:space="preserve"> The unpaid outstanding prin</w:t>
      </w:r>
      <w:r>
        <w:rPr>
          <w:rFonts w:eastAsia="Times New Roman"/>
          <w:color w:val="000000"/>
          <w:sz w:val="20"/>
          <w:szCs w:val="20"/>
        </w:rPr>
        <w:t>cipal balance of the notes and short-term borrowing is $811 million and $362 million at June 30, 2021 and December 31, 2020.</w:t>
      </w:r>
    </w:p>
    <w:p w:rsidR="00000000" w:rsidRDefault="00897B14">
      <w:pPr>
        <w:jc w:val="both"/>
        <w:divId w:val="1187207768"/>
        <w:rPr>
          <w:rFonts w:eastAsia="Times New Roman"/>
        </w:rPr>
      </w:pPr>
      <w:r>
        <w:rPr>
          <w:rFonts w:eastAsia="Times New Roman"/>
          <w:color w:val="000000"/>
          <w:sz w:val="20"/>
          <w:szCs w:val="20"/>
          <w:u w:val="single"/>
        </w:rPr>
        <w:t>Consolidated Limited Partnerships and LLCs</w:t>
      </w:r>
    </w:p>
    <w:p w:rsidR="00000000" w:rsidRDefault="00897B14">
      <w:pPr>
        <w:divId w:val="266544889"/>
        <w:rPr>
          <w:rFonts w:eastAsia="Times New Roman"/>
        </w:rPr>
      </w:pPr>
      <w:r>
        <w:rPr>
          <w:rFonts w:eastAsia="Times New Roman"/>
          <w:color w:val="000000"/>
          <w:sz w:val="20"/>
          <w:szCs w:val="20"/>
        </w:rPr>
        <w:t xml:space="preserve">As of June 30, 2021 and December 31, 2020 the Company consolidated limited partnerships </w:t>
      </w:r>
      <w:r>
        <w:rPr>
          <w:rFonts w:eastAsia="Times New Roman"/>
          <w:color w:val="000000"/>
          <w:sz w:val="20"/>
          <w:szCs w:val="20"/>
        </w:rPr>
        <w:t>and LLCs for which it was identified as the primary beneficiary under the VIE model. Included in Other invested assets, Mortgage loans on real estate and Other equity investments in the Company’s consolidated balance sheets at June 30, 2021 and December 31</w:t>
      </w:r>
      <w:r>
        <w:rPr>
          <w:rFonts w:eastAsia="Times New Roman"/>
          <w:color w:val="000000"/>
          <w:sz w:val="20"/>
          <w:szCs w:val="20"/>
        </w:rPr>
        <w:t>, 2020 are total assets of $184 million and $12 million, respectively related to these VIEs.</w:t>
      </w:r>
    </w:p>
    <w:p w:rsidR="00000000" w:rsidRDefault="00897B14">
      <w:pPr>
        <w:jc w:val="both"/>
        <w:divId w:val="1132139915"/>
        <w:rPr>
          <w:rFonts w:eastAsia="Times New Roman"/>
        </w:rPr>
      </w:pPr>
      <w:r>
        <w:rPr>
          <w:rFonts w:eastAsia="Times New Roman"/>
          <w:b/>
          <w:bCs/>
          <w:i/>
          <w:iCs/>
          <w:color w:val="000000"/>
          <w:sz w:val="20"/>
          <w:szCs w:val="20"/>
        </w:rPr>
        <w:t>Consolidated AB-Sponsored Investment Funds</w:t>
      </w:r>
    </w:p>
    <w:p w:rsidR="00000000" w:rsidRDefault="00897B14">
      <w:pPr>
        <w:jc w:val="center"/>
        <w:divId w:val="49769395"/>
        <w:rPr>
          <w:rFonts w:eastAsia="Times New Roman"/>
        </w:rPr>
      </w:pPr>
      <w:r>
        <w:rPr>
          <w:rFonts w:eastAsia="Times New Roman"/>
          <w:color w:val="000000"/>
          <w:sz w:val="20"/>
          <w:szCs w:val="20"/>
        </w:rPr>
        <w:t>17</w:t>
      </w:r>
    </w:p>
    <w:p w:rsidR="00000000" w:rsidRDefault="00897B14">
      <w:pPr>
        <w:rPr>
          <w:rFonts w:eastAsia="Times New Roman"/>
        </w:rPr>
      </w:pPr>
      <w:r>
        <w:rPr>
          <w:rFonts w:eastAsia="Times New Roman"/>
        </w:rPr>
        <w:pict>
          <v:rect id="_x0000_i1043" style="width:0;height:1.5pt" o:hralign="center" o:hrstd="t" o:hr="t" fillcolor="#a0a0a0" stroked="f"/>
        </w:pict>
      </w:r>
    </w:p>
    <w:p w:rsidR="00000000" w:rsidRDefault="00897B14">
      <w:pPr>
        <w:divId w:val="31472775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790705705"/>
        <w:rPr>
          <w:rFonts w:eastAsia="Times New Roman"/>
        </w:rPr>
      </w:pPr>
      <w:r>
        <w:rPr>
          <w:rFonts w:eastAsia="Times New Roman"/>
          <w:b/>
          <w:bCs/>
          <w:color w:val="000000"/>
          <w:sz w:val="20"/>
          <w:szCs w:val="20"/>
        </w:rPr>
        <w:t>EQUITABLE HOLDINGS, INC.</w:t>
      </w:r>
    </w:p>
    <w:p w:rsidR="00000000" w:rsidRDefault="00897B14">
      <w:pPr>
        <w:jc w:val="center"/>
        <w:divId w:val="790705705"/>
        <w:rPr>
          <w:rFonts w:eastAsia="Times New Roman"/>
        </w:rPr>
      </w:pPr>
      <w:r>
        <w:rPr>
          <w:rFonts w:eastAsia="Times New Roman"/>
          <w:b/>
          <w:bCs/>
          <w:color w:val="000000"/>
          <w:sz w:val="20"/>
          <w:szCs w:val="20"/>
        </w:rPr>
        <w:t>Notes to Consolidated Financial Statements (Unaudited), Continued</w:t>
      </w:r>
    </w:p>
    <w:p w:rsidR="00000000" w:rsidRDefault="00897B14">
      <w:pPr>
        <w:divId w:val="1355811845"/>
        <w:rPr>
          <w:rFonts w:eastAsia="Times New Roman"/>
        </w:rPr>
      </w:pPr>
      <w:r>
        <w:rPr>
          <w:rFonts w:eastAsia="Times New Roman"/>
          <w:color w:val="000000"/>
          <w:sz w:val="20"/>
          <w:szCs w:val="20"/>
        </w:rPr>
        <w:t>Included in the Company’s consolidated balance sheet</w:t>
      </w:r>
      <w:r>
        <w:rPr>
          <w:rFonts w:eastAsia="Times New Roman"/>
          <w:color w:val="000000"/>
          <w:sz w:val="20"/>
          <w:szCs w:val="20"/>
        </w:rPr>
        <w:t xml:space="preserve"> as of June 30, 2021 and December 31, 2020 are assets of $206 million and $284 million, liabilities of $11 million and $8 million, and redeemable noncontrolling interests of $18 million and $83 million, respectively, associated with the consolidation of AB</w:t>
      </w:r>
      <w:r>
        <w:rPr>
          <w:rFonts w:eastAsia="Times New Roman"/>
          <w:color w:val="000000"/>
          <w:sz w:val="20"/>
          <w:szCs w:val="20"/>
        </w:rPr>
        <w:t>-sponsored investment funds under the VIE model. Also included in the Company’s consolidated balance sheets as of June 30, 2021 and December 31, 2020 are assets of $0 million and $68 million, liabilities of $0 million and $23 million, and redeemable noncon</w:t>
      </w:r>
      <w:r>
        <w:rPr>
          <w:rFonts w:eastAsia="Times New Roman"/>
          <w:color w:val="000000"/>
          <w:sz w:val="20"/>
          <w:szCs w:val="20"/>
        </w:rPr>
        <w:t>trolling interests of $0 million and $20 million, respectively, from consolidation of AB-sponsored investment funds under the VOE model. The assets of these consolidated funds are presented within other invested assets and cash and cash equivalents, and li</w:t>
      </w:r>
      <w:r>
        <w:rPr>
          <w:rFonts w:eastAsia="Times New Roman"/>
          <w:color w:val="000000"/>
          <w:sz w:val="20"/>
          <w:szCs w:val="20"/>
        </w:rPr>
        <w:t>abilities of these consolidated funds are presented with other liabilities in the Company’s consolidated balance sheets; ownership interests not held by the Company relating to consolidated VIEs and VOEs are presented either as redeemable or non-redeemable</w:t>
      </w:r>
      <w:r>
        <w:rPr>
          <w:rFonts w:eastAsia="Times New Roman"/>
          <w:color w:val="000000"/>
          <w:sz w:val="20"/>
          <w:szCs w:val="20"/>
        </w:rPr>
        <w:t xml:space="preserve"> noncontrolling interests, as appropriate. Redeemable noncontrolling interests are presented in mezzanine equity and non-redeemable noncontrolling interests are presented within permanent equity. The Company is not required to provide financial support to </w:t>
      </w:r>
      <w:r>
        <w:rPr>
          <w:rFonts w:eastAsia="Times New Roman"/>
          <w:color w:val="000000"/>
          <w:sz w:val="20"/>
          <w:szCs w:val="20"/>
        </w:rPr>
        <w:t>these AB-sponsored investment funds, and only the assets of such funds are available to settle each fund’s own liabilities.</w:t>
      </w:r>
    </w:p>
    <w:p w:rsidR="00000000" w:rsidRDefault="00897B14">
      <w:pPr>
        <w:jc w:val="both"/>
        <w:divId w:val="361516073"/>
        <w:rPr>
          <w:rFonts w:eastAsia="Times New Roman"/>
        </w:rPr>
      </w:pPr>
      <w:r>
        <w:rPr>
          <w:rFonts w:eastAsia="Times New Roman"/>
          <w:b/>
          <w:bCs/>
          <w:i/>
          <w:iCs/>
          <w:color w:val="000000"/>
          <w:sz w:val="20"/>
          <w:szCs w:val="20"/>
        </w:rPr>
        <w:t>Non-Consolidated VIEs</w:t>
      </w:r>
    </w:p>
    <w:p w:rsidR="00000000" w:rsidRDefault="00897B14">
      <w:pPr>
        <w:divId w:val="1717436810"/>
        <w:rPr>
          <w:rFonts w:eastAsia="Times New Roman"/>
        </w:rPr>
      </w:pPr>
      <w:r>
        <w:rPr>
          <w:rFonts w:eastAsia="Times New Roman"/>
          <w:color w:val="000000"/>
          <w:sz w:val="20"/>
          <w:szCs w:val="20"/>
        </w:rPr>
        <w:t>As of June 30, 2021 and December 31, 2020 respectively, the Company held approximately $1.8 billion and $1.4 b</w:t>
      </w:r>
      <w:r>
        <w:rPr>
          <w:rFonts w:eastAsia="Times New Roman"/>
          <w:color w:val="000000"/>
          <w:sz w:val="20"/>
          <w:szCs w:val="20"/>
        </w:rPr>
        <w:t>illion of investment assets in the form of equity interests issued by non-corporate legal entities determined under the guidance to be VIEs, such as limited partnerships and limited liability companies, including CLOs, hedge funds, private equity funds and</w:t>
      </w:r>
      <w:r>
        <w:rPr>
          <w:rFonts w:eastAsia="Times New Roman"/>
          <w:color w:val="000000"/>
          <w:sz w:val="20"/>
          <w:szCs w:val="20"/>
        </w:rPr>
        <w:t xml:space="preserve"> real estate-related funds. As an equity investor, the Company is considered to have a variable interest in each of these VIEs as a result of its participation in the risks and/or rewards these funds were designed to create by their defined portfolio objec</w:t>
      </w:r>
      <w:r>
        <w:rPr>
          <w:rFonts w:eastAsia="Times New Roman"/>
          <w:color w:val="000000"/>
          <w:sz w:val="20"/>
          <w:szCs w:val="20"/>
        </w:rPr>
        <w:t>tives and strategies. Primarily through qualitative assessment, including consideration of related party interests or other financial arrangements, if any, the Company was not identified as primary beneficiary of any of these VIEs, largely due to its inabi</w:t>
      </w:r>
      <w:r>
        <w:rPr>
          <w:rFonts w:eastAsia="Times New Roman"/>
          <w:color w:val="000000"/>
          <w:sz w:val="20"/>
          <w:szCs w:val="20"/>
        </w:rPr>
        <w:t>lity to direct the activities that most significantly impact their economic performance. Consequently, the Company continues to reflect these equity interests in the consolidated balance sheets as other equity investments and applies the equity method of a</w:t>
      </w:r>
      <w:r>
        <w:rPr>
          <w:rFonts w:eastAsia="Times New Roman"/>
          <w:color w:val="000000"/>
          <w:sz w:val="20"/>
          <w:szCs w:val="20"/>
        </w:rPr>
        <w:t>ccounting for these positions. The net assets of these non-consolidated VIEs are approximately $197.3 billion and $165.9 billion as of June 30, 2021 and December 31, 2020 respectively. The Company’s maximum exposure to loss from its direct involvement with</w:t>
      </w:r>
      <w:r>
        <w:rPr>
          <w:rFonts w:eastAsia="Times New Roman"/>
          <w:color w:val="000000"/>
          <w:sz w:val="20"/>
          <w:szCs w:val="20"/>
        </w:rPr>
        <w:t xml:space="preserve"> these VIEs is the carrying value of its investment of $1.8 billion and $1.4 billion and approximately $1.3 billion and $1.2 billion of unfunded commitments as of June 30, 2021 and December 31, 2020, respectively. The Company has no further economic intere</w:t>
      </w:r>
      <w:r>
        <w:rPr>
          <w:rFonts w:eastAsia="Times New Roman"/>
          <w:color w:val="000000"/>
          <w:sz w:val="20"/>
          <w:szCs w:val="20"/>
        </w:rPr>
        <w:t>st in these VIEs in the form of guarantees, derivatives, credit enhancements or similar instruments and obligations.</w:t>
      </w:r>
    </w:p>
    <w:p w:rsidR="00000000" w:rsidRDefault="00897B14">
      <w:pPr>
        <w:jc w:val="both"/>
        <w:divId w:val="188615373"/>
        <w:rPr>
          <w:rFonts w:eastAsia="Times New Roman"/>
        </w:rPr>
      </w:pPr>
      <w:r>
        <w:rPr>
          <w:rFonts w:eastAsia="Times New Roman"/>
          <w:b/>
          <w:bCs/>
          <w:i/>
          <w:iCs/>
          <w:color w:val="000000"/>
          <w:sz w:val="20"/>
          <w:szCs w:val="20"/>
        </w:rPr>
        <w:t>Non-Consolidated AB-Sponsored Investment Products</w:t>
      </w:r>
    </w:p>
    <w:p w:rsidR="00000000" w:rsidRDefault="00897B14">
      <w:pPr>
        <w:divId w:val="1622689682"/>
        <w:rPr>
          <w:rFonts w:eastAsia="Times New Roman"/>
        </w:rPr>
      </w:pPr>
      <w:r>
        <w:rPr>
          <w:rFonts w:eastAsia="Times New Roman"/>
          <w:color w:val="000000"/>
          <w:sz w:val="20"/>
          <w:szCs w:val="20"/>
        </w:rPr>
        <w:t>As of June 30, 2021 and December 31, 2020, the net assets of investment products sponsore</w:t>
      </w:r>
      <w:r>
        <w:rPr>
          <w:rFonts w:eastAsia="Times New Roman"/>
          <w:color w:val="000000"/>
          <w:sz w:val="20"/>
          <w:szCs w:val="20"/>
        </w:rPr>
        <w:t>d by AB that are non-consolidated VIEs are approximately $73.3 billion and $73.4 billion, respectively. The Company’s maximum exposure to loss from its direct involvement with these VIEs is its investment of $9 million and $7 million as of June 30, 2021 an</w:t>
      </w:r>
      <w:r>
        <w:rPr>
          <w:rFonts w:eastAsia="Times New Roman"/>
          <w:color w:val="000000"/>
          <w:sz w:val="20"/>
          <w:szCs w:val="20"/>
        </w:rPr>
        <w:t>d December 31, 2020. The Company has no further commitments to or economic interest in these VIEs.</w:t>
      </w:r>
    </w:p>
    <w:p w:rsidR="00000000" w:rsidRDefault="00897B14">
      <w:pPr>
        <w:jc w:val="both"/>
        <w:divId w:val="1261185163"/>
        <w:rPr>
          <w:rFonts w:eastAsia="Times New Roman"/>
        </w:rPr>
      </w:pPr>
      <w:r>
        <w:rPr>
          <w:rFonts w:eastAsia="Times New Roman"/>
          <w:b/>
          <w:bCs/>
          <w:i/>
          <w:iCs/>
          <w:color w:val="000000"/>
          <w:sz w:val="20"/>
          <w:szCs w:val="20"/>
        </w:rPr>
        <w:t>Assumption Updates and Model Changes</w:t>
      </w:r>
    </w:p>
    <w:p w:rsidR="00000000" w:rsidRDefault="00897B14">
      <w:pPr>
        <w:divId w:val="1761365034"/>
        <w:rPr>
          <w:rFonts w:eastAsia="Times New Roman"/>
        </w:rPr>
      </w:pPr>
      <w:r>
        <w:rPr>
          <w:rFonts w:eastAsia="Times New Roman"/>
          <w:color w:val="000000"/>
          <w:sz w:val="20"/>
          <w:szCs w:val="20"/>
        </w:rPr>
        <w:t>The Company conducts its annual review of its assumptions and models during the third quarter of each year. The annual r</w:t>
      </w:r>
      <w:r>
        <w:rPr>
          <w:rFonts w:eastAsia="Times New Roman"/>
          <w:color w:val="000000"/>
          <w:sz w:val="20"/>
          <w:szCs w:val="20"/>
        </w:rPr>
        <w:t>eview encompasses assumptions underlying the valuation of unearned revenue liabilities, embedded derivatives for our insurance business, liabilities for future policyholder benefits, DAC and DSI assets.</w:t>
      </w:r>
    </w:p>
    <w:p w:rsidR="00000000" w:rsidRDefault="00897B14">
      <w:pPr>
        <w:divId w:val="237129845"/>
        <w:rPr>
          <w:rFonts w:eastAsia="Times New Roman"/>
        </w:rPr>
      </w:pPr>
      <w:r>
        <w:rPr>
          <w:rFonts w:eastAsia="Times New Roman"/>
          <w:color w:val="000000"/>
          <w:sz w:val="20"/>
          <w:szCs w:val="20"/>
        </w:rPr>
        <w:t>However, the Company updates its assumptions as neede</w:t>
      </w:r>
      <w:r>
        <w:rPr>
          <w:rFonts w:eastAsia="Times New Roman"/>
          <w:color w:val="000000"/>
          <w:sz w:val="20"/>
          <w:szCs w:val="20"/>
        </w:rPr>
        <w:t>d in the event it becomes aware of economic conditions or events that could require a change in assumptions that it believes may have a significant impact to the carrying value of product liabilities and assets and consequently materially impact its earnin</w:t>
      </w:r>
      <w:r>
        <w:rPr>
          <w:rFonts w:eastAsia="Times New Roman"/>
          <w:color w:val="000000"/>
          <w:sz w:val="20"/>
          <w:szCs w:val="20"/>
        </w:rPr>
        <w:t>gs in the period of the change.</w:t>
      </w:r>
    </w:p>
    <w:p w:rsidR="00000000" w:rsidRDefault="00897B14">
      <w:pPr>
        <w:divId w:val="1079013558"/>
        <w:rPr>
          <w:rFonts w:eastAsia="Times New Roman"/>
        </w:rPr>
      </w:pPr>
      <w:r>
        <w:rPr>
          <w:rFonts w:eastAsia="Times New Roman"/>
          <w:color w:val="000000"/>
          <w:sz w:val="20"/>
          <w:szCs w:val="20"/>
        </w:rPr>
        <w:t>Due to the extraordinary economic conditions driven by the COVID-19 pandemic in the first quarter of 2020, the Company updated its interest rate assumption to grade from the current interest rate environment to an ultimate f</w:t>
      </w:r>
      <w:r>
        <w:rPr>
          <w:rFonts w:eastAsia="Times New Roman"/>
          <w:color w:val="000000"/>
          <w:sz w:val="20"/>
          <w:szCs w:val="20"/>
        </w:rPr>
        <w:t>ive-year historical average over a 10-year period. As such, the 10-year U.S. Treasury yield grades from the current level to an ultimate 5-year average of 2.25%.</w:t>
      </w:r>
    </w:p>
    <w:p w:rsidR="00000000" w:rsidRDefault="00897B14">
      <w:pPr>
        <w:divId w:val="790249603"/>
        <w:rPr>
          <w:rFonts w:eastAsia="Times New Roman"/>
        </w:rPr>
      </w:pPr>
      <w:r>
        <w:rPr>
          <w:rFonts w:eastAsia="Times New Roman"/>
          <w:color w:val="000000"/>
          <w:sz w:val="20"/>
          <w:szCs w:val="20"/>
        </w:rPr>
        <w:t>The low interest rate environment and update to the interest rate assumption caused a loss rec</w:t>
      </w:r>
      <w:r>
        <w:rPr>
          <w:rFonts w:eastAsia="Times New Roman"/>
          <w:color w:val="000000"/>
          <w:sz w:val="20"/>
          <w:szCs w:val="20"/>
        </w:rPr>
        <w:t>ognition event for the Company’s life interest-sensitive products, as well as to certain run-off business. This loss recognition event caused an acceleration of DAC amortization on the life interest-sensitive products and an increase in the premium deficie</w:t>
      </w:r>
      <w:r>
        <w:rPr>
          <w:rFonts w:eastAsia="Times New Roman"/>
          <w:color w:val="000000"/>
          <w:sz w:val="20"/>
          <w:szCs w:val="20"/>
        </w:rPr>
        <w:t xml:space="preserve">ncy reserve on the run-off business in the first quarter of 2020. </w:t>
      </w:r>
    </w:p>
    <w:p w:rsidR="00000000" w:rsidRDefault="00897B14">
      <w:pPr>
        <w:jc w:val="both"/>
        <w:divId w:val="208150860"/>
        <w:rPr>
          <w:rFonts w:eastAsia="Times New Roman"/>
        </w:rPr>
      </w:pPr>
      <w:r>
        <w:rPr>
          <w:rFonts w:eastAsia="Times New Roman"/>
          <w:color w:val="000000"/>
          <w:sz w:val="20"/>
          <w:szCs w:val="20"/>
          <w:u w:val="single"/>
        </w:rPr>
        <w:t>Impact of Assumption Updates</w:t>
      </w:r>
    </w:p>
    <w:p w:rsidR="00000000" w:rsidRDefault="00897B14">
      <w:pPr>
        <w:jc w:val="center"/>
        <w:divId w:val="55903026"/>
        <w:rPr>
          <w:rFonts w:eastAsia="Times New Roman"/>
        </w:rPr>
      </w:pPr>
      <w:r>
        <w:rPr>
          <w:rFonts w:eastAsia="Times New Roman"/>
          <w:color w:val="000000"/>
          <w:sz w:val="20"/>
          <w:szCs w:val="20"/>
        </w:rPr>
        <w:t>18</w:t>
      </w:r>
    </w:p>
    <w:p w:rsidR="00000000" w:rsidRDefault="00897B14">
      <w:pPr>
        <w:rPr>
          <w:rFonts w:eastAsia="Times New Roman"/>
        </w:rPr>
      </w:pPr>
      <w:r>
        <w:rPr>
          <w:rFonts w:eastAsia="Times New Roman"/>
        </w:rPr>
        <w:pict>
          <v:rect id="_x0000_i1044" style="width:0;height:1.5pt" o:hralign="center" o:hrstd="t" o:hr="t" fillcolor="#a0a0a0" stroked="f"/>
        </w:pict>
      </w:r>
    </w:p>
    <w:p w:rsidR="00000000" w:rsidRDefault="00897B14">
      <w:pPr>
        <w:divId w:val="39374198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926883194"/>
        <w:rPr>
          <w:rFonts w:eastAsia="Times New Roman"/>
        </w:rPr>
      </w:pPr>
      <w:r>
        <w:rPr>
          <w:rFonts w:eastAsia="Times New Roman"/>
          <w:b/>
          <w:bCs/>
          <w:color w:val="000000"/>
          <w:sz w:val="20"/>
          <w:szCs w:val="20"/>
        </w:rPr>
        <w:t>EQUITABLE HOLDINGS, INC.</w:t>
      </w:r>
    </w:p>
    <w:p w:rsidR="00000000" w:rsidRDefault="00897B14">
      <w:pPr>
        <w:jc w:val="center"/>
        <w:divId w:val="926883194"/>
        <w:rPr>
          <w:rFonts w:eastAsia="Times New Roman"/>
        </w:rPr>
      </w:pPr>
      <w:r>
        <w:rPr>
          <w:rFonts w:eastAsia="Times New Roman"/>
          <w:b/>
          <w:bCs/>
          <w:color w:val="000000"/>
          <w:sz w:val="20"/>
          <w:szCs w:val="20"/>
        </w:rPr>
        <w:t>Notes to Consolida</w:t>
      </w:r>
      <w:r>
        <w:rPr>
          <w:rFonts w:eastAsia="Times New Roman"/>
          <w:b/>
          <w:bCs/>
          <w:color w:val="000000"/>
          <w:sz w:val="20"/>
          <w:szCs w:val="20"/>
        </w:rPr>
        <w:t>ted Financial Statements (Unaudited), Continued</w:t>
      </w:r>
    </w:p>
    <w:p w:rsidR="00000000" w:rsidRDefault="00897B14">
      <w:pPr>
        <w:divId w:val="1707413902"/>
        <w:rPr>
          <w:rFonts w:eastAsia="Times New Roman"/>
        </w:rPr>
      </w:pPr>
      <w:r>
        <w:rPr>
          <w:rFonts w:eastAsia="Times New Roman"/>
          <w:color w:val="000000"/>
          <w:sz w:val="20"/>
          <w:szCs w:val="20"/>
        </w:rPr>
        <w:t>There were no assumption changes in the first and second quarters of 2021.</w:t>
      </w:r>
    </w:p>
    <w:p w:rsidR="00000000" w:rsidRDefault="00897B14">
      <w:pPr>
        <w:divId w:val="290213882"/>
        <w:rPr>
          <w:rFonts w:eastAsia="Times New Roman"/>
        </w:rPr>
      </w:pPr>
      <w:r>
        <w:rPr>
          <w:rFonts w:eastAsia="Times New Roman"/>
          <w:color w:val="000000"/>
          <w:sz w:val="20"/>
          <w:szCs w:val="20"/>
        </w:rPr>
        <w:t>The net impact of the assumption update in the first six months of 2020 was an increase in policy charges and fee income of $46 million, an increase in policyholders’ benefits of $1.4 billion, a decrease in interest credited to policyholders’ account balan</w:t>
      </w:r>
      <w:r>
        <w:rPr>
          <w:rFonts w:eastAsia="Times New Roman"/>
          <w:color w:val="000000"/>
          <w:sz w:val="20"/>
          <w:szCs w:val="20"/>
        </w:rPr>
        <w:t>ces of $6 million, and an increase in amortization of DAC of $1.1 billion. This resulted in a decrease in income (loss) from operations, before income taxes of $2.5 billion and a decrease in net income (loss) of $2.0 billion.</w:t>
      </w:r>
    </w:p>
    <w:p w:rsidR="00000000" w:rsidRDefault="00897B14">
      <w:pPr>
        <w:jc w:val="both"/>
        <w:divId w:val="1513183151"/>
        <w:rPr>
          <w:rFonts w:eastAsia="Times New Roman"/>
        </w:rPr>
      </w:pPr>
      <w:r>
        <w:rPr>
          <w:rFonts w:eastAsia="Times New Roman"/>
          <w:color w:val="000000"/>
          <w:sz w:val="20"/>
          <w:szCs w:val="20"/>
          <w:u w:val="single"/>
        </w:rPr>
        <w:t>Model Changes</w:t>
      </w:r>
    </w:p>
    <w:p w:rsidR="00000000" w:rsidRDefault="00897B14">
      <w:pPr>
        <w:divId w:val="1691494756"/>
        <w:rPr>
          <w:rFonts w:eastAsia="Times New Roman"/>
        </w:rPr>
      </w:pPr>
      <w:r>
        <w:rPr>
          <w:rFonts w:eastAsia="Times New Roman"/>
          <w:color w:val="000000"/>
          <w:sz w:val="20"/>
          <w:szCs w:val="20"/>
        </w:rPr>
        <w:t>There were no material model changes in the first and second quarters of 2021.</w:t>
      </w:r>
    </w:p>
    <w:p w:rsidR="00000000" w:rsidRDefault="00897B14">
      <w:pPr>
        <w:divId w:val="1680740611"/>
        <w:rPr>
          <w:rFonts w:eastAsia="Times New Roman"/>
        </w:rPr>
      </w:pPr>
      <w:r>
        <w:rPr>
          <w:rFonts w:eastAsia="Times New Roman"/>
          <w:color w:val="000000"/>
          <w:sz w:val="20"/>
          <w:szCs w:val="20"/>
        </w:rPr>
        <w:t>In the first quarter of 2020, the Company adopted a new economic scenario generator to calculate the fair value of the GMIB reinsurance contract asset and GMxB derivative featur</w:t>
      </w:r>
      <w:r>
        <w:rPr>
          <w:rFonts w:eastAsia="Times New Roman"/>
          <w:color w:val="000000"/>
          <w:sz w:val="20"/>
          <w:szCs w:val="20"/>
        </w:rPr>
        <w:t>es liability, eliminating reliance on AXA for scenario production. The new economic scenario generator allows for a tighter calibration of U.S. indices, better reflecting the Company’s actual portfolio. The net impact of the new economic scenario generator</w:t>
      </w:r>
      <w:r>
        <w:rPr>
          <w:rFonts w:eastAsia="Times New Roman"/>
          <w:color w:val="000000"/>
          <w:sz w:val="20"/>
          <w:szCs w:val="20"/>
        </w:rPr>
        <w:t xml:space="preserve"> resulted in an increase in income (loss) from continuing operations, before income taxes of $201 million, and an increase to net income (loss) of $159 million during the first six months of 2020.</w:t>
      </w:r>
    </w:p>
    <w:p w:rsidR="00000000" w:rsidRDefault="00897B14">
      <w:pPr>
        <w:jc w:val="both"/>
        <w:divId w:val="846213166"/>
        <w:rPr>
          <w:rFonts w:eastAsia="Times New Roman"/>
        </w:rPr>
      </w:pPr>
      <w:r>
        <w:rPr>
          <w:rFonts w:eastAsia="Times New Roman"/>
          <w:b/>
          <w:bCs/>
          <w:i/>
          <w:iCs/>
          <w:color w:val="000000"/>
          <w:sz w:val="20"/>
          <w:szCs w:val="20"/>
        </w:rPr>
        <w:t>Revision of Prior Period Financial Statements</w:t>
      </w:r>
    </w:p>
    <w:p w:rsidR="00000000" w:rsidRDefault="00897B14">
      <w:pPr>
        <w:divId w:val="1685743636"/>
        <w:rPr>
          <w:rFonts w:eastAsia="Times New Roman"/>
        </w:rPr>
      </w:pPr>
      <w:r>
        <w:rPr>
          <w:rFonts w:eastAsia="Times New Roman"/>
          <w:color w:val="000000"/>
          <w:sz w:val="20"/>
          <w:szCs w:val="20"/>
        </w:rPr>
        <w:t>The Company i</w:t>
      </w:r>
      <w:r>
        <w:rPr>
          <w:rFonts w:eastAsia="Times New Roman"/>
          <w:color w:val="000000"/>
          <w:sz w:val="20"/>
          <w:szCs w:val="20"/>
        </w:rPr>
        <w:t>dentified certain errors in its previously issued financial statements primarily related to the calculation of actuarially determined insurance contract assets and liabilities. The impact of these errors to the current and the prior periods consolidated fi</w:t>
      </w:r>
      <w:r>
        <w:rPr>
          <w:rFonts w:eastAsia="Times New Roman"/>
          <w:color w:val="000000"/>
          <w:sz w:val="20"/>
          <w:szCs w:val="20"/>
        </w:rPr>
        <w:t xml:space="preserve">nancial statements was not considered to be material. In order to improve the consistency and comparability of the financial statements, management revised the consolidated financial statements to include the revisions discussed herein. See Note 16 to the </w:t>
      </w:r>
      <w:r>
        <w:rPr>
          <w:rFonts w:eastAsia="Times New Roman"/>
          <w:color w:val="000000"/>
          <w:sz w:val="20"/>
          <w:szCs w:val="20"/>
        </w:rPr>
        <w:t>Notes to Consolidated Financial Statements for details of the revisions.</w:t>
      </w:r>
    </w:p>
    <w:p w:rsidR="00000000" w:rsidRDefault="00897B14">
      <w:pPr>
        <w:divId w:val="2097903051"/>
        <w:rPr>
          <w:rFonts w:eastAsia="Times New Roman"/>
        </w:rPr>
      </w:pPr>
    </w:p>
    <w:p w:rsidR="00000000" w:rsidRDefault="00897B14">
      <w:pPr>
        <w:divId w:val="497618593"/>
        <w:rPr>
          <w:rFonts w:eastAsia="Times New Roman"/>
        </w:rPr>
      </w:pPr>
      <w:r>
        <w:rPr>
          <w:rFonts w:eastAsia="Times New Roman"/>
          <w:b/>
          <w:bCs/>
          <w:color w:val="000000"/>
          <w:sz w:val="20"/>
          <w:szCs w:val="20"/>
        </w:rPr>
        <w:t>3)    INVESTMENTS</w:t>
      </w:r>
    </w:p>
    <w:p w:rsidR="00000000" w:rsidRDefault="00897B14">
      <w:pPr>
        <w:divId w:val="997533844"/>
        <w:rPr>
          <w:rFonts w:eastAsia="Times New Roman"/>
        </w:rPr>
      </w:pPr>
      <w:r>
        <w:rPr>
          <w:rFonts w:eastAsia="Times New Roman"/>
          <w:color w:val="000000"/>
          <w:sz w:val="20"/>
          <w:szCs w:val="20"/>
          <w:u w:val="single"/>
        </w:rPr>
        <w:t>Fixed Maturities AFS</w:t>
      </w:r>
    </w:p>
    <w:p w:rsidR="00000000" w:rsidRDefault="00897B14">
      <w:pPr>
        <w:divId w:val="1387098925"/>
        <w:rPr>
          <w:rFonts w:eastAsia="Times New Roman"/>
        </w:rPr>
      </w:pPr>
      <w:r>
        <w:rPr>
          <w:rFonts w:eastAsia="Times New Roman"/>
          <w:color w:val="000000"/>
          <w:sz w:val="20"/>
          <w:szCs w:val="20"/>
        </w:rPr>
        <w:t>The components of fair value and amortized cost for fixed maturities classified as AFS on the consolidated balance sheets excludes accrued int</w:t>
      </w:r>
      <w:r>
        <w:rPr>
          <w:rFonts w:eastAsia="Times New Roman"/>
          <w:color w:val="000000"/>
          <w:sz w:val="20"/>
          <w:szCs w:val="20"/>
        </w:rPr>
        <w:t>erest receivable because the Company elected to present accrued interest receivable within other assets. Accrued interest receivable on AFS fixed maturities as of June 30, 2021 was</w:t>
      </w:r>
      <w:r>
        <w:rPr>
          <w:rFonts w:eastAsia="Times New Roman"/>
          <w:color w:val="000000"/>
          <w:sz w:val="20"/>
          <w:szCs w:val="20"/>
          <w:shd w:val="clear" w:color="auto" w:fill="FFFFFF"/>
        </w:rPr>
        <w:t xml:space="preserve"> </w:t>
      </w:r>
      <w:r>
        <w:rPr>
          <w:rFonts w:eastAsia="Times New Roman"/>
          <w:color w:val="000000"/>
          <w:sz w:val="20"/>
          <w:szCs w:val="20"/>
        </w:rPr>
        <w:t>$483 million</w:t>
      </w:r>
      <w:r>
        <w:rPr>
          <w:rFonts w:eastAsia="Times New Roman"/>
          <w:color w:val="000000"/>
          <w:sz w:val="20"/>
          <w:szCs w:val="20"/>
          <w:shd w:val="clear" w:color="auto" w:fill="FFFFFF"/>
        </w:rPr>
        <w:t xml:space="preserve">. </w:t>
      </w:r>
      <w:r>
        <w:rPr>
          <w:rFonts w:eastAsia="Times New Roman"/>
          <w:color w:val="000000"/>
          <w:sz w:val="20"/>
          <w:szCs w:val="20"/>
        </w:rPr>
        <w:t>There was no accrued interest written off for AFS fixed matur</w:t>
      </w:r>
      <w:r>
        <w:rPr>
          <w:rFonts w:eastAsia="Times New Roman"/>
          <w:color w:val="000000"/>
          <w:sz w:val="20"/>
          <w:szCs w:val="20"/>
        </w:rPr>
        <w:t>ities for the three and six months ended June 30, 2021.</w:t>
      </w:r>
    </w:p>
    <w:p w:rsidR="00000000" w:rsidRDefault="00897B14">
      <w:pPr>
        <w:divId w:val="972712862"/>
        <w:rPr>
          <w:rFonts w:eastAsia="Times New Roman"/>
        </w:rPr>
      </w:pPr>
      <w:r>
        <w:rPr>
          <w:rFonts w:eastAsia="Times New Roman"/>
          <w:color w:val="000000"/>
          <w:sz w:val="20"/>
          <w:szCs w:val="20"/>
        </w:rPr>
        <w:t xml:space="preserve">The following tables provide information relating to the Company’s fixed maturities classified as AFS. </w:t>
      </w:r>
    </w:p>
    <w:p w:rsidR="00000000" w:rsidRDefault="00897B14">
      <w:pPr>
        <w:jc w:val="center"/>
        <w:rPr>
          <w:rFonts w:eastAsia="Times New Roman"/>
        </w:rPr>
      </w:pPr>
      <w:r>
        <w:rPr>
          <w:rFonts w:eastAsia="Times New Roman"/>
          <w:b/>
          <w:bCs/>
          <w:color w:val="000000"/>
          <w:sz w:val="20"/>
          <w:szCs w:val="20"/>
        </w:rPr>
        <w:t>AFS Fixed Maturities by Classification</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3584"/>
        <w:gridCol w:w="40"/>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897B14">
            <w:pPr>
              <w:jc w:val="center"/>
              <w:rPr>
                <w:rFonts w:eastAsia="Times New Roman"/>
              </w:rPr>
            </w:pPr>
          </w:p>
        </w:tc>
        <w:tc>
          <w:tcPr>
            <w:tcW w:w="23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divId w:val="672923943"/>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divId w:val="1068309835"/>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June 30, 2021: (6)</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divId w:val="1671374966"/>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47,789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50,995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986324093"/>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14,548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208510874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22445659"/>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Redeemable preferred stock (5)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at June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70,419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75,755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divId w:val="1868982549"/>
        <w:rPr>
          <w:rFonts w:eastAsia="Times New Roman"/>
        </w:rPr>
      </w:pPr>
      <w:r>
        <w:rPr>
          <w:rFonts w:eastAsia="Times New Roman"/>
          <w:color w:val="000000"/>
          <w:sz w:val="20"/>
          <w:szCs w:val="20"/>
        </w:rPr>
        <w:t>19</w:t>
      </w:r>
    </w:p>
    <w:p w:rsidR="00000000" w:rsidRDefault="00897B14">
      <w:pPr>
        <w:rPr>
          <w:rFonts w:eastAsia="Times New Roman"/>
        </w:rPr>
      </w:pPr>
      <w:r>
        <w:rPr>
          <w:rFonts w:eastAsia="Times New Roman"/>
        </w:rPr>
        <w:pict>
          <v:rect id="_x0000_i1045" style="width:0;height:1.5pt" o:hralign="center" o:hrstd="t" o:hr="t" fillcolor="#a0a0a0" stroked="f"/>
        </w:pict>
      </w:r>
    </w:p>
    <w:p w:rsidR="00000000" w:rsidRDefault="00897B14">
      <w:pPr>
        <w:divId w:val="660739364"/>
        <w:rPr>
          <w:rFonts w:eastAsia="Times New Roman"/>
        </w:rPr>
      </w:pPr>
      <w:r>
        <w:rPr>
          <w:rFonts w:eastAsia="Times New Roman"/>
          <w:b/>
          <w:bCs/>
          <w:color w:val="0000FF"/>
          <w:sz w:val="20"/>
          <w:szCs w:val="20"/>
          <w:u w:val="single"/>
        </w:rPr>
        <w:t>Table of Contents</w:t>
      </w:r>
    </w:p>
    <w:p w:rsidR="00000000" w:rsidRDefault="00897B14">
      <w:pPr>
        <w:jc w:val="center"/>
        <w:divId w:val="157304865"/>
        <w:rPr>
          <w:rFonts w:eastAsia="Times New Roman"/>
        </w:rPr>
      </w:pPr>
      <w:r>
        <w:rPr>
          <w:rFonts w:eastAsia="Times New Roman"/>
          <w:b/>
          <w:bCs/>
          <w:color w:val="000000"/>
          <w:sz w:val="20"/>
          <w:szCs w:val="20"/>
        </w:rPr>
        <w:t>EQUITABLE HOLDINGS, INC.</w:t>
      </w:r>
    </w:p>
    <w:p w:rsidR="00000000" w:rsidRDefault="00897B14">
      <w:pPr>
        <w:jc w:val="center"/>
        <w:divId w:val="157304865"/>
        <w:rPr>
          <w:rFonts w:eastAsia="Times New Roman"/>
        </w:rPr>
      </w:pPr>
      <w:r>
        <w:rPr>
          <w:rFonts w:eastAsia="Times New Roman"/>
          <w:b/>
          <w:bCs/>
          <w:color w:val="000000"/>
          <w:sz w:val="20"/>
          <w:szCs w:val="20"/>
        </w:rPr>
        <w:t>Notes to Consolidated Financial Statements (Unaudited), Continued</w:t>
      </w:r>
    </w:p>
    <w:p w:rsidR="00000000" w:rsidRDefault="00897B14">
      <w:pPr>
        <w:divId w:val="649603939"/>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3584"/>
        <w:gridCol w:w="40"/>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897B14">
            <w:pPr>
              <w:rPr>
                <w:rFonts w:eastAsia="Times New Roman"/>
              </w:rPr>
            </w:pPr>
          </w:p>
        </w:tc>
        <w:tc>
          <w:tcPr>
            <w:tcW w:w="23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divId w:val="613636865"/>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divId w:val="1213080057"/>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December 31, 2020: (4)</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1871216013"/>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914587585"/>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53,160 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5,104 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58,159 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788477505"/>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12,675 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16,118 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1725106757"/>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1940522858"/>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3,587 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3,611 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at December 31,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72,867 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4" w:space="0" w:color="000000"/>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81,638 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270"/>
        <w:divId w:val="965816093"/>
        <w:rPr>
          <w:rFonts w:eastAsia="Times New Roman"/>
        </w:rPr>
      </w:pPr>
      <w:r>
        <w:rPr>
          <w:rFonts w:eastAsia="Times New Roman"/>
          <w:color w:val="000000"/>
          <w:sz w:val="18"/>
          <w:szCs w:val="18"/>
        </w:rPr>
        <w:t>___</w:t>
      </w:r>
      <w:r>
        <w:rPr>
          <w:rFonts w:eastAsia="Times New Roman"/>
          <w:color w:val="000000"/>
          <w:sz w:val="18"/>
          <w:szCs w:val="18"/>
        </w:rPr>
        <w:t>___________</w:t>
      </w:r>
    </w:p>
    <w:p w:rsidR="00000000" w:rsidRDefault="00897B14">
      <w:pPr>
        <w:ind w:hanging="270"/>
        <w:divId w:val="1860311953"/>
        <w:rPr>
          <w:rFonts w:eastAsia="Times New Roman"/>
        </w:rPr>
      </w:pPr>
      <w:r>
        <w:rPr>
          <w:rFonts w:eastAsia="Times New Roman"/>
          <w:color w:val="000000"/>
          <w:sz w:val="18"/>
          <w:szCs w:val="18"/>
        </w:rPr>
        <w:t>(1)Corporate fixed maturities include both public and private issues.</w:t>
      </w:r>
    </w:p>
    <w:p w:rsidR="00000000" w:rsidRDefault="00897B14">
      <w:pPr>
        <w:ind w:hanging="270"/>
        <w:divId w:val="747576017"/>
        <w:rPr>
          <w:rFonts w:eastAsia="Times New Roman"/>
        </w:rPr>
      </w:pPr>
      <w:r>
        <w:rPr>
          <w:rFonts w:eastAsia="Times New Roman"/>
          <w:color w:val="000000"/>
          <w:sz w:val="18"/>
          <w:szCs w:val="18"/>
        </w:rPr>
        <w:t>(2)Includes publicly traded agency pass-through securities and collateralized obligations.</w:t>
      </w:r>
    </w:p>
    <w:p w:rsidR="00000000" w:rsidRDefault="00897B14">
      <w:pPr>
        <w:ind w:hanging="270"/>
        <w:divId w:val="1600260240"/>
        <w:rPr>
          <w:rFonts w:eastAsia="Times New Roman"/>
        </w:rPr>
      </w:pPr>
      <w:r>
        <w:rPr>
          <w:rFonts w:eastAsia="Times New Roman"/>
          <w:color w:val="000000"/>
          <w:sz w:val="18"/>
          <w:szCs w:val="18"/>
        </w:rPr>
        <w:t>(3)Includes credit-tranched securities collateralized by sub-prime mortgages, credi</w:t>
      </w:r>
      <w:r>
        <w:rPr>
          <w:rFonts w:eastAsia="Times New Roman"/>
          <w:color w:val="000000"/>
          <w:sz w:val="18"/>
          <w:szCs w:val="18"/>
        </w:rPr>
        <w:t>t risk transfer securities and other asset types.</w:t>
      </w:r>
    </w:p>
    <w:p w:rsidR="00000000" w:rsidRDefault="00897B14">
      <w:pPr>
        <w:ind w:hanging="270"/>
        <w:divId w:val="2030331791"/>
        <w:rPr>
          <w:rFonts w:eastAsia="Times New Roman"/>
        </w:rPr>
      </w:pPr>
      <w:r>
        <w:rPr>
          <w:rFonts w:eastAsia="Times New Roman"/>
          <w:color w:val="000000"/>
          <w:sz w:val="18"/>
          <w:szCs w:val="18"/>
        </w:rPr>
        <w:t>(4)Excludes amounts reclassified as HFS.</w:t>
      </w:r>
    </w:p>
    <w:p w:rsidR="00000000" w:rsidRDefault="00897B14">
      <w:pPr>
        <w:ind w:hanging="270"/>
        <w:divId w:val="170994442"/>
        <w:rPr>
          <w:rFonts w:eastAsia="Times New Roman"/>
        </w:rPr>
      </w:pPr>
      <w:r>
        <w:rPr>
          <w:rFonts w:eastAsia="Times New Roman"/>
          <w:color w:val="000000"/>
          <w:sz w:val="18"/>
          <w:szCs w:val="18"/>
        </w:rPr>
        <w:t>(5)Effective January 1, 2021, certain preferred stock have been reclassified to other equity investments (see Note 2 Significant Accounting Policies – Investments).</w:t>
      </w:r>
    </w:p>
    <w:p w:rsidR="00000000" w:rsidRDefault="00897B14">
      <w:pPr>
        <w:ind w:hanging="270"/>
        <w:divId w:val="1119108007"/>
        <w:rPr>
          <w:rFonts w:eastAsia="Times New Roman"/>
        </w:rPr>
      </w:pPr>
      <w:r>
        <w:rPr>
          <w:rFonts w:eastAsia="Times New Roman"/>
          <w:color w:val="000000"/>
          <w:sz w:val="18"/>
          <w:szCs w:val="18"/>
        </w:rPr>
        <w:t>(6)Decrease in AFS Fixed Maturities as of June 30, 2021 is primarily due to transferred assets related to the Venerable transaction. For additional information on the Venerable transaction, see Note 1 - Organization of the Notes to Consolidated Financial S</w:t>
      </w:r>
      <w:r>
        <w:rPr>
          <w:rFonts w:eastAsia="Times New Roman"/>
          <w:color w:val="000000"/>
          <w:sz w:val="18"/>
          <w:szCs w:val="18"/>
        </w:rPr>
        <w:t>tatements.</w:t>
      </w:r>
    </w:p>
    <w:p w:rsidR="00000000" w:rsidRDefault="00897B14">
      <w:pPr>
        <w:divId w:val="284116917"/>
        <w:rPr>
          <w:rFonts w:eastAsia="Times New Roman"/>
        </w:rPr>
      </w:pPr>
      <w:r>
        <w:rPr>
          <w:rFonts w:eastAsia="Times New Roman"/>
          <w:color w:val="000000"/>
          <w:sz w:val="20"/>
          <w:szCs w:val="20"/>
        </w:rPr>
        <w:t>The contractual maturities of AFS fixed maturities as of June 30, 2021 are shown in the table below. Bonds not due at a single maturity date have been included in the table in the final year of maturity. Actual maturities may differ from contrac</w:t>
      </w:r>
      <w:r>
        <w:rPr>
          <w:rFonts w:eastAsia="Times New Roman"/>
          <w:color w:val="000000"/>
          <w:sz w:val="20"/>
          <w:szCs w:val="20"/>
        </w:rPr>
        <w:t>tual maturities because borrowers may have the right to call or prepay obligations with or without call or prepayment penalties.</w:t>
      </w:r>
    </w:p>
    <w:p w:rsidR="00000000" w:rsidRDefault="00897B14">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4"/>
        <w:gridCol w:w="38"/>
        <w:gridCol w:w="121"/>
        <w:gridCol w:w="994"/>
        <w:gridCol w:w="36"/>
        <w:gridCol w:w="36"/>
        <w:gridCol w:w="36"/>
        <w:gridCol w:w="36"/>
        <w:gridCol w:w="121"/>
        <w:gridCol w:w="958"/>
        <w:gridCol w:w="36"/>
      </w:tblGrid>
      <w:tr w:rsidR="00000000">
        <w:trPr>
          <w:divId w:val="455756278"/>
          <w:jc w:val="center"/>
        </w:trPr>
        <w:tc>
          <w:tcPr>
            <w:tcW w:w="50" w:type="pct"/>
            <w:vAlign w:val="center"/>
            <w:hideMark/>
          </w:tcPr>
          <w:p w:rsidR="00000000" w:rsidRDefault="00897B14">
            <w:pPr>
              <w:jc w:val="center"/>
              <w:rPr>
                <w:rFonts w:eastAsia="Times New Roman"/>
              </w:rPr>
            </w:pPr>
          </w:p>
        </w:tc>
        <w:tc>
          <w:tcPr>
            <w:tcW w:w="354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455756278"/>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r>
      <w:tr w:rsidR="00000000">
        <w:trPr>
          <w:divId w:val="455756278"/>
          <w:jc w:val="center"/>
        </w:trPr>
        <w:tc>
          <w:tcPr>
            <w:tcW w:w="0" w:type="auto"/>
            <w:gridSpan w:val="3"/>
            <w:tcMar>
              <w:top w:w="30" w:type="dxa"/>
              <w:left w:w="20" w:type="dxa"/>
              <w:bottom w:w="30" w:type="dxa"/>
              <w:right w:w="20" w:type="dxa"/>
            </w:tcMar>
            <w:vAlign w:val="bottom"/>
            <w:hideMark/>
          </w:tcPr>
          <w:p w:rsidR="00000000" w:rsidRDefault="00897B14">
            <w:pPr>
              <w:spacing w:after="100"/>
              <w:divId w:val="2020113082"/>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455756278"/>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455756278"/>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455756278"/>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17,041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17,912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19,012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26,906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29,934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63,769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69,047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1788693109"/>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2044206101"/>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575627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at June 30,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70,394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75,755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270"/>
        <w:divId w:val="1833136954"/>
        <w:rPr>
          <w:rFonts w:eastAsia="Times New Roman"/>
        </w:rPr>
      </w:pPr>
    </w:p>
    <w:p w:rsidR="00000000" w:rsidRDefault="00897B14">
      <w:pPr>
        <w:divId w:val="611866259"/>
        <w:rPr>
          <w:rFonts w:eastAsia="Times New Roman"/>
        </w:rPr>
      </w:pPr>
      <w:r>
        <w:rPr>
          <w:rFonts w:eastAsia="Times New Roman"/>
          <w:color w:val="000000"/>
          <w:sz w:val="20"/>
          <w:szCs w:val="20"/>
        </w:rPr>
        <w:t>The following table shows proceeds from sales, gross gains (losses) from sales and credit losses for AFS fixed maturities for the three months and six months ended June 30, 2021 and 2020:</w:t>
      </w:r>
    </w:p>
    <w:p w:rsidR="00000000" w:rsidRDefault="00897B14">
      <w:pPr>
        <w:jc w:val="center"/>
        <w:divId w:val="1934437903"/>
        <w:rPr>
          <w:rFonts w:eastAsia="Times New Roman"/>
        </w:rPr>
      </w:pPr>
    </w:p>
    <w:p w:rsidR="00000000" w:rsidRDefault="00897B14">
      <w:pPr>
        <w:jc w:val="center"/>
        <w:divId w:val="1934437903"/>
        <w:rPr>
          <w:rFonts w:eastAsia="Times New Roman"/>
        </w:rPr>
      </w:pPr>
      <w:r>
        <w:rPr>
          <w:rFonts w:eastAsia="Times New Roman"/>
          <w:color w:val="000000"/>
          <w:sz w:val="20"/>
          <w:szCs w:val="20"/>
        </w:rPr>
        <w:t>20</w:t>
      </w:r>
    </w:p>
    <w:p w:rsidR="00000000" w:rsidRDefault="00897B14">
      <w:pPr>
        <w:rPr>
          <w:rFonts w:eastAsia="Times New Roman"/>
        </w:rPr>
      </w:pPr>
      <w:r>
        <w:rPr>
          <w:rFonts w:eastAsia="Times New Roman"/>
        </w:rPr>
        <w:pict>
          <v:rect id="_x0000_i1046" style="width:0;height:1.5pt" o:hralign="center" o:hrstd="t" o:hr="t" fillcolor="#a0a0a0" stroked="f"/>
        </w:pict>
      </w:r>
    </w:p>
    <w:p w:rsidR="00000000" w:rsidRDefault="00897B14">
      <w:pPr>
        <w:divId w:val="286207543"/>
        <w:rPr>
          <w:rFonts w:eastAsia="Times New Roman"/>
        </w:rPr>
      </w:pPr>
      <w:r>
        <w:rPr>
          <w:rFonts w:eastAsia="Times New Roman"/>
          <w:b/>
          <w:bCs/>
          <w:color w:val="0000FF"/>
          <w:sz w:val="20"/>
          <w:szCs w:val="20"/>
          <w:u w:val="single"/>
        </w:rPr>
        <w:t>Table of Contents</w:t>
      </w:r>
    </w:p>
    <w:p w:rsidR="00000000" w:rsidRDefault="00897B14">
      <w:pPr>
        <w:jc w:val="center"/>
        <w:divId w:val="1213344050"/>
        <w:rPr>
          <w:rFonts w:eastAsia="Times New Roman"/>
        </w:rPr>
      </w:pPr>
      <w:r>
        <w:rPr>
          <w:rFonts w:eastAsia="Times New Roman"/>
          <w:b/>
          <w:bCs/>
          <w:color w:val="000000"/>
          <w:sz w:val="20"/>
          <w:szCs w:val="20"/>
        </w:rPr>
        <w:t>EQUITABL</w:t>
      </w:r>
      <w:r>
        <w:rPr>
          <w:rFonts w:eastAsia="Times New Roman"/>
          <w:b/>
          <w:bCs/>
          <w:color w:val="000000"/>
          <w:sz w:val="20"/>
          <w:szCs w:val="20"/>
        </w:rPr>
        <w:t>E HOLDINGS, INC.</w:t>
      </w:r>
    </w:p>
    <w:p w:rsidR="00000000" w:rsidRDefault="00897B14">
      <w:pPr>
        <w:jc w:val="center"/>
        <w:divId w:val="1213344050"/>
        <w:rPr>
          <w:rFonts w:eastAsia="Times New Roman"/>
        </w:rPr>
      </w:pPr>
      <w:r>
        <w:rPr>
          <w:rFonts w:eastAsia="Times New Roman"/>
          <w:b/>
          <w:bCs/>
          <w:color w:val="000000"/>
          <w:sz w:val="20"/>
          <w:szCs w:val="20"/>
        </w:rPr>
        <w:t>Notes to Consolidated Financial Statements (Unaudited), Continued</w:t>
      </w:r>
    </w:p>
    <w:p w:rsidR="00000000" w:rsidRDefault="00897B14">
      <w:pPr>
        <w:divId w:val="329875020"/>
        <w:rPr>
          <w:rFonts w:eastAsia="Times New Roman"/>
        </w:rPr>
      </w:pPr>
    </w:p>
    <w:p w:rsidR="00000000" w:rsidRDefault="00897B14">
      <w:pPr>
        <w:jc w:val="center"/>
        <w:rPr>
          <w:rFonts w:eastAsia="Times New Roman"/>
        </w:rPr>
      </w:pPr>
      <w:r>
        <w:rPr>
          <w:rFonts w:eastAsia="Times New Roman"/>
          <w:b/>
          <w:bCs/>
          <w:color w:val="000000"/>
          <w:sz w:val="20"/>
          <w:szCs w:val="20"/>
          <w:shd w:val="clear" w:color="auto" w:fill="FFFFFF"/>
        </w:rPr>
        <w:t>Proceeds from Sales, Gross Gains (Losses) from Sales and Credit Losses for AFS Fixed Maturities</w:t>
      </w:r>
    </w:p>
    <w:p w:rsidR="00000000" w:rsidRDefault="00897B14">
      <w:pPr>
        <w:divId w:val="176648995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696"/>
        <w:gridCol w:w="36"/>
        <w:gridCol w:w="120"/>
        <w:gridCol w:w="865"/>
        <w:gridCol w:w="36"/>
        <w:gridCol w:w="36"/>
        <w:gridCol w:w="36"/>
        <w:gridCol w:w="36"/>
        <w:gridCol w:w="120"/>
        <w:gridCol w:w="821"/>
        <w:gridCol w:w="36"/>
        <w:gridCol w:w="36"/>
        <w:gridCol w:w="36"/>
        <w:gridCol w:w="36"/>
        <w:gridCol w:w="120"/>
        <w:gridCol w:w="843"/>
        <w:gridCol w:w="36"/>
        <w:gridCol w:w="36"/>
        <w:gridCol w:w="36"/>
        <w:gridCol w:w="36"/>
        <w:gridCol w:w="120"/>
        <w:gridCol w:w="844"/>
        <w:gridCol w:w="36"/>
        <w:gridCol w:w="36"/>
        <w:gridCol w:w="36"/>
        <w:gridCol w:w="36"/>
        <w:gridCol w:w="36"/>
        <w:gridCol w:w="36"/>
        <w:gridCol w:w="36"/>
      </w:tblGrid>
      <w:tr w:rsidR="00000000">
        <w:trPr>
          <w:divId w:val="272590004"/>
        </w:trPr>
        <w:tc>
          <w:tcPr>
            <w:tcW w:w="50" w:type="pct"/>
            <w:vAlign w:val="center"/>
            <w:hideMark/>
          </w:tcPr>
          <w:p w:rsidR="00000000" w:rsidRDefault="00897B14">
            <w:pPr>
              <w:rPr>
                <w:rFonts w:eastAsia="Times New Roman"/>
              </w:rPr>
            </w:pPr>
          </w:p>
        </w:tc>
        <w:tc>
          <w:tcPr>
            <w:tcW w:w="23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72590004"/>
        </w:trPr>
        <w:tc>
          <w:tcPr>
            <w:tcW w:w="0" w:type="auto"/>
            <w:gridSpan w:val="3"/>
            <w:tcMar>
              <w:top w:w="30" w:type="dxa"/>
              <w:left w:w="20" w:type="dxa"/>
              <w:bottom w:w="30" w:type="dxa"/>
              <w:right w:w="20" w:type="dxa"/>
            </w:tcMar>
            <w:vAlign w:val="bottom"/>
            <w:hideMark/>
          </w:tcPr>
          <w:p w:rsidR="00000000" w:rsidRDefault="00897B14">
            <w:pPr>
              <w:spacing w:after="100"/>
              <w:divId w:val="600838381"/>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72590004"/>
        </w:trPr>
        <w:tc>
          <w:tcPr>
            <w:tcW w:w="0" w:type="auto"/>
            <w:gridSpan w:val="3"/>
            <w:tcMar>
              <w:top w:w="30" w:type="dxa"/>
              <w:left w:w="20" w:type="dxa"/>
              <w:bottom w:w="30" w:type="dxa"/>
              <w:right w:w="20" w:type="dxa"/>
            </w:tcMar>
            <w:vAlign w:val="bottom"/>
            <w:hideMark/>
          </w:tcPr>
          <w:p w:rsidR="00000000" w:rsidRDefault="00897B14">
            <w:pPr>
              <w:spacing w:after="100"/>
              <w:divId w:val="1934507206"/>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72590004"/>
        </w:trPr>
        <w:tc>
          <w:tcPr>
            <w:tcW w:w="0" w:type="auto"/>
            <w:gridSpan w:val="3"/>
            <w:tcMar>
              <w:top w:w="30" w:type="dxa"/>
              <w:left w:w="20" w:type="dxa"/>
              <w:bottom w:w="30" w:type="dxa"/>
              <w:right w:w="20" w:type="dxa"/>
            </w:tcMar>
            <w:vAlign w:val="bottom"/>
            <w:hideMark/>
          </w:tcPr>
          <w:p w:rsidR="00000000" w:rsidRDefault="00897B14">
            <w:pPr>
              <w:spacing w:after="100"/>
              <w:divId w:val="235943400"/>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72590004"/>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Proceeds from sales</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9,866</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2,947 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17,075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4,767 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72590004"/>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Gross gains on sales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72590004"/>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Gross losses on sales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72590004"/>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72590004"/>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Credit losses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965499754"/>
        <w:rPr>
          <w:rFonts w:eastAsia="Times New Roman"/>
        </w:rPr>
      </w:pPr>
    </w:p>
    <w:p w:rsidR="00000000" w:rsidRDefault="00897B14">
      <w:pPr>
        <w:divId w:val="1539974414"/>
        <w:rPr>
          <w:rFonts w:eastAsia="Times New Roman"/>
        </w:rPr>
      </w:pPr>
    </w:p>
    <w:p w:rsidR="00000000" w:rsidRDefault="00897B14">
      <w:pPr>
        <w:divId w:val="370761450"/>
        <w:rPr>
          <w:rFonts w:eastAsia="Times New Roman"/>
        </w:rPr>
      </w:pPr>
      <w:r>
        <w:rPr>
          <w:rFonts w:eastAsia="Times New Roman"/>
          <w:color w:val="000000"/>
          <w:sz w:val="20"/>
          <w:szCs w:val="20"/>
        </w:rPr>
        <w:t>The following table sets forth the amount of credit loss impairments on AFS fixed maturities held by th</w:t>
      </w:r>
      <w:r>
        <w:rPr>
          <w:rFonts w:eastAsia="Times New Roman"/>
          <w:color w:val="000000"/>
          <w:sz w:val="20"/>
          <w:szCs w:val="20"/>
        </w:rPr>
        <w:t>e Company at the dates indicated and the corresponding changes in such amounts.</w:t>
      </w:r>
    </w:p>
    <w:p w:rsidR="00000000" w:rsidRDefault="00897B14">
      <w:pPr>
        <w:jc w:val="center"/>
        <w:rPr>
          <w:rFonts w:eastAsia="Times New Roman"/>
        </w:rPr>
      </w:pPr>
      <w:r>
        <w:rPr>
          <w:rFonts w:eastAsia="Times New Roman"/>
          <w:b/>
          <w:bCs/>
          <w:color w:val="000000"/>
          <w:sz w:val="20"/>
          <w:szCs w:val="20"/>
        </w:rPr>
        <w:t>AFS Fixed Maturities - Credit Loss Impairments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3848"/>
        <w:gridCol w:w="37"/>
        <w:gridCol w:w="120"/>
        <w:gridCol w:w="883"/>
        <w:gridCol w:w="36"/>
        <w:gridCol w:w="36"/>
        <w:gridCol w:w="36"/>
        <w:gridCol w:w="36"/>
        <w:gridCol w:w="120"/>
        <w:gridCol w:w="833"/>
        <w:gridCol w:w="36"/>
        <w:gridCol w:w="36"/>
        <w:gridCol w:w="36"/>
        <w:gridCol w:w="36"/>
        <w:gridCol w:w="120"/>
        <w:gridCol w:w="884"/>
        <w:gridCol w:w="36"/>
        <w:gridCol w:w="36"/>
        <w:gridCol w:w="36"/>
        <w:gridCol w:w="36"/>
        <w:gridCol w:w="120"/>
        <w:gridCol w:w="835"/>
        <w:gridCol w:w="36"/>
      </w:tblGrid>
      <w:tr w:rsidR="00000000">
        <w:trPr>
          <w:divId w:val="954098490"/>
        </w:trPr>
        <w:tc>
          <w:tcPr>
            <w:tcW w:w="50" w:type="pct"/>
            <w:vAlign w:val="center"/>
            <w:hideMark/>
          </w:tcPr>
          <w:p w:rsidR="00000000" w:rsidRDefault="00897B14">
            <w:pPr>
              <w:jc w:val="center"/>
              <w:rPr>
                <w:rFonts w:eastAsia="Times New Roman"/>
              </w:rPr>
            </w:pPr>
          </w:p>
        </w:tc>
        <w:tc>
          <w:tcPr>
            <w:tcW w:w="235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95409849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r>
      <w:tr w:rsidR="00000000">
        <w:trPr>
          <w:divId w:val="95409849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95409849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954098490"/>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beginning of period</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54098490"/>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Previously recognized impairments on securities that matured, paid, prepaid or sold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540984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Recognized impairments on securities impaired to fair value this period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54098490"/>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54098490"/>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Additional credit losses this period on securities previously impaired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54098490"/>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Increases due to passage of time on previously recorded credit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54098490"/>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54098490"/>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at June 30,</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540"/>
        <w:divId w:val="1439522798"/>
        <w:rPr>
          <w:rFonts w:eastAsia="Times New Roman"/>
        </w:rPr>
      </w:pPr>
      <w:r>
        <w:rPr>
          <w:rFonts w:eastAsia="Times New Roman"/>
          <w:color w:val="000000"/>
          <w:sz w:val="18"/>
          <w:szCs w:val="18"/>
        </w:rPr>
        <w:t>______________</w:t>
      </w:r>
    </w:p>
    <w:p w:rsidR="00000000" w:rsidRDefault="00897B14">
      <w:pPr>
        <w:ind w:hanging="270"/>
        <w:divId w:val="1345473294"/>
        <w:rPr>
          <w:rFonts w:eastAsia="Times New Roman"/>
        </w:rPr>
      </w:pPr>
      <w:r>
        <w:rPr>
          <w:rFonts w:eastAsia="Times New Roman"/>
          <w:color w:val="000000"/>
          <w:sz w:val="18"/>
          <w:szCs w:val="18"/>
        </w:rPr>
        <w:t xml:space="preserve">(1)Represents circumstances </w:t>
      </w:r>
      <w:r>
        <w:rPr>
          <w:rFonts w:eastAsia="Times New Roman"/>
          <w:color w:val="000000"/>
          <w:sz w:val="18"/>
          <w:szCs w:val="18"/>
        </w:rPr>
        <w:t>where the Company determined in the current period that it intends to sell the security, or it is more likely than not that it will be required to sell the security before recovery of the security’s amortized cost.</w:t>
      </w:r>
    </w:p>
    <w:p w:rsidR="00000000" w:rsidRDefault="00897B14">
      <w:pPr>
        <w:divId w:val="1968663624"/>
        <w:rPr>
          <w:rFonts w:eastAsia="Times New Roman"/>
        </w:rPr>
      </w:pPr>
      <w:r>
        <w:rPr>
          <w:rFonts w:eastAsia="Times New Roman"/>
          <w:color w:val="000000"/>
          <w:sz w:val="20"/>
          <w:szCs w:val="20"/>
        </w:rPr>
        <w:t>The tables that follow below present a ro</w:t>
      </w:r>
      <w:r>
        <w:rPr>
          <w:rFonts w:eastAsia="Times New Roman"/>
          <w:color w:val="000000"/>
          <w:sz w:val="20"/>
          <w:szCs w:val="20"/>
        </w:rPr>
        <w:t>ll-forward of net unrealized investment gains (losses) recognized in AOCI.</w:t>
      </w:r>
    </w:p>
    <w:p w:rsidR="00000000" w:rsidRDefault="00897B14">
      <w:pPr>
        <w:jc w:val="center"/>
        <w:rPr>
          <w:rFonts w:eastAsia="Times New Roman"/>
        </w:rPr>
      </w:pPr>
      <w:r>
        <w:rPr>
          <w:rFonts w:eastAsia="Times New Roman"/>
          <w:b/>
          <w:bCs/>
          <w:color w:val="000000"/>
          <w:sz w:val="20"/>
          <w:szCs w:val="20"/>
        </w:rPr>
        <w:t>Net Unrealized Gains (Losses) on AFS Fixed Maturities</w:t>
      </w:r>
    </w:p>
    <w:tbl>
      <w:tblPr>
        <w:tblW w:w="4941" w:type="pct"/>
        <w:jc w:val="center"/>
        <w:tblCellMar>
          <w:top w:w="15" w:type="dxa"/>
          <w:left w:w="15" w:type="dxa"/>
          <w:bottom w:w="15" w:type="dxa"/>
          <w:right w:w="15" w:type="dxa"/>
        </w:tblCellMar>
        <w:tblLook w:val="04A0" w:firstRow="1" w:lastRow="0" w:firstColumn="1" w:lastColumn="0" w:noHBand="0" w:noVBand="1"/>
      </w:tblPr>
      <w:tblGrid>
        <w:gridCol w:w="39"/>
        <w:gridCol w:w="3349"/>
        <w:gridCol w:w="38"/>
        <w:gridCol w:w="121"/>
        <w:gridCol w:w="811"/>
        <w:gridCol w:w="36"/>
        <w:gridCol w:w="36"/>
        <w:gridCol w:w="36"/>
        <w:gridCol w:w="36"/>
        <w:gridCol w:w="120"/>
        <w:gridCol w:w="447"/>
        <w:gridCol w:w="36"/>
        <w:gridCol w:w="36"/>
        <w:gridCol w:w="36"/>
        <w:gridCol w:w="36"/>
        <w:gridCol w:w="121"/>
        <w:gridCol w:w="917"/>
        <w:gridCol w:w="36"/>
        <w:gridCol w:w="36"/>
        <w:gridCol w:w="36"/>
        <w:gridCol w:w="36"/>
        <w:gridCol w:w="121"/>
        <w:gridCol w:w="661"/>
        <w:gridCol w:w="36"/>
        <w:gridCol w:w="36"/>
        <w:gridCol w:w="36"/>
        <w:gridCol w:w="36"/>
        <w:gridCol w:w="121"/>
        <w:gridCol w:w="730"/>
        <w:gridCol w:w="36"/>
      </w:tblGrid>
      <w:tr w:rsidR="00000000">
        <w:trPr>
          <w:jc w:val="center"/>
        </w:trPr>
        <w:tc>
          <w:tcPr>
            <w:tcW w:w="50" w:type="pct"/>
            <w:vAlign w:val="center"/>
            <w:hideMark/>
          </w:tcPr>
          <w:p w:rsidR="00000000" w:rsidRDefault="00897B14">
            <w:pPr>
              <w:jc w:val="center"/>
              <w:rPr>
                <w:rFonts w:eastAsia="Times New Roman"/>
              </w:rPr>
            </w:pPr>
          </w:p>
        </w:tc>
        <w:tc>
          <w:tcPr>
            <w:tcW w:w="209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Policyholders’ </w:t>
            </w:r>
            <w:r>
              <w:rPr>
                <w:rFonts w:eastAsia="Times New Roman"/>
                <w:b/>
                <w:bCs/>
                <w:color w:val="000000"/>
                <w:sz w:val="16"/>
                <w:szCs w:val="16"/>
              </w:rPr>
              <w:t>Liabilities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April 1, 2021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(947)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Other </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Impact of net unrealized investment gains (losses)</w:t>
            </w: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(215)</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(106)</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(328)</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(649)</w:t>
            </w:r>
          </w:p>
        </w:tc>
        <w:tc>
          <w:tcPr>
            <w:tcW w:w="0" w:type="auto"/>
            <w:tcBorders>
              <w:bottom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divId w:val="804665306"/>
        <w:rPr>
          <w:rFonts w:eastAsia="Times New Roman"/>
        </w:rPr>
      </w:pPr>
    </w:p>
    <w:p w:rsidR="00000000" w:rsidRDefault="00897B14">
      <w:pPr>
        <w:jc w:val="center"/>
        <w:divId w:val="804665306"/>
        <w:rPr>
          <w:rFonts w:eastAsia="Times New Roman"/>
        </w:rPr>
      </w:pPr>
      <w:r>
        <w:rPr>
          <w:rFonts w:eastAsia="Times New Roman"/>
          <w:color w:val="000000"/>
          <w:sz w:val="20"/>
          <w:szCs w:val="20"/>
        </w:rPr>
        <w:t>21</w:t>
      </w:r>
    </w:p>
    <w:p w:rsidR="00000000" w:rsidRDefault="00897B14">
      <w:pPr>
        <w:rPr>
          <w:rFonts w:eastAsia="Times New Roman"/>
        </w:rPr>
      </w:pPr>
      <w:r>
        <w:rPr>
          <w:rFonts w:eastAsia="Times New Roman"/>
        </w:rPr>
        <w:pict>
          <v:rect id="_x0000_i1047" style="width:0;height:1.5pt" o:hralign="center" o:hrstd="t" o:hr="t" fillcolor="#a0a0a0" stroked="f"/>
        </w:pict>
      </w:r>
    </w:p>
    <w:p w:rsidR="00000000" w:rsidRDefault="00897B14">
      <w:pPr>
        <w:divId w:val="960066940"/>
        <w:rPr>
          <w:rFonts w:eastAsia="Times New Roman"/>
        </w:rPr>
      </w:pPr>
      <w:r>
        <w:rPr>
          <w:rFonts w:eastAsia="Times New Roman"/>
          <w:b/>
          <w:bCs/>
          <w:color w:val="0000FF"/>
          <w:sz w:val="20"/>
          <w:szCs w:val="20"/>
          <w:u w:val="single"/>
        </w:rPr>
        <w:t>Table of Contents</w:t>
      </w:r>
    </w:p>
    <w:p w:rsidR="00000000" w:rsidRDefault="00897B14">
      <w:pPr>
        <w:jc w:val="center"/>
        <w:divId w:val="1144859060"/>
        <w:rPr>
          <w:rFonts w:eastAsia="Times New Roman"/>
        </w:rPr>
      </w:pPr>
      <w:r>
        <w:rPr>
          <w:rFonts w:eastAsia="Times New Roman"/>
          <w:b/>
          <w:bCs/>
          <w:color w:val="000000"/>
          <w:sz w:val="20"/>
          <w:szCs w:val="20"/>
        </w:rPr>
        <w:t>EQUITABLE HOLDINGS, INC.</w:t>
      </w:r>
    </w:p>
    <w:p w:rsidR="00000000" w:rsidRDefault="00897B14">
      <w:pPr>
        <w:jc w:val="center"/>
        <w:divId w:val="1144859060"/>
        <w:rPr>
          <w:rFonts w:eastAsia="Times New Roman"/>
        </w:rPr>
      </w:pPr>
      <w:r>
        <w:rPr>
          <w:rFonts w:eastAsia="Times New Roman"/>
          <w:b/>
          <w:bCs/>
          <w:color w:val="000000"/>
          <w:sz w:val="20"/>
          <w:szCs w:val="20"/>
        </w:rPr>
        <w:t>Notes to Consolidated Financial Statements (Unaudited), Continued</w:t>
      </w:r>
    </w:p>
    <w:p w:rsidR="00000000" w:rsidRDefault="00897B14">
      <w:pPr>
        <w:divId w:val="1320618360"/>
        <w:rPr>
          <w:rFonts w:eastAsia="Times New Roman"/>
        </w:rPr>
      </w:pPr>
    </w:p>
    <w:tbl>
      <w:tblPr>
        <w:tblW w:w="4941" w:type="pct"/>
        <w:jc w:val="center"/>
        <w:tblCellMar>
          <w:top w:w="15" w:type="dxa"/>
          <w:left w:w="15" w:type="dxa"/>
          <w:bottom w:w="15" w:type="dxa"/>
          <w:right w:w="15" w:type="dxa"/>
        </w:tblCellMar>
        <w:tblLook w:val="04A0" w:firstRow="1" w:lastRow="0" w:firstColumn="1" w:lastColumn="0" w:noHBand="0" w:noVBand="1"/>
      </w:tblPr>
      <w:tblGrid>
        <w:gridCol w:w="38"/>
        <w:gridCol w:w="3317"/>
        <w:gridCol w:w="37"/>
        <w:gridCol w:w="121"/>
        <w:gridCol w:w="786"/>
        <w:gridCol w:w="36"/>
        <w:gridCol w:w="36"/>
        <w:gridCol w:w="36"/>
        <w:gridCol w:w="36"/>
        <w:gridCol w:w="120"/>
        <w:gridCol w:w="584"/>
        <w:gridCol w:w="36"/>
        <w:gridCol w:w="36"/>
        <w:gridCol w:w="36"/>
        <w:gridCol w:w="36"/>
        <w:gridCol w:w="121"/>
        <w:gridCol w:w="917"/>
        <w:gridCol w:w="36"/>
        <w:gridCol w:w="36"/>
        <w:gridCol w:w="36"/>
        <w:gridCol w:w="36"/>
        <w:gridCol w:w="120"/>
        <w:gridCol w:w="584"/>
        <w:gridCol w:w="36"/>
        <w:gridCol w:w="36"/>
        <w:gridCol w:w="36"/>
        <w:gridCol w:w="36"/>
        <w:gridCol w:w="121"/>
        <w:gridCol w:w="730"/>
        <w:gridCol w:w="36"/>
      </w:tblGrid>
      <w:tr w:rsidR="00000000">
        <w:trPr>
          <w:jc w:val="center"/>
        </w:trPr>
        <w:tc>
          <w:tcPr>
            <w:tcW w:w="50" w:type="pct"/>
            <w:vAlign w:val="center"/>
            <w:hideMark/>
          </w:tcPr>
          <w:p w:rsidR="00000000" w:rsidRDefault="00897B14">
            <w:pPr>
              <w:rPr>
                <w:rFonts w:eastAsia="Times New Roman"/>
              </w:rPr>
            </w:pPr>
          </w:p>
        </w:tc>
        <w:tc>
          <w:tcPr>
            <w:tcW w:w="209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DAC</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Policyholders’ Liabilities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5,352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(1,162)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2,984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5,361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(1,165)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2,988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April 1, 2020</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5,306 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3,185 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3,614 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3,614 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(682)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Net unrealized investment gains (losses) with credit losses </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(1,297)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4,876 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trHeight w:val="6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bl>
    <w:p w:rsidR="00000000" w:rsidRDefault="00897B14">
      <w:pPr>
        <w:divId w:val="5985594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42"/>
        <w:gridCol w:w="38"/>
        <w:gridCol w:w="121"/>
        <w:gridCol w:w="785"/>
        <w:gridCol w:w="36"/>
        <w:gridCol w:w="36"/>
        <w:gridCol w:w="36"/>
        <w:gridCol w:w="36"/>
        <w:gridCol w:w="120"/>
        <w:gridCol w:w="650"/>
        <w:gridCol w:w="36"/>
        <w:gridCol w:w="36"/>
        <w:gridCol w:w="36"/>
        <w:gridCol w:w="36"/>
        <w:gridCol w:w="121"/>
        <w:gridCol w:w="918"/>
        <w:gridCol w:w="36"/>
        <w:gridCol w:w="36"/>
        <w:gridCol w:w="36"/>
        <w:gridCol w:w="36"/>
        <w:gridCol w:w="120"/>
        <w:gridCol w:w="584"/>
        <w:gridCol w:w="36"/>
        <w:gridCol w:w="36"/>
        <w:gridCol w:w="36"/>
        <w:gridCol w:w="36"/>
        <w:gridCol w:w="121"/>
        <w:gridCol w:w="935"/>
        <w:gridCol w:w="36"/>
      </w:tblGrid>
      <w:tr w:rsidR="00000000">
        <w:trPr>
          <w:divId w:val="109474841"/>
        </w:trPr>
        <w:tc>
          <w:tcPr>
            <w:tcW w:w="50" w:type="pct"/>
            <w:vAlign w:val="center"/>
            <w:hideMark/>
          </w:tcPr>
          <w:p w:rsidR="00000000" w:rsidRDefault="00897B14">
            <w:pPr>
              <w:rPr>
                <w:rFonts w:eastAsia="Times New Roman"/>
              </w:rPr>
            </w:pPr>
          </w:p>
        </w:tc>
        <w:tc>
          <w:tcPr>
            <w:tcW w:w="19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09474841"/>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DAC</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Policyholders’ Liabilities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AOCI </w:t>
            </w:r>
            <w:r>
              <w:rPr>
                <w:rFonts w:eastAsia="Times New Roman"/>
                <w:b/>
                <w:bCs/>
                <w:color w:val="000000"/>
                <w:sz w:val="16"/>
                <w:szCs w:val="16"/>
              </w:rPr>
              <w:t>Gain (Loss) Related to Net Unrealized Investment Gains (Losses)</w:t>
            </w:r>
          </w:p>
        </w:tc>
      </w:tr>
      <w:tr w:rsidR="00000000">
        <w:trPr>
          <w:divId w:val="109474841"/>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0947484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8,811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(1,065)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(1,302)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(2,836)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(2,836)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09474841"/>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5,361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(1,165)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2,988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Height w:val="30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0947484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3,453 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(497)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5,536 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5,536 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0947484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0947484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Impact of net unrealized investment gains (losses)</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(629)</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(846)</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(801)</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(2,276)</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divId w:val="2122795880"/>
        <w:rPr>
          <w:rFonts w:eastAsia="Times New Roman"/>
        </w:rPr>
      </w:pPr>
    </w:p>
    <w:p w:rsidR="00000000" w:rsidRDefault="00897B14">
      <w:pPr>
        <w:jc w:val="center"/>
        <w:divId w:val="2122795880"/>
        <w:rPr>
          <w:rFonts w:eastAsia="Times New Roman"/>
        </w:rPr>
      </w:pPr>
      <w:r>
        <w:rPr>
          <w:rFonts w:eastAsia="Times New Roman"/>
          <w:color w:val="000000"/>
          <w:sz w:val="20"/>
          <w:szCs w:val="20"/>
        </w:rPr>
        <w:t>22</w:t>
      </w:r>
    </w:p>
    <w:p w:rsidR="00000000" w:rsidRDefault="00897B14">
      <w:pPr>
        <w:rPr>
          <w:rFonts w:eastAsia="Times New Roman"/>
        </w:rPr>
      </w:pPr>
      <w:r>
        <w:rPr>
          <w:rFonts w:eastAsia="Times New Roman"/>
        </w:rPr>
        <w:pict>
          <v:rect id="_x0000_i1048" style="width:0;height:1.5pt" o:hralign="center" o:hrstd="t" o:hr="t" fillcolor="#a0a0a0" stroked="f"/>
        </w:pict>
      </w:r>
    </w:p>
    <w:p w:rsidR="00000000" w:rsidRDefault="00897B14">
      <w:pPr>
        <w:divId w:val="627974503"/>
        <w:rPr>
          <w:rFonts w:eastAsia="Times New Roman"/>
        </w:rPr>
      </w:pPr>
      <w:r>
        <w:rPr>
          <w:rFonts w:eastAsia="Times New Roman"/>
          <w:b/>
          <w:bCs/>
          <w:color w:val="0000FF"/>
          <w:sz w:val="20"/>
          <w:szCs w:val="20"/>
          <w:u w:val="single"/>
        </w:rPr>
        <w:t>Table of Contents</w:t>
      </w:r>
    </w:p>
    <w:p w:rsidR="00000000" w:rsidRDefault="00897B14">
      <w:pPr>
        <w:jc w:val="center"/>
        <w:divId w:val="1296793219"/>
        <w:rPr>
          <w:rFonts w:eastAsia="Times New Roman"/>
        </w:rPr>
      </w:pPr>
      <w:r>
        <w:rPr>
          <w:rFonts w:eastAsia="Times New Roman"/>
          <w:b/>
          <w:bCs/>
          <w:color w:val="000000"/>
          <w:sz w:val="20"/>
          <w:szCs w:val="20"/>
        </w:rPr>
        <w:t>EQUITABLE HOLDINGS, INC.</w:t>
      </w:r>
    </w:p>
    <w:p w:rsidR="00000000" w:rsidRDefault="00897B14">
      <w:pPr>
        <w:jc w:val="center"/>
        <w:divId w:val="1296793219"/>
        <w:rPr>
          <w:rFonts w:eastAsia="Times New Roman"/>
        </w:rPr>
      </w:pPr>
      <w:r>
        <w:rPr>
          <w:rFonts w:eastAsia="Times New Roman"/>
          <w:b/>
          <w:bCs/>
          <w:color w:val="000000"/>
          <w:sz w:val="20"/>
          <w:szCs w:val="20"/>
        </w:rPr>
        <w:t>Notes to Consolidated Financial Statements (Unaud</w:t>
      </w:r>
      <w:r>
        <w:rPr>
          <w:rFonts w:eastAsia="Times New Roman"/>
          <w:b/>
          <w:bCs/>
          <w:color w:val="000000"/>
          <w:sz w:val="20"/>
          <w:szCs w:val="20"/>
        </w:rPr>
        <w:t>ited), Continued</w:t>
      </w:r>
    </w:p>
    <w:p w:rsidR="00000000" w:rsidRDefault="00897B14">
      <w:pPr>
        <w:divId w:val="184990054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216"/>
        <w:gridCol w:w="36"/>
        <w:gridCol w:w="120"/>
        <w:gridCol w:w="828"/>
        <w:gridCol w:w="36"/>
        <w:gridCol w:w="36"/>
        <w:gridCol w:w="36"/>
        <w:gridCol w:w="36"/>
        <w:gridCol w:w="120"/>
        <w:gridCol w:w="722"/>
        <w:gridCol w:w="36"/>
        <w:gridCol w:w="36"/>
        <w:gridCol w:w="36"/>
        <w:gridCol w:w="36"/>
        <w:gridCol w:w="120"/>
        <w:gridCol w:w="747"/>
        <w:gridCol w:w="36"/>
        <w:gridCol w:w="36"/>
        <w:gridCol w:w="36"/>
        <w:gridCol w:w="36"/>
        <w:gridCol w:w="120"/>
        <w:gridCol w:w="722"/>
        <w:gridCol w:w="36"/>
        <w:gridCol w:w="36"/>
        <w:gridCol w:w="36"/>
        <w:gridCol w:w="36"/>
        <w:gridCol w:w="120"/>
        <w:gridCol w:w="786"/>
        <w:gridCol w:w="36"/>
      </w:tblGrid>
      <w:tr w:rsidR="00000000">
        <w:trPr>
          <w:divId w:val="2116054387"/>
        </w:trPr>
        <w:tc>
          <w:tcPr>
            <w:tcW w:w="50" w:type="pct"/>
            <w:vAlign w:val="center"/>
            <w:hideMark/>
          </w:tcPr>
          <w:p w:rsidR="00000000" w:rsidRDefault="00897B14">
            <w:pPr>
              <w:rPr>
                <w:rFonts w:eastAsia="Times New Roman"/>
              </w:rPr>
            </w:pPr>
          </w:p>
        </w:tc>
        <w:tc>
          <w:tcPr>
            <w:tcW w:w="19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211605438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11605438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11605438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8,728 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(1,034)</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(1,297)</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4,876 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186532216"/>
        <w:rPr>
          <w:rFonts w:eastAsia="Times New Roman"/>
        </w:rPr>
      </w:pPr>
      <w:r>
        <w:rPr>
          <w:rFonts w:eastAsia="Times New Roman"/>
          <w:color w:val="000000"/>
          <w:sz w:val="18"/>
          <w:szCs w:val="18"/>
        </w:rPr>
        <w:t>______________</w:t>
      </w:r>
    </w:p>
    <w:p w:rsidR="00000000" w:rsidRDefault="00897B14">
      <w:pPr>
        <w:ind w:hanging="270"/>
        <w:divId w:val="857937393"/>
        <w:rPr>
          <w:rFonts w:eastAsia="Times New Roman"/>
        </w:rPr>
      </w:pPr>
      <w:r>
        <w:rPr>
          <w:rFonts w:eastAsia="Times New Roman"/>
          <w:color w:val="000000"/>
          <w:sz w:val="18"/>
          <w:szCs w:val="18"/>
        </w:rPr>
        <w:t>(1)</w:t>
      </w:r>
      <w:r>
        <w:rPr>
          <w:rFonts w:eastAsia="Times New Roman"/>
          <w:color w:val="000000"/>
          <w:sz w:val="18"/>
          <w:szCs w:val="18"/>
        </w:rPr>
        <w:t>Effective January 1, 2021, certain preferred stock have been reclassified to other equity investments (see Note 2 Significant Accounting Policies – Investments).</w:t>
      </w:r>
    </w:p>
    <w:p w:rsidR="00000000" w:rsidRDefault="00897B14">
      <w:pPr>
        <w:divId w:val="1326131291"/>
        <w:rPr>
          <w:rFonts w:eastAsia="Times New Roman"/>
        </w:rPr>
      </w:pPr>
      <w:r>
        <w:rPr>
          <w:rFonts w:eastAsia="Times New Roman"/>
          <w:color w:val="000000"/>
          <w:sz w:val="20"/>
          <w:szCs w:val="20"/>
        </w:rPr>
        <w:t xml:space="preserve">The following tables disclose the fair values and gross unrealized losses of the 1,086 issues </w:t>
      </w:r>
      <w:r>
        <w:rPr>
          <w:rFonts w:eastAsia="Times New Roman"/>
          <w:color w:val="000000"/>
          <w:sz w:val="20"/>
          <w:szCs w:val="20"/>
        </w:rPr>
        <w:t>as of June 30, 2021 and the 565 issues as of December 31, 2020 that are not deemed to have credit losses, aggregated by investment category and length of time that individual securities have been in a continuous unrealized loss position for the specified p</w:t>
      </w:r>
      <w:r>
        <w:rPr>
          <w:rFonts w:eastAsia="Times New Roman"/>
          <w:color w:val="000000"/>
          <w:sz w:val="20"/>
          <w:szCs w:val="20"/>
        </w:rPr>
        <w:t xml:space="preserve">eriods at the dates indicated. </w:t>
      </w:r>
    </w:p>
    <w:p w:rsidR="00000000" w:rsidRDefault="00897B14">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1"/>
        <w:gridCol w:w="2940"/>
        <w:gridCol w:w="40"/>
        <w:gridCol w:w="121"/>
        <w:gridCol w:w="648"/>
        <w:gridCol w:w="37"/>
        <w:gridCol w:w="37"/>
        <w:gridCol w:w="38"/>
        <w:gridCol w:w="36"/>
        <w:gridCol w:w="120"/>
        <w:gridCol w:w="647"/>
        <w:gridCol w:w="36"/>
        <w:gridCol w:w="36"/>
        <w:gridCol w:w="36"/>
        <w:gridCol w:w="36"/>
        <w:gridCol w:w="121"/>
        <w:gridCol w:w="640"/>
        <w:gridCol w:w="37"/>
        <w:gridCol w:w="37"/>
        <w:gridCol w:w="38"/>
        <w:gridCol w:w="36"/>
        <w:gridCol w:w="120"/>
        <w:gridCol w:w="639"/>
        <w:gridCol w:w="36"/>
        <w:gridCol w:w="36"/>
        <w:gridCol w:w="36"/>
        <w:gridCol w:w="36"/>
        <w:gridCol w:w="120"/>
        <w:gridCol w:w="526"/>
        <w:gridCol w:w="36"/>
        <w:gridCol w:w="36"/>
        <w:gridCol w:w="36"/>
        <w:gridCol w:w="36"/>
        <w:gridCol w:w="121"/>
        <w:gridCol w:w="698"/>
        <w:gridCol w:w="36"/>
      </w:tblGrid>
      <w:tr w:rsidR="00000000">
        <w:trPr>
          <w:divId w:val="1804496861"/>
        </w:trPr>
        <w:tc>
          <w:tcPr>
            <w:tcW w:w="50" w:type="pct"/>
            <w:vAlign w:val="center"/>
            <w:hideMark/>
          </w:tcPr>
          <w:p w:rsidR="00000000" w:rsidRDefault="00897B14">
            <w:pPr>
              <w:jc w:val="center"/>
              <w:rPr>
                <w:rFonts w:eastAsia="Times New Roman"/>
              </w:rPr>
            </w:pPr>
          </w:p>
        </w:tc>
        <w:tc>
          <w:tcPr>
            <w:tcW w:w="182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180449686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Losses</w:t>
            </w:r>
          </w:p>
        </w:tc>
      </w:tr>
      <w:tr w:rsidR="00000000">
        <w:trPr>
          <w:divId w:val="180449686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804496861"/>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at June 30,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8,166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8,517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Height w:val="22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December 31, 2020: (1)</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2,990 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3,327 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4496861"/>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0449686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at December 31,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4,890 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504979993"/>
        <w:rPr>
          <w:rFonts w:eastAsia="Times New Roman"/>
        </w:rPr>
      </w:pPr>
      <w:r>
        <w:rPr>
          <w:rFonts w:eastAsia="Times New Roman"/>
          <w:color w:val="000000"/>
          <w:sz w:val="18"/>
          <w:szCs w:val="18"/>
        </w:rPr>
        <w:t>______________</w:t>
      </w:r>
    </w:p>
    <w:p w:rsidR="00000000" w:rsidRDefault="00897B14">
      <w:pPr>
        <w:ind w:hanging="270"/>
        <w:divId w:val="1938250465"/>
        <w:rPr>
          <w:rFonts w:eastAsia="Times New Roman"/>
        </w:rPr>
      </w:pPr>
      <w:r>
        <w:rPr>
          <w:rFonts w:eastAsia="Times New Roman"/>
          <w:color w:val="000000"/>
          <w:sz w:val="18"/>
          <w:szCs w:val="18"/>
        </w:rPr>
        <w:t>(1)Excludes amounts reclassified as HFS.</w:t>
      </w:r>
    </w:p>
    <w:p w:rsidR="00000000" w:rsidRDefault="00897B14">
      <w:pPr>
        <w:ind w:firstLine="90"/>
        <w:divId w:val="393939287"/>
        <w:rPr>
          <w:rFonts w:eastAsia="Times New Roman"/>
        </w:rPr>
      </w:pPr>
    </w:p>
    <w:p w:rsidR="00000000" w:rsidRDefault="00897B14">
      <w:pPr>
        <w:divId w:val="1662151234"/>
        <w:rPr>
          <w:rFonts w:eastAsia="Times New Roman"/>
        </w:rPr>
      </w:pPr>
      <w:r>
        <w:rPr>
          <w:rFonts w:eastAsia="Times New Roman"/>
          <w:color w:val="000000"/>
          <w:sz w:val="20"/>
          <w:szCs w:val="20"/>
        </w:rPr>
        <w:t>The Company’s investments in fixed maturities do not inclu</w:t>
      </w:r>
      <w:r>
        <w:rPr>
          <w:rFonts w:eastAsia="Times New Roman"/>
          <w:color w:val="000000"/>
          <w:sz w:val="20"/>
          <w:szCs w:val="20"/>
        </w:rPr>
        <w:t xml:space="preserve">de concentrations of credit risk of any single issuer greater than 10% of the consolidated equity of the Company, other than securities of the U.S. government, U.S. government agencies, and certain securities guaranteed by the U.S. government. The Company </w:t>
      </w:r>
      <w:r>
        <w:rPr>
          <w:rFonts w:eastAsia="Times New Roman"/>
          <w:color w:val="000000"/>
          <w:sz w:val="20"/>
          <w:szCs w:val="20"/>
        </w:rPr>
        <w:t>maintains a diversified portfolio of corporate securities across industries and issuers and does not have exposure to any single issuer in excess of 0.7% of total corporate securities. The largest exposures to a single issuer of corporate securities held a</w:t>
      </w:r>
      <w:r>
        <w:rPr>
          <w:rFonts w:eastAsia="Times New Roman"/>
          <w:color w:val="000000"/>
          <w:sz w:val="20"/>
          <w:szCs w:val="20"/>
        </w:rPr>
        <w:t>s of June 30, 2021 and December 31, 2020 were $344 million and $391 million, respectively, representing 2.6% and 2.3% of the consolidated equity of the Company.</w:t>
      </w:r>
    </w:p>
    <w:p w:rsidR="00000000" w:rsidRDefault="00897B14">
      <w:pPr>
        <w:divId w:val="304429048"/>
        <w:rPr>
          <w:rFonts w:eastAsia="Times New Roman"/>
        </w:rPr>
      </w:pPr>
      <w:r>
        <w:rPr>
          <w:rFonts w:eastAsia="Times New Roman"/>
          <w:color w:val="000000"/>
          <w:sz w:val="20"/>
          <w:szCs w:val="20"/>
        </w:rPr>
        <w:t>Corporate high yield securities, consisting primarily of public high yield bonds, are classifie</w:t>
      </w:r>
      <w:r>
        <w:rPr>
          <w:rFonts w:eastAsia="Times New Roman"/>
          <w:color w:val="000000"/>
          <w:sz w:val="20"/>
          <w:szCs w:val="20"/>
        </w:rPr>
        <w:t>d as other than investment grade by the various rating agencies, i.e., a rating below Baa3/BBB- or the NAIC designation of 3 (medium investment grade), 4 or 5 (below investment grade) or 6 (in or near default). As of June 30, 2021 and December 31, 2020, re</w:t>
      </w:r>
      <w:r>
        <w:rPr>
          <w:rFonts w:eastAsia="Times New Roman"/>
          <w:color w:val="000000"/>
          <w:sz w:val="20"/>
          <w:szCs w:val="20"/>
        </w:rPr>
        <w:t xml:space="preserve">spectively, approximately $2.7 billion and $2.5 billion, or 3.9% and 3.4%, of the $70.4 billion and $72.9 billion aggregate amortized cost of fixed maturities held by the Company were considered to be other than investment grade. </w:t>
      </w:r>
    </w:p>
    <w:p w:rsidR="00000000" w:rsidRDefault="00897B14">
      <w:pPr>
        <w:jc w:val="center"/>
        <w:divId w:val="1214469358"/>
        <w:rPr>
          <w:rFonts w:eastAsia="Times New Roman"/>
        </w:rPr>
      </w:pPr>
    </w:p>
    <w:p w:rsidR="00000000" w:rsidRDefault="00897B14">
      <w:pPr>
        <w:jc w:val="center"/>
        <w:divId w:val="1214469358"/>
        <w:rPr>
          <w:rFonts w:eastAsia="Times New Roman"/>
        </w:rPr>
      </w:pPr>
      <w:r>
        <w:rPr>
          <w:rFonts w:eastAsia="Times New Roman"/>
          <w:color w:val="000000"/>
          <w:sz w:val="20"/>
          <w:szCs w:val="20"/>
        </w:rPr>
        <w:t>23</w:t>
      </w:r>
    </w:p>
    <w:p w:rsidR="00000000" w:rsidRDefault="00897B14">
      <w:pPr>
        <w:rPr>
          <w:rFonts w:eastAsia="Times New Roman"/>
        </w:rPr>
      </w:pPr>
      <w:r>
        <w:rPr>
          <w:rFonts w:eastAsia="Times New Roman"/>
        </w:rPr>
        <w:pict>
          <v:rect id="_x0000_i1049" style="width:0;height:1.5pt" o:hralign="center" o:hrstd="t" o:hr="t" fillcolor="#a0a0a0" stroked="f"/>
        </w:pict>
      </w:r>
    </w:p>
    <w:p w:rsidR="00000000" w:rsidRDefault="00897B14">
      <w:pPr>
        <w:divId w:val="1030959076"/>
        <w:rPr>
          <w:rFonts w:eastAsia="Times New Roman"/>
        </w:rPr>
      </w:pPr>
      <w:r>
        <w:rPr>
          <w:rFonts w:eastAsia="Times New Roman"/>
          <w:b/>
          <w:bCs/>
          <w:color w:val="0000FF"/>
          <w:sz w:val="20"/>
          <w:szCs w:val="20"/>
          <w:u w:val="single"/>
        </w:rPr>
        <w:t>Table of Contents</w:t>
      </w:r>
    </w:p>
    <w:p w:rsidR="00000000" w:rsidRDefault="00897B14">
      <w:pPr>
        <w:jc w:val="center"/>
        <w:divId w:val="14775863"/>
        <w:rPr>
          <w:rFonts w:eastAsia="Times New Roman"/>
        </w:rPr>
      </w:pPr>
      <w:r>
        <w:rPr>
          <w:rFonts w:eastAsia="Times New Roman"/>
          <w:b/>
          <w:bCs/>
          <w:color w:val="000000"/>
          <w:sz w:val="20"/>
          <w:szCs w:val="20"/>
        </w:rPr>
        <w:t>EQUITABLE HOLDINGS, INC.</w:t>
      </w:r>
    </w:p>
    <w:p w:rsidR="00000000" w:rsidRDefault="00897B14">
      <w:pPr>
        <w:jc w:val="center"/>
        <w:divId w:val="14775863"/>
        <w:rPr>
          <w:rFonts w:eastAsia="Times New Roman"/>
        </w:rPr>
      </w:pPr>
      <w:r>
        <w:rPr>
          <w:rFonts w:eastAsia="Times New Roman"/>
          <w:b/>
          <w:bCs/>
          <w:color w:val="000000"/>
          <w:sz w:val="20"/>
          <w:szCs w:val="20"/>
        </w:rPr>
        <w:t>Notes to Consolidated Financial Statements (Unaudited), Continued</w:t>
      </w:r>
    </w:p>
    <w:p w:rsidR="00000000" w:rsidRDefault="00897B14">
      <w:pPr>
        <w:divId w:val="1498420796"/>
        <w:rPr>
          <w:rFonts w:eastAsia="Times New Roman"/>
        </w:rPr>
      </w:pPr>
    </w:p>
    <w:p w:rsidR="00000000" w:rsidRDefault="00897B14">
      <w:pPr>
        <w:divId w:val="933978772"/>
        <w:rPr>
          <w:rFonts w:eastAsia="Times New Roman"/>
        </w:rPr>
      </w:pPr>
      <w:r>
        <w:rPr>
          <w:rFonts w:eastAsia="Times New Roman"/>
          <w:color w:val="000000"/>
          <w:sz w:val="20"/>
          <w:szCs w:val="20"/>
        </w:rPr>
        <w:t>These securities had gross unrealized losses of $21 million and $49 million as of June 30, 2021 and December </w:t>
      </w:r>
      <w:r>
        <w:rPr>
          <w:rFonts w:eastAsia="Times New Roman"/>
          <w:color w:val="000000"/>
          <w:sz w:val="20"/>
          <w:szCs w:val="20"/>
        </w:rPr>
        <w:t>31, 2020, respectively.</w:t>
      </w:r>
    </w:p>
    <w:p w:rsidR="00000000" w:rsidRDefault="00897B14">
      <w:pPr>
        <w:divId w:val="1704865300"/>
        <w:rPr>
          <w:rFonts w:eastAsia="Times New Roman"/>
        </w:rPr>
      </w:pPr>
      <w:r>
        <w:rPr>
          <w:rFonts w:eastAsia="Times New Roman"/>
          <w:color w:val="000000"/>
          <w:sz w:val="20"/>
          <w:szCs w:val="20"/>
        </w:rPr>
        <w:t>As of June 30, 2021 and December 31, 2020, respectively, the $20 million and $40 million of gross unrealized losses of twelve months or more were primarily concentrated in corporate securities. In accordance with the policy describe</w:t>
      </w:r>
      <w:r>
        <w:rPr>
          <w:rFonts w:eastAsia="Times New Roman"/>
          <w:color w:val="000000"/>
          <w:sz w:val="20"/>
          <w:szCs w:val="20"/>
        </w:rPr>
        <w:t>d in Note 2, the Company concluded that an adjustment to allowance for credit losses for these securities was not warranted at either June 30, 2021 or December 31, 2020. As of June 30, 2021 and December 31, 2020, the Company did not intend to sell the secu</w:t>
      </w:r>
      <w:r>
        <w:rPr>
          <w:rFonts w:eastAsia="Times New Roman"/>
          <w:color w:val="000000"/>
          <w:sz w:val="20"/>
          <w:szCs w:val="20"/>
        </w:rPr>
        <w:t>rities nor will it likely be required to dispose of the securities before the anticipated recovery of their remaining amortized cost basis.</w:t>
      </w:r>
    </w:p>
    <w:p w:rsidR="00000000" w:rsidRDefault="00897B14">
      <w:pPr>
        <w:divId w:val="1560674839"/>
        <w:rPr>
          <w:rFonts w:eastAsia="Times New Roman"/>
        </w:rPr>
      </w:pPr>
      <w:r>
        <w:rPr>
          <w:rFonts w:eastAsia="Times New Roman"/>
          <w:color w:val="000000"/>
          <w:sz w:val="20"/>
          <w:szCs w:val="20"/>
        </w:rPr>
        <w:t xml:space="preserve">Based on the Company’s evaluation both qualitatively and quantitatively of the drivers of the decline in fair value </w:t>
      </w:r>
      <w:r>
        <w:rPr>
          <w:rFonts w:eastAsia="Times New Roman"/>
          <w:color w:val="000000"/>
          <w:sz w:val="20"/>
          <w:szCs w:val="20"/>
        </w:rPr>
        <w:t>of fixed maturity securities as of June 30, 2021, the Company determined that the unrealized loss was primarily due to increases in credit spreads and changes in credit ratings.</w:t>
      </w:r>
    </w:p>
    <w:p w:rsidR="00000000" w:rsidRDefault="00897B14">
      <w:pPr>
        <w:divId w:val="1076973023"/>
        <w:rPr>
          <w:rFonts w:eastAsia="Times New Roman"/>
        </w:rPr>
      </w:pPr>
      <w:r>
        <w:rPr>
          <w:rFonts w:eastAsia="Times New Roman"/>
          <w:color w:val="000000"/>
          <w:sz w:val="20"/>
          <w:szCs w:val="20"/>
          <w:u w:val="single"/>
        </w:rPr>
        <w:t>Mortgage Loans on Real Estate</w:t>
      </w:r>
    </w:p>
    <w:p w:rsidR="00000000" w:rsidRDefault="00897B14">
      <w:pPr>
        <w:divId w:val="264578680"/>
        <w:rPr>
          <w:rFonts w:eastAsia="Times New Roman"/>
        </w:rPr>
      </w:pPr>
      <w:r>
        <w:rPr>
          <w:rFonts w:eastAsia="Times New Roman"/>
          <w:color w:val="000000"/>
          <w:sz w:val="20"/>
          <w:szCs w:val="20"/>
        </w:rPr>
        <w:t>Accrued interest receivable on commercial and ag</w:t>
      </w:r>
      <w:r>
        <w:rPr>
          <w:rFonts w:eastAsia="Times New Roman"/>
          <w:color w:val="000000"/>
          <w:sz w:val="20"/>
          <w:szCs w:val="20"/>
        </w:rPr>
        <w:t>ricultural mortgage loans as of June 30, 2021 was $31 million and $27 million, respectively. There was no accrued interest written off for commercial and agricultural mortgage loans for the three and six months ended June 30, 2021.</w:t>
      </w:r>
    </w:p>
    <w:p w:rsidR="00000000" w:rsidRDefault="00897B14">
      <w:pPr>
        <w:divId w:val="1806048825"/>
        <w:rPr>
          <w:rFonts w:eastAsia="Times New Roman"/>
        </w:rPr>
      </w:pPr>
      <w:r>
        <w:rPr>
          <w:rFonts w:eastAsia="Times New Roman"/>
          <w:color w:val="000000"/>
          <w:sz w:val="20"/>
          <w:szCs w:val="20"/>
        </w:rPr>
        <w:t>As of June 30, 2021, the</w:t>
      </w:r>
      <w:r>
        <w:rPr>
          <w:rFonts w:eastAsia="Times New Roman"/>
          <w:color w:val="000000"/>
          <w:sz w:val="20"/>
          <w:szCs w:val="20"/>
        </w:rPr>
        <w:t xml:space="preserve"> Company had no loans for which foreclosure was probable included within the individually assessed mortgage loans, and accordingly had no associated allowance for credit losses.</w:t>
      </w:r>
    </w:p>
    <w:p w:rsidR="00000000" w:rsidRDefault="00897B14">
      <w:pPr>
        <w:divId w:val="261499400"/>
        <w:rPr>
          <w:rFonts w:eastAsia="Times New Roman"/>
        </w:rPr>
      </w:pPr>
      <w:r>
        <w:rPr>
          <w:rFonts w:eastAsia="Times New Roman"/>
          <w:color w:val="000000"/>
          <w:sz w:val="20"/>
          <w:szCs w:val="20"/>
          <w:u w:val="single"/>
        </w:rPr>
        <w:t>Allowance for Credit Losses on Mortgage Loans</w:t>
      </w:r>
    </w:p>
    <w:p w:rsidR="00000000" w:rsidRDefault="00897B14">
      <w:pPr>
        <w:divId w:val="30082812"/>
        <w:rPr>
          <w:rFonts w:eastAsia="Times New Roman"/>
        </w:rPr>
      </w:pPr>
      <w:r>
        <w:rPr>
          <w:rFonts w:eastAsia="Times New Roman"/>
          <w:color w:val="000000"/>
          <w:sz w:val="20"/>
          <w:szCs w:val="20"/>
        </w:rPr>
        <w:t>The change in the allowance for credit losses for commercial mortgage loans and agricultural mortgage loans during the three months and six months ended June 30, 2021 and 2020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642"/>
        <w:gridCol w:w="37"/>
        <w:gridCol w:w="121"/>
        <w:gridCol w:w="956"/>
        <w:gridCol w:w="37"/>
        <w:gridCol w:w="36"/>
        <w:gridCol w:w="36"/>
        <w:gridCol w:w="36"/>
        <w:gridCol w:w="120"/>
        <w:gridCol w:w="797"/>
        <w:gridCol w:w="36"/>
        <w:gridCol w:w="36"/>
        <w:gridCol w:w="36"/>
        <w:gridCol w:w="36"/>
        <w:gridCol w:w="120"/>
        <w:gridCol w:w="968"/>
        <w:gridCol w:w="36"/>
        <w:gridCol w:w="36"/>
        <w:gridCol w:w="36"/>
        <w:gridCol w:w="36"/>
        <w:gridCol w:w="120"/>
        <w:gridCol w:w="918"/>
        <w:gridCol w:w="36"/>
      </w:tblGrid>
      <w:tr w:rsidR="00000000">
        <w:trPr>
          <w:divId w:val="530336948"/>
        </w:trPr>
        <w:tc>
          <w:tcPr>
            <w:tcW w:w="50" w:type="pct"/>
            <w:vAlign w:val="center"/>
            <w:hideMark/>
          </w:tcPr>
          <w:p w:rsidR="00000000" w:rsidRDefault="00897B14">
            <w:pPr>
              <w:rPr>
                <w:rFonts w:eastAsia="Times New Roman"/>
              </w:rPr>
            </w:pPr>
          </w:p>
        </w:tc>
        <w:tc>
          <w:tcPr>
            <w:tcW w:w="223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53033694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r>
      <w:tr w:rsidR="00000000">
        <w:trPr>
          <w:divId w:val="530336948"/>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530336948"/>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30336948"/>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Allowance for credit losses on mortgage loans: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3033694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Commercial mortgages: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3033694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3033694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Agricultural mortgages: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3033694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beginning of period</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Current-period provision for expected credit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Write-offs charged against the allowance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Recoveries of amounts previously written off</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change in allowance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30336948"/>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3033694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allowance for credit losses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169831062"/>
        <w:rPr>
          <w:rFonts w:eastAsia="Times New Roman"/>
        </w:rPr>
      </w:pPr>
    </w:p>
    <w:p w:rsidR="00000000" w:rsidRDefault="00897B14">
      <w:pPr>
        <w:divId w:val="18045688"/>
        <w:rPr>
          <w:rFonts w:eastAsia="Times New Roman"/>
        </w:rPr>
      </w:pPr>
      <w:r>
        <w:rPr>
          <w:rFonts w:eastAsia="Times New Roman"/>
          <w:color w:val="000000"/>
          <w:sz w:val="20"/>
          <w:szCs w:val="20"/>
        </w:rPr>
        <w:t>The change in the allowance for credit losses is attributable to:</w:t>
      </w:r>
    </w:p>
    <w:p w:rsidR="00000000" w:rsidRDefault="00897B14">
      <w:pPr>
        <w:ind w:hanging="360"/>
        <w:jc w:val="both"/>
        <w:divId w:val="217130267"/>
        <w:rPr>
          <w:rFonts w:eastAsia="Times New Roman"/>
        </w:rPr>
      </w:pPr>
      <w:r>
        <w:rPr>
          <w:rFonts w:eastAsia="Times New Roman"/>
          <w:color w:val="000000"/>
          <w:sz w:val="20"/>
          <w:szCs w:val="20"/>
        </w:rPr>
        <w:t>•increases/decreases</w:t>
      </w:r>
      <w:r>
        <w:rPr>
          <w:rFonts w:eastAsia="Times New Roman"/>
          <w:color w:val="000000"/>
          <w:sz w:val="20"/>
          <w:szCs w:val="20"/>
        </w:rPr>
        <w:t xml:space="preserve"> in the loan balance due to new originations, maturing mortgages, and loan amortization;</w:t>
      </w:r>
    </w:p>
    <w:p w:rsidR="00000000" w:rsidRDefault="00897B14">
      <w:pPr>
        <w:ind w:hanging="360"/>
        <w:jc w:val="both"/>
        <w:divId w:val="230581397"/>
        <w:rPr>
          <w:rFonts w:eastAsia="Times New Roman"/>
        </w:rPr>
      </w:pPr>
      <w:r>
        <w:rPr>
          <w:rFonts w:eastAsia="Times New Roman"/>
          <w:color w:val="000000"/>
          <w:sz w:val="20"/>
          <w:szCs w:val="20"/>
        </w:rPr>
        <w:t>•changes in credit quality; and</w:t>
      </w:r>
    </w:p>
    <w:p w:rsidR="00000000" w:rsidRDefault="00897B14">
      <w:pPr>
        <w:ind w:hanging="360"/>
        <w:divId w:val="1051811085"/>
        <w:rPr>
          <w:rFonts w:eastAsia="Times New Roman"/>
        </w:rPr>
      </w:pPr>
      <w:r>
        <w:rPr>
          <w:rFonts w:eastAsia="Times New Roman"/>
          <w:color w:val="000000"/>
          <w:sz w:val="20"/>
          <w:szCs w:val="20"/>
        </w:rPr>
        <w:t>•changes in market assumptions primarily related to COVID-19 driven economic changes.</w:t>
      </w:r>
    </w:p>
    <w:p w:rsidR="00000000" w:rsidRDefault="00897B14">
      <w:pPr>
        <w:jc w:val="center"/>
        <w:divId w:val="1530071375"/>
        <w:rPr>
          <w:rFonts w:eastAsia="Times New Roman"/>
        </w:rPr>
      </w:pPr>
    </w:p>
    <w:p w:rsidR="00000000" w:rsidRDefault="00897B14">
      <w:pPr>
        <w:jc w:val="center"/>
        <w:divId w:val="1530071375"/>
        <w:rPr>
          <w:rFonts w:eastAsia="Times New Roman"/>
        </w:rPr>
      </w:pPr>
      <w:r>
        <w:rPr>
          <w:rFonts w:eastAsia="Times New Roman"/>
          <w:color w:val="000000"/>
          <w:sz w:val="20"/>
          <w:szCs w:val="20"/>
        </w:rPr>
        <w:t>24</w:t>
      </w:r>
    </w:p>
    <w:p w:rsidR="00000000" w:rsidRDefault="00897B14">
      <w:pPr>
        <w:rPr>
          <w:rFonts w:eastAsia="Times New Roman"/>
        </w:rPr>
      </w:pPr>
      <w:r>
        <w:rPr>
          <w:rFonts w:eastAsia="Times New Roman"/>
        </w:rPr>
        <w:pict>
          <v:rect id="_x0000_i1050" style="width:0;height:1.5pt" o:hralign="center" o:hrstd="t" o:hr="t" fillcolor="#a0a0a0" stroked="f"/>
        </w:pict>
      </w:r>
    </w:p>
    <w:p w:rsidR="00000000" w:rsidRDefault="00897B14">
      <w:pPr>
        <w:divId w:val="610942267"/>
        <w:rPr>
          <w:rFonts w:eastAsia="Times New Roman"/>
        </w:rPr>
      </w:pPr>
      <w:r>
        <w:rPr>
          <w:rFonts w:eastAsia="Times New Roman"/>
          <w:b/>
          <w:bCs/>
          <w:color w:val="0000FF"/>
          <w:sz w:val="20"/>
          <w:szCs w:val="20"/>
          <w:u w:val="single"/>
        </w:rPr>
        <w:t>Table of Contents</w:t>
      </w:r>
    </w:p>
    <w:p w:rsidR="00000000" w:rsidRDefault="00897B14">
      <w:pPr>
        <w:jc w:val="center"/>
        <w:divId w:val="619141877"/>
        <w:rPr>
          <w:rFonts w:eastAsia="Times New Roman"/>
        </w:rPr>
      </w:pPr>
      <w:r>
        <w:rPr>
          <w:rFonts w:eastAsia="Times New Roman"/>
          <w:b/>
          <w:bCs/>
          <w:color w:val="000000"/>
          <w:sz w:val="20"/>
          <w:szCs w:val="20"/>
        </w:rPr>
        <w:t>EQUITABLE HOLDINGS, INC.</w:t>
      </w:r>
    </w:p>
    <w:p w:rsidR="00000000" w:rsidRDefault="00897B14">
      <w:pPr>
        <w:jc w:val="center"/>
        <w:divId w:val="619141877"/>
        <w:rPr>
          <w:rFonts w:eastAsia="Times New Roman"/>
        </w:rPr>
      </w:pPr>
      <w:r>
        <w:rPr>
          <w:rFonts w:eastAsia="Times New Roman"/>
          <w:b/>
          <w:bCs/>
          <w:color w:val="000000"/>
          <w:sz w:val="20"/>
          <w:szCs w:val="20"/>
        </w:rPr>
        <w:t>Notes to Consolidated Financial Statements (Unaudited), Continued</w:t>
      </w:r>
    </w:p>
    <w:p w:rsidR="00000000" w:rsidRDefault="00897B14">
      <w:pPr>
        <w:divId w:val="680667974"/>
        <w:rPr>
          <w:rFonts w:eastAsia="Times New Roman"/>
        </w:rPr>
      </w:pPr>
    </w:p>
    <w:p w:rsidR="00000000" w:rsidRDefault="00897B14">
      <w:pPr>
        <w:divId w:val="272172326"/>
        <w:rPr>
          <w:rFonts w:eastAsia="Times New Roman"/>
        </w:rPr>
      </w:pPr>
      <w:r>
        <w:rPr>
          <w:rFonts w:eastAsia="Times New Roman"/>
          <w:color w:val="000000"/>
          <w:sz w:val="20"/>
          <w:szCs w:val="20"/>
          <w:u w:val="single"/>
        </w:rPr>
        <w:t>Credit Quality Information</w:t>
      </w:r>
    </w:p>
    <w:p w:rsidR="00000000" w:rsidRDefault="00897B14">
      <w:pPr>
        <w:divId w:val="304626257"/>
        <w:rPr>
          <w:rFonts w:eastAsia="Times New Roman"/>
        </w:rPr>
      </w:pPr>
      <w:r>
        <w:rPr>
          <w:rFonts w:eastAsia="Times New Roman"/>
          <w:color w:val="000000"/>
          <w:sz w:val="20"/>
          <w:szCs w:val="20"/>
        </w:rPr>
        <w:t>The following tables summarize the Company’s mortgage loans segregated by risk rating exposure as of June 30, 2021 and</w:t>
      </w:r>
      <w:r>
        <w:rPr>
          <w:rFonts w:eastAsia="Times New Roman"/>
          <w:color w:val="000000"/>
          <w:sz w:val="20"/>
          <w:szCs w:val="20"/>
        </w:rPr>
        <w:t xml:space="preserve"> December 31, 2020.</w:t>
      </w:r>
    </w:p>
    <w:p w:rsidR="00000000" w:rsidRDefault="00897B14">
      <w:pPr>
        <w:divId w:val="1315375182"/>
        <w:rPr>
          <w:rFonts w:eastAsia="Times New Roman"/>
        </w:rPr>
      </w:pPr>
    </w:p>
    <w:p w:rsidR="00000000" w:rsidRDefault="00897B14">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556282192"/>
          <w:jc w:val="center"/>
        </w:trPr>
        <w:tc>
          <w:tcPr>
            <w:tcW w:w="50" w:type="pct"/>
            <w:vAlign w:val="center"/>
            <w:hideMark/>
          </w:tcPr>
          <w:p w:rsidR="00000000" w:rsidRDefault="00897B14">
            <w:pPr>
              <w:jc w:val="center"/>
              <w:rPr>
                <w:rFonts w:eastAsia="Times New Roman"/>
              </w:rPr>
            </w:pPr>
          </w:p>
        </w:tc>
        <w:tc>
          <w:tcPr>
            <w:tcW w:w="13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556282192"/>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June 30, 2021</w:t>
            </w:r>
          </w:p>
        </w:tc>
      </w:tr>
      <w:tr w:rsidR="00000000">
        <w:trPr>
          <w:divId w:val="556282192"/>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 Cost Basis by Origination Year</w:t>
            </w:r>
          </w:p>
        </w:tc>
      </w:tr>
      <w:tr w:rsidR="00000000">
        <w:trPr>
          <w:divId w:val="556282192"/>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556282192"/>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556282192"/>
          <w:jc w:val="center"/>
        </w:trPr>
        <w:tc>
          <w:tcPr>
            <w:tcW w:w="0" w:type="auto"/>
            <w:gridSpan w:val="3"/>
            <w:tcMar>
              <w:top w:w="30" w:type="dxa"/>
              <w:left w:w="20" w:type="dxa"/>
              <w:bottom w:w="30" w:type="dxa"/>
              <w:right w:w="20" w:type="dxa"/>
            </w:tcMar>
            <w:vAlign w:val="bottom"/>
            <w:hideMark/>
          </w:tcPr>
          <w:p w:rsidR="00000000" w:rsidRDefault="00897B14">
            <w:pPr>
              <w:spacing w:after="100"/>
              <w:divId w:val="266279688"/>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56282192"/>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556282192"/>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3,536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7,091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556282192"/>
          <w:jc w:val="center"/>
        </w:trPr>
        <w:tc>
          <w:tcPr>
            <w:tcW w:w="0" w:type="auto"/>
            <w:gridSpan w:val="3"/>
            <w:shd w:val="clear" w:color="auto" w:fill="CCEEFF"/>
            <w:tcMar>
              <w:top w:w="30" w:type="dxa"/>
              <w:left w:w="26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5,280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5628219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56282192"/>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556282192"/>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556282192"/>
          <w:jc w:val="center"/>
        </w:trPr>
        <w:tc>
          <w:tcPr>
            <w:tcW w:w="0" w:type="auto"/>
            <w:gridSpan w:val="3"/>
            <w:shd w:val="clear" w:color="auto" w:fill="FFFFFF"/>
            <w:tcMar>
              <w:top w:w="30" w:type="dxa"/>
              <w:left w:w="26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2,683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56282192"/>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556282192"/>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2,816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3,912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8,234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556282192"/>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556282192"/>
          <w:jc w:val="center"/>
        </w:trPr>
        <w:tc>
          <w:tcPr>
            <w:tcW w:w="0" w:type="auto"/>
            <w:gridSpan w:val="3"/>
            <w:shd w:val="clear" w:color="auto" w:fill="FFFFFF"/>
            <w:tcMar>
              <w:top w:w="30" w:type="dxa"/>
              <w:left w:w="26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2,052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6,487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13,447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bl>
    <w:p w:rsidR="00000000" w:rsidRDefault="00897B14">
      <w:pPr>
        <w:divId w:val="1440955502"/>
        <w:rPr>
          <w:rFonts w:eastAsia="Times New Roman"/>
        </w:rPr>
      </w:pPr>
    </w:p>
    <w:p w:rsidR="00000000" w:rsidRDefault="00897B14">
      <w:pPr>
        <w:divId w:val="1482229547"/>
        <w:rPr>
          <w:rFonts w:eastAsia="Times New Roman"/>
        </w:rPr>
      </w:pPr>
    </w:p>
    <w:p w:rsidR="00000000" w:rsidRDefault="00897B14">
      <w:pPr>
        <w:jc w:val="center"/>
        <w:rPr>
          <w:rFonts w:eastAsia="Times New Roman"/>
        </w:rPr>
      </w:pPr>
      <w:r>
        <w:rPr>
          <w:rFonts w:eastAsia="Times New Roman"/>
          <w:b/>
          <w:bCs/>
          <w:color w:val="000000"/>
          <w:sz w:val="20"/>
          <w:szCs w:val="20"/>
        </w:rPr>
        <w:t>Debt Service Coverage Ratios (2</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243492610"/>
          <w:jc w:val="center"/>
        </w:trPr>
        <w:tc>
          <w:tcPr>
            <w:tcW w:w="50" w:type="pct"/>
            <w:vAlign w:val="center"/>
            <w:hideMark/>
          </w:tcPr>
          <w:p w:rsidR="00000000" w:rsidRDefault="00897B14">
            <w:pPr>
              <w:jc w:val="center"/>
              <w:rPr>
                <w:rFonts w:eastAsia="Times New Roman"/>
              </w:rPr>
            </w:pPr>
          </w:p>
        </w:tc>
        <w:tc>
          <w:tcPr>
            <w:tcW w:w="149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24349261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9"/>
            <w:tcBorders>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June 30, 2021</w:t>
            </w:r>
          </w:p>
        </w:tc>
      </w:tr>
      <w:tr w:rsidR="00000000">
        <w:trPr>
          <w:divId w:val="24349261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 Cost Basis by Origination Year</w:t>
            </w:r>
          </w:p>
        </w:tc>
      </w:tr>
      <w:tr w:rsidR="00000000">
        <w:trPr>
          <w:divId w:val="24349261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243492610"/>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243492610"/>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43492610"/>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243492610"/>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3,087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6,127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243492610"/>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243492610"/>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243492610"/>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243492610"/>
          <w:jc w:val="center"/>
        </w:trPr>
        <w:tc>
          <w:tcPr>
            <w:tcW w:w="0" w:type="auto"/>
            <w:gridSpan w:val="3"/>
            <w:shd w:val="clear" w:color="auto" w:fill="CCEEFF"/>
            <w:tcMar>
              <w:top w:w="30" w:type="dxa"/>
              <w:left w:w="125"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243492610"/>
          <w:jc w:val="center"/>
        </w:trPr>
        <w:tc>
          <w:tcPr>
            <w:tcW w:w="0" w:type="auto"/>
            <w:gridSpan w:val="3"/>
            <w:shd w:val="clear" w:color="auto" w:fill="FFFFFF"/>
            <w:tcMar>
              <w:top w:w="30" w:type="dxa"/>
              <w:left w:w="125"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243492610"/>
          <w:jc w:val="center"/>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1,206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5,280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10,764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24349261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43492610"/>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243492610"/>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243492610"/>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bl>
    <w:p w:rsidR="00000000" w:rsidRDefault="00897B14">
      <w:pPr>
        <w:jc w:val="center"/>
        <w:divId w:val="1305768162"/>
        <w:rPr>
          <w:rFonts w:eastAsia="Times New Roman"/>
        </w:rPr>
      </w:pPr>
    </w:p>
    <w:p w:rsidR="00000000" w:rsidRDefault="00897B14">
      <w:pPr>
        <w:jc w:val="center"/>
        <w:divId w:val="1305768162"/>
        <w:rPr>
          <w:rFonts w:eastAsia="Times New Roman"/>
        </w:rPr>
      </w:pPr>
      <w:r>
        <w:rPr>
          <w:rFonts w:eastAsia="Times New Roman"/>
          <w:color w:val="000000"/>
          <w:sz w:val="20"/>
          <w:szCs w:val="20"/>
        </w:rPr>
        <w:t>25</w:t>
      </w:r>
    </w:p>
    <w:p w:rsidR="00000000" w:rsidRDefault="00897B14">
      <w:pPr>
        <w:rPr>
          <w:rFonts w:eastAsia="Times New Roman"/>
        </w:rPr>
      </w:pPr>
      <w:r>
        <w:rPr>
          <w:rFonts w:eastAsia="Times New Roman"/>
        </w:rPr>
        <w:pict>
          <v:rect id="_x0000_i1051" style="width:0;height:1.5pt" o:hralign="center" o:hrstd="t" o:hr="t" fillcolor="#a0a0a0" stroked="f"/>
        </w:pict>
      </w:r>
    </w:p>
    <w:p w:rsidR="00000000" w:rsidRDefault="00897B14">
      <w:pPr>
        <w:divId w:val="459424527"/>
        <w:rPr>
          <w:rFonts w:eastAsia="Times New Roman"/>
        </w:rPr>
      </w:pPr>
      <w:r>
        <w:rPr>
          <w:rFonts w:eastAsia="Times New Roman"/>
          <w:b/>
          <w:bCs/>
          <w:color w:val="0000FF"/>
          <w:sz w:val="20"/>
          <w:szCs w:val="20"/>
          <w:u w:val="single"/>
        </w:rPr>
        <w:t>Table of Contents</w:t>
      </w:r>
    </w:p>
    <w:p w:rsidR="00000000" w:rsidRDefault="00897B14">
      <w:pPr>
        <w:jc w:val="center"/>
        <w:divId w:val="2007324558"/>
        <w:rPr>
          <w:rFonts w:eastAsia="Times New Roman"/>
        </w:rPr>
      </w:pPr>
      <w:r>
        <w:rPr>
          <w:rFonts w:eastAsia="Times New Roman"/>
          <w:b/>
          <w:bCs/>
          <w:color w:val="000000"/>
          <w:sz w:val="20"/>
          <w:szCs w:val="20"/>
        </w:rPr>
        <w:t>EQUITABLE HOLDINGS, INC.</w:t>
      </w:r>
    </w:p>
    <w:p w:rsidR="00000000" w:rsidRDefault="00897B14">
      <w:pPr>
        <w:jc w:val="center"/>
        <w:divId w:val="2007324558"/>
        <w:rPr>
          <w:rFonts w:eastAsia="Times New Roman"/>
        </w:rPr>
      </w:pPr>
      <w:r>
        <w:rPr>
          <w:rFonts w:eastAsia="Times New Roman"/>
          <w:b/>
          <w:bCs/>
          <w:color w:val="000000"/>
          <w:sz w:val="20"/>
          <w:szCs w:val="20"/>
        </w:rPr>
        <w:t>Notes to Consolidated Financial Statements (Unaudited), Continued</w:t>
      </w:r>
    </w:p>
    <w:p w:rsidR="00000000" w:rsidRDefault="00897B14">
      <w:pPr>
        <w:divId w:val="72286953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17"/>
        <w:gridCol w:w="37"/>
        <w:gridCol w:w="120"/>
        <w:gridCol w:w="617"/>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1256816573"/>
          <w:jc w:val="center"/>
        </w:trPr>
        <w:tc>
          <w:tcPr>
            <w:tcW w:w="50" w:type="pct"/>
            <w:vAlign w:val="center"/>
            <w:hideMark/>
          </w:tcPr>
          <w:p w:rsidR="00000000" w:rsidRDefault="00897B14">
            <w:pPr>
              <w:rPr>
                <w:rFonts w:eastAsia="Times New Roman"/>
              </w:rPr>
            </w:pPr>
          </w:p>
        </w:tc>
        <w:tc>
          <w:tcPr>
            <w:tcW w:w="149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256816573"/>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FFFF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CCEE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1256816573"/>
          <w:jc w:val="center"/>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243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490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239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1,207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2,683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56816573"/>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256816573"/>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1,237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3,319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1,675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1,665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1,949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FFFF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256816573"/>
          <w:jc w:val="center"/>
        </w:trPr>
        <w:tc>
          <w:tcPr>
            <w:tcW w:w="0" w:type="auto"/>
            <w:gridSpan w:val="3"/>
            <w:shd w:val="clear" w:color="auto" w:fill="CCEE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455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1256816573"/>
          <w:jc w:val="center"/>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2,052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1,548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1,428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6,487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13,447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bl>
    <w:p w:rsidR="00000000" w:rsidRDefault="00897B14">
      <w:pPr>
        <w:ind w:hanging="270"/>
        <w:divId w:val="624777469"/>
        <w:rPr>
          <w:rFonts w:eastAsia="Times New Roman"/>
        </w:rPr>
      </w:pPr>
      <w:r>
        <w:rPr>
          <w:rFonts w:eastAsia="Times New Roman"/>
          <w:color w:val="000000"/>
          <w:sz w:val="18"/>
          <w:szCs w:val="18"/>
        </w:rPr>
        <w:t xml:space="preserve">______________ </w:t>
      </w:r>
    </w:p>
    <w:p w:rsidR="00000000" w:rsidRDefault="00897B14">
      <w:pPr>
        <w:ind w:hanging="270"/>
        <w:divId w:val="382213295"/>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rsidR="00000000" w:rsidRDefault="00897B14">
      <w:pPr>
        <w:ind w:hanging="270"/>
        <w:divId w:val="1781417932"/>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rsidR="00000000" w:rsidRDefault="00897B14">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870728661"/>
          <w:jc w:val="center"/>
        </w:trPr>
        <w:tc>
          <w:tcPr>
            <w:tcW w:w="50" w:type="pct"/>
            <w:vAlign w:val="center"/>
            <w:hideMark/>
          </w:tcPr>
          <w:p w:rsidR="00000000" w:rsidRDefault="00897B14">
            <w:pPr>
              <w:jc w:val="center"/>
              <w:rPr>
                <w:rFonts w:eastAsia="Times New Roman"/>
              </w:rPr>
            </w:pPr>
          </w:p>
        </w:tc>
        <w:tc>
          <w:tcPr>
            <w:tcW w:w="13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870728661"/>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December 31, 2020</w:t>
            </w:r>
          </w:p>
        </w:tc>
      </w:tr>
      <w:tr w:rsidR="00000000">
        <w:trPr>
          <w:divId w:val="870728661"/>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Amortized Cost Basis by Origination Year</w:t>
            </w:r>
          </w:p>
        </w:tc>
      </w:tr>
      <w:tr w:rsidR="00000000">
        <w:trPr>
          <w:divId w:val="870728661"/>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2016</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Total</w:t>
            </w:r>
          </w:p>
        </w:tc>
      </w:tr>
      <w:tr w:rsidR="00000000">
        <w:trPr>
          <w:divId w:val="870728661"/>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870728661"/>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70728661"/>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870728661"/>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505 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1,016 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1,294 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803 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2,190 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1,697 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6,997 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452 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2,190 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870728661"/>
          <w:jc w:val="center"/>
        </w:trPr>
        <w:tc>
          <w:tcPr>
            <w:tcW w:w="0" w:type="auto"/>
            <w:gridSpan w:val="3"/>
            <w:shd w:val="clear" w:color="auto" w:fill="CCEEFF"/>
            <w:tcMar>
              <w:top w:w="30" w:type="dxa"/>
              <w:left w:w="26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7072866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70728661"/>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870728661"/>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1,567 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277 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1,144 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870728661"/>
          <w:jc w:val="center"/>
        </w:trPr>
        <w:tc>
          <w:tcPr>
            <w:tcW w:w="0" w:type="auto"/>
            <w:gridSpan w:val="3"/>
            <w:shd w:val="clear" w:color="auto" w:fill="FFFFFF"/>
            <w:tcMar>
              <w:top w:w="30" w:type="dxa"/>
              <w:left w:w="26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70728661"/>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870728661"/>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423 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1,157 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2,583 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1,571 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486 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2,314 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2,048 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8,141 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870728661"/>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870728661"/>
          <w:jc w:val="center"/>
        </w:trPr>
        <w:tc>
          <w:tcPr>
            <w:tcW w:w="0" w:type="auto"/>
            <w:gridSpan w:val="3"/>
            <w:shd w:val="clear" w:color="auto" w:fill="FFFFFF"/>
            <w:tcMar>
              <w:top w:w="30" w:type="dxa"/>
              <w:left w:w="26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bl>
    <w:p w:rsidR="00000000" w:rsidRDefault="00897B14">
      <w:pPr>
        <w:divId w:val="1774084437"/>
        <w:rPr>
          <w:rFonts w:eastAsia="Times New Roman"/>
        </w:rPr>
      </w:pPr>
    </w:p>
    <w:p w:rsidR="00000000" w:rsidRDefault="00897B14">
      <w:pPr>
        <w:divId w:val="408625240"/>
        <w:rPr>
          <w:rFonts w:eastAsia="Times New Roman"/>
        </w:rPr>
      </w:pPr>
    </w:p>
    <w:p w:rsidR="00000000" w:rsidRDefault="00897B14">
      <w:pPr>
        <w:divId w:val="1402823708"/>
        <w:rPr>
          <w:rFonts w:eastAsia="Times New Roman"/>
        </w:rPr>
      </w:pPr>
    </w:p>
    <w:p w:rsidR="00000000" w:rsidRDefault="00897B14">
      <w:pPr>
        <w:jc w:val="center"/>
        <w:rPr>
          <w:rFonts w:eastAsia="Times New Roman"/>
        </w:rPr>
      </w:pPr>
      <w:r>
        <w:rPr>
          <w:rFonts w:eastAsia="Times New Roman"/>
          <w:b/>
          <w:bCs/>
          <w:color w:val="000000"/>
          <w:sz w:val="20"/>
          <w:szCs w:val="20"/>
        </w:rPr>
        <w:t>Debt Service Coverage Ratios (2)</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2459"/>
        <w:gridCol w:w="36"/>
        <w:gridCol w:w="57"/>
        <w:gridCol w:w="649"/>
        <w:gridCol w:w="36"/>
        <w:gridCol w:w="36"/>
        <w:gridCol w:w="36"/>
        <w:gridCol w:w="36"/>
        <w:gridCol w:w="40"/>
        <w:gridCol w:w="649"/>
        <w:gridCol w:w="36"/>
        <w:gridCol w:w="36"/>
        <w:gridCol w:w="36"/>
        <w:gridCol w:w="36"/>
        <w:gridCol w:w="40"/>
        <w:gridCol w:w="649"/>
        <w:gridCol w:w="36"/>
        <w:gridCol w:w="36"/>
        <w:gridCol w:w="36"/>
        <w:gridCol w:w="36"/>
        <w:gridCol w:w="40"/>
        <w:gridCol w:w="649"/>
        <w:gridCol w:w="36"/>
        <w:gridCol w:w="36"/>
        <w:gridCol w:w="36"/>
        <w:gridCol w:w="36"/>
        <w:gridCol w:w="40"/>
        <w:gridCol w:w="649"/>
        <w:gridCol w:w="36"/>
        <w:gridCol w:w="36"/>
        <w:gridCol w:w="36"/>
        <w:gridCol w:w="36"/>
        <w:gridCol w:w="40"/>
        <w:gridCol w:w="649"/>
        <w:gridCol w:w="36"/>
        <w:gridCol w:w="36"/>
        <w:gridCol w:w="36"/>
        <w:gridCol w:w="36"/>
        <w:gridCol w:w="40"/>
        <w:gridCol w:w="663"/>
        <w:gridCol w:w="36"/>
      </w:tblGrid>
      <w:tr w:rsidR="00000000">
        <w:trPr>
          <w:divId w:val="763843691"/>
          <w:jc w:val="center"/>
        </w:trPr>
        <w:tc>
          <w:tcPr>
            <w:tcW w:w="50" w:type="pct"/>
            <w:vAlign w:val="center"/>
            <w:hideMark/>
          </w:tcPr>
          <w:p w:rsidR="00000000" w:rsidRDefault="00897B14">
            <w:pPr>
              <w:jc w:val="center"/>
              <w:rPr>
                <w:rFonts w:eastAsia="Times New Roman"/>
              </w:rPr>
            </w:pPr>
          </w:p>
        </w:tc>
        <w:tc>
          <w:tcPr>
            <w:tcW w:w="149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763843691"/>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December 31, 2020</w:t>
            </w:r>
          </w:p>
        </w:tc>
      </w:tr>
      <w:tr w:rsidR="00000000">
        <w:trPr>
          <w:divId w:val="763843691"/>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Amortized Cost Basis by Origination Year</w:t>
            </w:r>
          </w:p>
        </w:tc>
      </w:tr>
    </w:tbl>
    <w:p w:rsidR="00000000" w:rsidRDefault="00897B14">
      <w:pPr>
        <w:jc w:val="center"/>
        <w:divId w:val="757597558"/>
        <w:rPr>
          <w:rFonts w:eastAsia="Times New Roman"/>
        </w:rPr>
      </w:pPr>
    </w:p>
    <w:p w:rsidR="00000000" w:rsidRDefault="00897B14">
      <w:pPr>
        <w:jc w:val="center"/>
        <w:divId w:val="757597558"/>
        <w:rPr>
          <w:rFonts w:eastAsia="Times New Roman"/>
        </w:rPr>
      </w:pPr>
      <w:r>
        <w:rPr>
          <w:rFonts w:eastAsia="Times New Roman"/>
          <w:color w:val="000000"/>
          <w:sz w:val="20"/>
          <w:szCs w:val="20"/>
        </w:rPr>
        <w:t>26</w:t>
      </w:r>
    </w:p>
    <w:p w:rsidR="00000000" w:rsidRDefault="00897B14">
      <w:pPr>
        <w:rPr>
          <w:rFonts w:eastAsia="Times New Roman"/>
        </w:rPr>
      </w:pPr>
      <w:r>
        <w:rPr>
          <w:rFonts w:eastAsia="Times New Roman"/>
        </w:rPr>
        <w:pict>
          <v:rect id="_x0000_i1052" style="width:0;height:1.5pt" o:hralign="center" o:hrstd="t" o:hr="t" fillcolor="#a0a0a0" stroked="f"/>
        </w:pict>
      </w:r>
    </w:p>
    <w:p w:rsidR="00000000" w:rsidRDefault="00897B14">
      <w:pPr>
        <w:divId w:val="1565606682"/>
        <w:rPr>
          <w:rFonts w:eastAsia="Times New Roman"/>
        </w:rPr>
      </w:pPr>
      <w:r>
        <w:rPr>
          <w:rFonts w:eastAsia="Times New Roman"/>
          <w:b/>
          <w:bCs/>
          <w:color w:val="0000FF"/>
          <w:sz w:val="20"/>
          <w:szCs w:val="20"/>
          <w:u w:val="single"/>
        </w:rPr>
        <w:t>Table of Contents</w:t>
      </w:r>
    </w:p>
    <w:p w:rsidR="00000000" w:rsidRDefault="00897B14">
      <w:pPr>
        <w:jc w:val="center"/>
        <w:divId w:val="1623150922"/>
        <w:rPr>
          <w:rFonts w:eastAsia="Times New Roman"/>
        </w:rPr>
      </w:pPr>
      <w:r>
        <w:rPr>
          <w:rFonts w:eastAsia="Times New Roman"/>
          <w:b/>
          <w:bCs/>
          <w:color w:val="000000"/>
          <w:sz w:val="20"/>
          <w:szCs w:val="20"/>
        </w:rPr>
        <w:t>EQUITABLE HOLDINGS, INC.</w:t>
      </w:r>
    </w:p>
    <w:p w:rsidR="00000000" w:rsidRDefault="00897B14">
      <w:pPr>
        <w:jc w:val="center"/>
        <w:divId w:val="1623150922"/>
        <w:rPr>
          <w:rFonts w:eastAsia="Times New Roman"/>
        </w:rPr>
      </w:pPr>
      <w:r>
        <w:rPr>
          <w:rFonts w:eastAsia="Times New Roman"/>
          <w:b/>
          <w:bCs/>
          <w:color w:val="000000"/>
          <w:sz w:val="20"/>
          <w:szCs w:val="20"/>
        </w:rPr>
        <w:t>Notes to Consolidated Financial Statements (Unaudited), Continued</w:t>
      </w:r>
    </w:p>
    <w:p w:rsidR="00000000" w:rsidRDefault="00897B14">
      <w:pPr>
        <w:divId w:val="162858055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1547833527"/>
          <w:jc w:val="center"/>
        </w:trPr>
        <w:tc>
          <w:tcPr>
            <w:tcW w:w="50" w:type="pct"/>
            <w:vAlign w:val="center"/>
            <w:hideMark/>
          </w:tcPr>
          <w:p w:rsidR="00000000" w:rsidRDefault="00897B14">
            <w:pPr>
              <w:rPr>
                <w:rFonts w:eastAsia="Times New Roman"/>
              </w:rPr>
            </w:pPr>
          </w:p>
        </w:tc>
        <w:tc>
          <w:tcPr>
            <w:tcW w:w="149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547833527"/>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2016</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6"/>
                <w:szCs w:val="16"/>
              </w:rPr>
              <w:t>Total</w:t>
            </w:r>
          </w:p>
        </w:tc>
      </w:tr>
      <w:tr w:rsidR="00000000">
        <w:trPr>
          <w:divId w:val="1547833527"/>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547833527"/>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47833527"/>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547833527"/>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492 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1,959 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5,951 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378 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1,955 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FFFFFF"/>
            <w:tcMar>
              <w:top w:w="30" w:type="dxa"/>
              <w:left w:w="125" w:type="dxa"/>
              <w:bottom w:w="30" w:type="dxa"/>
              <w:right w:w="20" w:type="dxa"/>
            </w:tcMar>
            <w:hideMark/>
          </w:tcPr>
          <w:p w:rsidR="00000000" w:rsidRDefault="00897B14">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658 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1,008 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25"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FFFFFF"/>
            <w:tcMar>
              <w:top w:w="30" w:type="dxa"/>
              <w:left w:w="125"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1547833527"/>
          <w:jc w:val="center"/>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1,267 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1,204 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3,028 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47833527"/>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547833527"/>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989 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FFFF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1547833527"/>
          <w:jc w:val="center"/>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47833527"/>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547833527"/>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1,297 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2,030 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6,356 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1,523 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825 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2,457 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1,997 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FFFF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000000">
        <w:trPr>
          <w:divId w:val="1547833527"/>
          <w:jc w:val="center"/>
        </w:trPr>
        <w:tc>
          <w:tcPr>
            <w:tcW w:w="0" w:type="auto"/>
            <w:gridSpan w:val="3"/>
            <w:shd w:val="clear" w:color="auto" w:fill="CCEEFF"/>
            <w:tcMar>
              <w:top w:w="30" w:type="dxa"/>
              <w:left w:w="140"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r>
      <w:tr w:rsidR="00897B14">
        <w:trPr>
          <w:divId w:val="1547833527"/>
          <w:jc w:val="center"/>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r>
    </w:tbl>
    <w:p w:rsidR="00000000" w:rsidRDefault="00897B14">
      <w:pPr>
        <w:ind w:hanging="270"/>
        <w:divId w:val="1307734160"/>
        <w:rPr>
          <w:rFonts w:eastAsia="Times New Roman"/>
        </w:rPr>
      </w:pPr>
      <w:r>
        <w:rPr>
          <w:rFonts w:eastAsia="Times New Roman"/>
          <w:color w:val="000000"/>
          <w:sz w:val="18"/>
          <w:szCs w:val="18"/>
        </w:rPr>
        <w:t xml:space="preserve">______________ </w:t>
      </w:r>
    </w:p>
    <w:p w:rsidR="00000000" w:rsidRDefault="00897B14">
      <w:pPr>
        <w:ind w:hanging="270"/>
        <w:divId w:val="2065564498"/>
        <w:rPr>
          <w:rFonts w:eastAsia="Times New Roman"/>
        </w:rPr>
      </w:pPr>
      <w:r>
        <w:rPr>
          <w:rFonts w:eastAsia="Times New Roman"/>
          <w:color w:val="000000"/>
          <w:sz w:val="18"/>
          <w:szCs w:val="18"/>
        </w:rPr>
        <w:t>(1)The LTV ratio is derived from current loan balance divided by the fair value of the property. The fair value of the underlying commercial properties is updated annually for each mortgage loan.</w:t>
      </w:r>
    </w:p>
    <w:p w:rsidR="00000000" w:rsidRDefault="00897B14">
      <w:pPr>
        <w:ind w:hanging="270"/>
        <w:divId w:val="1540314585"/>
        <w:rPr>
          <w:rFonts w:eastAsia="Times New Roman"/>
        </w:rPr>
      </w:pPr>
      <w:r>
        <w:rPr>
          <w:rFonts w:eastAsia="Times New Roman"/>
          <w:color w:val="000000"/>
          <w:sz w:val="18"/>
          <w:szCs w:val="18"/>
        </w:rPr>
        <w:t>(2)The DSC ratio is calculated using t</w:t>
      </w:r>
      <w:r>
        <w:rPr>
          <w:rFonts w:eastAsia="Times New Roman"/>
          <w:color w:val="000000"/>
          <w:sz w:val="18"/>
          <w:szCs w:val="18"/>
        </w:rPr>
        <w:t>he most recently reported operating income results from property operations divided by annual debt service.</w:t>
      </w:r>
    </w:p>
    <w:p w:rsidR="00000000" w:rsidRDefault="00897B14">
      <w:pPr>
        <w:divId w:val="39211839"/>
        <w:rPr>
          <w:rFonts w:eastAsia="Times New Roman"/>
        </w:rPr>
      </w:pPr>
      <w:r>
        <w:rPr>
          <w:rFonts w:eastAsia="Times New Roman"/>
          <w:color w:val="000000"/>
          <w:sz w:val="20"/>
          <w:szCs w:val="20"/>
        </w:rPr>
        <w:t>The following tables provide information relating to the LTV and DSC ratios for commercial and agricultural mortgage loans as of June 30, 2021 and D</w:t>
      </w:r>
      <w:r>
        <w:rPr>
          <w:rFonts w:eastAsia="Times New Roman"/>
          <w:color w:val="000000"/>
          <w:sz w:val="20"/>
          <w:szCs w:val="20"/>
        </w:rPr>
        <w:t>ecember 31, 2020. The values used in these ratio calculations were developed as part of the periodic review of the commercial and agricultural mortgage loan portfolio, which includes an evaluation of the underlying collateral value.</w:t>
      </w:r>
    </w:p>
    <w:p w:rsidR="00000000" w:rsidRDefault="00897B14">
      <w:pPr>
        <w:jc w:val="center"/>
        <w:rPr>
          <w:rFonts w:eastAsia="Times New Roman"/>
        </w:rPr>
      </w:pPr>
      <w:r>
        <w:rPr>
          <w:rFonts w:eastAsia="Times New Roman"/>
          <w:b/>
          <w:bCs/>
          <w:color w:val="000000"/>
          <w:sz w:val="20"/>
          <w:szCs w:val="20"/>
        </w:rPr>
        <w:t>Mortgage Loans by LTV a</w:t>
      </w:r>
      <w:r>
        <w:rPr>
          <w:rFonts w:eastAsia="Times New Roman"/>
          <w:b/>
          <w:bCs/>
          <w:color w:val="000000"/>
          <w:sz w:val="20"/>
          <w:szCs w:val="20"/>
        </w:rPr>
        <w:t>nd DSC Ratios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2252"/>
        <w:gridCol w:w="39"/>
        <w:gridCol w:w="121"/>
        <w:gridCol w:w="643"/>
        <w:gridCol w:w="36"/>
        <w:gridCol w:w="36"/>
        <w:gridCol w:w="36"/>
        <w:gridCol w:w="36"/>
        <w:gridCol w:w="120"/>
        <w:gridCol w:w="596"/>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521550843"/>
          <w:jc w:val="center"/>
        </w:trPr>
        <w:tc>
          <w:tcPr>
            <w:tcW w:w="50" w:type="pct"/>
            <w:vAlign w:val="center"/>
            <w:hideMark/>
          </w:tcPr>
          <w:p w:rsidR="00000000" w:rsidRDefault="00897B14">
            <w:pPr>
              <w:jc w:val="center"/>
              <w:rPr>
                <w:rFonts w:eastAsia="Times New Roman"/>
              </w:rPr>
            </w:pPr>
          </w:p>
        </w:tc>
        <w:tc>
          <w:tcPr>
            <w:tcW w:w="13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521550843"/>
          <w:jc w:val="center"/>
        </w:trPr>
        <w:tc>
          <w:tcPr>
            <w:tcW w:w="0" w:type="auto"/>
            <w:gridSpan w:val="3"/>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21550843"/>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1521550843"/>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521550843"/>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21550843"/>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21550843"/>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521550843"/>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21550843"/>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21550843"/>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21550843"/>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521550843"/>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commercial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6,127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divId w:val="139929011"/>
        <w:rPr>
          <w:rFonts w:eastAsia="Times New Roman"/>
        </w:rPr>
      </w:pPr>
    </w:p>
    <w:p w:rsidR="00000000" w:rsidRDefault="00897B14">
      <w:pPr>
        <w:jc w:val="center"/>
        <w:divId w:val="139929011"/>
        <w:rPr>
          <w:rFonts w:eastAsia="Times New Roman"/>
        </w:rPr>
      </w:pPr>
      <w:r>
        <w:rPr>
          <w:rFonts w:eastAsia="Times New Roman"/>
          <w:color w:val="000000"/>
          <w:sz w:val="20"/>
          <w:szCs w:val="20"/>
        </w:rPr>
        <w:t>27</w:t>
      </w:r>
    </w:p>
    <w:p w:rsidR="00000000" w:rsidRDefault="00897B14">
      <w:pPr>
        <w:rPr>
          <w:rFonts w:eastAsia="Times New Roman"/>
        </w:rPr>
      </w:pPr>
      <w:r>
        <w:rPr>
          <w:rFonts w:eastAsia="Times New Roman"/>
        </w:rPr>
        <w:pict>
          <v:rect id="_x0000_i1053" style="width:0;height:1.5pt" o:hralign="center" o:hrstd="t" o:hr="t" fillcolor="#a0a0a0" stroked="f"/>
        </w:pict>
      </w:r>
    </w:p>
    <w:p w:rsidR="00000000" w:rsidRDefault="00897B14">
      <w:pPr>
        <w:divId w:val="1044906582"/>
        <w:rPr>
          <w:rFonts w:eastAsia="Times New Roman"/>
        </w:rPr>
      </w:pPr>
      <w:r>
        <w:rPr>
          <w:rFonts w:eastAsia="Times New Roman"/>
          <w:b/>
          <w:bCs/>
          <w:color w:val="0000FF"/>
          <w:sz w:val="20"/>
          <w:szCs w:val="20"/>
          <w:u w:val="single"/>
        </w:rPr>
        <w:t>Table of Contents</w:t>
      </w:r>
    </w:p>
    <w:p w:rsidR="00000000" w:rsidRDefault="00897B14">
      <w:pPr>
        <w:jc w:val="center"/>
        <w:divId w:val="73207440"/>
        <w:rPr>
          <w:rFonts w:eastAsia="Times New Roman"/>
        </w:rPr>
      </w:pPr>
      <w:r>
        <w:rPr>
          <w:rFonts w:eastAsia="Times New Roman"/>
          <w:b/>
          <w:bCs/>
          <w:color w:val="000000"/>
          <w:sz w:val="20"/>
          <w:szCs w:val="20"/>
        </w:rPr>
        <w:t>EQUITABLE HOLDINGS, INC.</w:t>
      </w:r>
    </w:p>
    <w:p w:rsidR="00000000" w:rsidRDefault="00897B14">
      <w:pPr>
        <w:jc w:val="center"/>
        <w:divId w:val="73207440"/>
        <w:rPr>
          <w:rFonts w:eastAsia="Times New Roman"/>
        </w:rPr>
      </w:pPr>
      <w:r>
        <w:rPr>
          <w:rFonts w:eastAsia="Times New Roman"/>
          <w:b/>
          <w:bCs/>
          <w:color w:val="000000"/>
          <w:sz w:val="20"/>
          <w:szCs w:val="20"/>
        </w:rPr>
        <w:t>Notes to Consolidated Financial Statements (Unaudited), Continued</w:t>
      </w:r>
    </w:p>
    <w:p w:rsidR="00000000" w:rsidRDefault="00897B14">
      <w:pPr>
        <w:divId w:val="49095271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254"/>
        <w:gridCol w:w="38"/>
        <w:gridCol w:w="121"/>
        <w:gridCol w:w="643"/>
        <w:gridCol w:w="36"/>
        <w:gridCol w:w="36"/>
        <w:gridCol w:w="36"/>
        <w:gridCol w:w="36"/>
        <w:gridCol w:w="120"/>
        <w:gridCol w:w="596"/>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436515742"/>
          <w:jc w:val="center"/>
        </w:trPr>
        <w:tc>
          <w:tcPr>
            <w:tcW w:w="50" w:type="pct"/>
            <w:vAlign w:val="center"/>
            <w:hideMark/>
          </w:tcPr>
          <w:p w:rsidR="00000000" w:rsidRDefault="00897B14">
            <w:pPr>
              <w:rPr>
                <w:rFonts w:eastAsia="Times New Roman"/>
              </w:rPr>
            </w:pPr>
          </w:p>
        </w:tc>
        <w:tc>
          <w:tcPr>
            <w:tcW w:w="13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DSC Ratio (2) (3)</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LTV Ratio: (1) (3)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Greater than 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1.8x to</w:t>
            </w:r>
            <w:r>
              <w:rPr>
                <w:rFonts w:eastAsia="Times New Roman"/>
                <w:b/>
                <w:bCs/>
                <w:color w:val="000000"/>
                <w:sz w:val="16"/>
                <w:szCs w:val="16"/>
              </w:rPr>
              <w:br/>
              <w:t>2.0x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1.5x to</w:t>
            </w:r>
            <w:r>
              <w:rPr>
                <w:rFonts w:eastAsia="Times New Roman"/>
                <w:b/>
                <w:bCs/>
                <w:color w:val="000000"/>
                <w:sz w:val="16"/>
                <w:szCs w:val="16"/>
              </w:rPr>
              <w:br/>
              <w:t>1.8x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1.2x to</w:t>
            </w:r>
            <w:r>
              <w:rPr>
                <w:rFonts w:eastAsia="Times New Roman"/>
                <w:b/>
                <w:bCs/>
                <w:color w:val="000000"/>
                <w:sz w:val="16"/>
                <w:szCs w:val="16"/>
              </w:rPr>
              <w:br/>
              <w:t>1.5x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1.0x to</w:t>
            </w:r>
            <w:r>
              <w:rPr>
                <w:rFonts w:eastAsia="Times New Roman"/>
                <w:b/>
                <w:bCs/>
                <w:color w:val="000000"/>
                <w:sz w:val="16"/>
                <w:szCs w:val="16"/>
              </w:rPr>
              <w:br/>
              <w:t>1.2x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1.0x</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1436515742"/>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43651574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436515742"/>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436515742"/>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2,683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436515742"/>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436515742"/>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6,537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1,675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1,949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13,447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436515742"/>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1021585999"/>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856 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1075782668"/>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1,452 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6,997 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divId w:val="1847095059"/>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2,190 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divId w:val="1214729446"/>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436515742"/>
          <w:jc w:val="center"/>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commercial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5,951 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1,319 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1,955 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436515742"/>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1,567 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436515742"/>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agricultural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36515742"/>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436515742"/>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1,153 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2,583 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4,203 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1,663 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8,141 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36515742"/>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436515742"/>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6,356 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2,457 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270"/>
        <w:divId w:val="876888472"/>
        <w:rPr>
          <w:rFonts w:eastAsia="Times New Roman"/>
        </w:rPr>
      </w:pPr>
      <w:r>
        <w:rPr>
          <w:rFonts w:eastAsia="Times New Roman"/>
          <w:color w:val="000000"/>
          <w:sz w:val="18"/>
          <w:szCs w:val="18"/>
        </w:rPr>
        <w:t>______________</w:t>
      </w:r>
    </w:p>
    <w:p w:rsidR="00000000" w:rsidRDefault="00897B14">
      <w:pPr>
        <w:ind w:hanging="270"/>
        <w:divId w:val="2130779677"/>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897B14">
      <w:pPr>
        <w:ind w:hanging="270"/>
        <w:divId w:val="1187404952"/>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897B14">
      <w:pPr>
        <w:ind w:hanging="270"/>
        <w:divId w:val="1296444640"/>
        <w:rPr>
          <w:rFonts w:eastAsia="Times New Roman"/>
        </w:rPr>
      </w:pPr>
      <w:r>
        <w:rPr>
          <w:rFonts w:eastAsia="Times New Roman"/>
          <w:color w:val="000000"/>
          <w:sz w:val="18"/>
          <w:szCs w:val="18"/>
        </w:rPr>
        <w:t xml:space="preserve">(3)Amounts presented at amortized cost basis. </w:t>
      </w:r>
    </w:p>
    <w:p w:rsidR="00000000" w:rsidRDefault="00897B14">
      <w:pPr>
        <w:divId w:val="684065152"/>
        <w:rPr>
          <w:rFonts w:eastAsia="Times New Roman"/>
        </w:rPr>
      </w:pPr>
      <w:r>
        <w:rPr>
          <w:rFonts w:eastAsia="Times New Roman"/>
          <w:color w:val="000000"/>
          <w:sz w:val="20"/>
          <w:szCs w:val="20"/>
          <w:u w:val="single"/>
        </w:rPr>
        <w:t>Past-Due and Nonaccrual Mortgage Loan Status</w:t>
      </w:r>
    </w:p>
    <w:p w:rsidR="00000000" w:rsidRDefault="00897B14">
      <w:pPr>
        <w:divId w:val="631525085"/>
        <w:rPr>
          <w:rFonts w:eastAsia="Times New Roman"/>
        </w:rPr>
      </w:pPr>
      <w:r>
        <w:rPr>
          <w:rFonts w:eastAsia="Times New Roman"/>
          <w:color w:val="000000"/>
          <w:sz w:val="20"/>
          <w:szCs w:val="20"/>
        </w:rPr>
        <w:t>The following table provides information relating to the aging analysis of past-d</w:t>
      </w:r>
      <w:r>
        <w:rPr>
          <w:rFonts w:eastAsia="Times New Roman"/>
          <w:color w:val="000000"/>
          <w:sz w:val="20"/>
          <w:szCs w:val="20"/>
        </w:rPr>
        <w:t>ue mortgage loans as of June 30, 2021 and December 31, 2020, respectively.</w:t>
      </w:r>
    </w:p>
    <w:p w:rsidR="00000000" w:rsidRDefault="00897B14">
      <w:pPr>
        <w:jc w:val="center"/>
        <w:divId w:val="28646904"/>
        <w:rPr>
          <w:rFonts w:eastAsia="Times New Roman"/>
        </w:rPr>
      </w:pPr>
    </w:p>
    <w:p w:rsidR="00000000" w:rsidRDefault="00897B14">
      <w:pPr>
        <w:jc w:val="center"/>
        <w:divId w:val="28646904"/>
        <w:rPr>
          <w:rFonts w:eastAsia="Times New Roman"/>
        </w:rPr>
      </w:pPr>
      <w:r>
        <w:rPr>
          <w:rFonts w:eastAsia="Times New Roman"/>
          <w:color w:val="000000"/>
          <w:sz w:val="20"/>
          <w:szCs w:val="20"/>
        </w:rPr>
        <w:t>28</w:t>
      </w:r>
    </w:p>
    <w:p w:rsidR="00000000" w:rsidRDefault="00897B14">
      <w:pPr>
        <w:rPr>
          <w:rFonts w:eastAsia="Times New Roman"/>
        </w:rPr>
      </w:pPr>
      <w:r>
        <w:rPr>
          <w:rFonts w:eastAsia="Times New Roman"/>
        </w:rPr>
        <w:pict>
          <v:rect id="_x0000_i1054" style="width:0;height:1.5pt" o:hralign="center" o:hrstd="t" o:hr="t" fillcolor="#a0a0a0" stroked="f"/>
        </w:pict>
      </w:r>
    </w:p>
    <w:p w:rsidR="00000000" w:rsidRDefault="00897B14">
      <w:pPr>
        <w:divId w:val="656887795"/>
        <w:rPr>
          <w:rFonts w:eastAsia="Times New Roman"/>
        </w:rPr>
      </w:pPr>
      <w:r>
        <w:rPr>
          <w:rFonts w:eastAsia="Times New Roman"/>
          <w:b/>
          <w:bCs/>
          <w:color w:val="0000FF"/>
          <w:sz w:val="20"/>
          <w:szCs w:val="20"/>
          <w:u w:val="single"/>
        </w:rPr>
        <w:t>Table of Contents</w:t>
      </w:r>
    </w:p>
    <w:p w:rsidR="00000000" w:rsidRDefault="00897B14">
      <w:pPr>
        <w:jc w:val="center"/>
        <w:divId w:val="751513134"/>
        <w:rPr>
          <w:rFonts w:eastAsia="Times New Roman"/>
        </w:rPr>
      </w:pPr>
      <w:r>
        <w:rPr>
          <w:rFonts w:eastAsia="Times New Roman"/>
          <w:b/>
          <w:bCs/>
          <w:color w:val="000000"/>
          <w:sz w:val="20"/>
          <w:szCs w:val="20"/>
        </w:rPr>
        <w:t>EQUITABLE HOLDINGS, INC.</w:t>
      </w:r>
    </w:p>
    <w:p w:rsidR="00000000" w:rsidRDefault="00897B14">
      <w:pPr>
        <w:jc w:val="center"/>
        <w:divId w:val="751513134"/>
        <w:rPr>
          <w:rFonts w:eastAsia="Times New Roman"/>
        </w:rPr>
      </w:pPr>
      <w:r>
        <w:rPr>
          <w:rFonts w:eastAsia="Times New Roman"/>
          <w:b/>
          <w:bCs/>
          <w:color w:val="000000"/>
          <w:sz w:val="20"/>
          <w:szCs w:val="20"/>
        </w:rPr>
        <w:t>Notes to Consolidated Financial Statements (Unaudited), Continued</w:t>
      </w:r>
    </w:p>
    <w:p w:rsidR="00000000" w:rsidRDefault="00897B14">
      <w:pPr>
        <w:divId w:val="803238678"/>
        <w:rPr>
          <w:rFonts w:eastAsia="Times New Roman"/>
        </w:rPr>
      </w:pPr>
    </w:p>
    <w:p w:rsidR="00000000" w:rsidRDefault="00897B14">
      <w:pPr>
        <w:jc w:val="center"/>
        <w:rPr>
          <w:rFonts w:eastAsia="Times New Roman"/>
        </w:rPr>
      </w:pPr>
      <w:r>
        <w:rPr>
          <w:rFonts w:eastAsia="Times New Roman"/>
          <w:b/>
          <w:bCs/>
          <w:color w:val="000000"/>
          <w:sz w:val="20"/>
          <w:szCs w:val="20"/>
        </w:rPr>
        <w:t>Age Analysis of Past Due Mort</w:t>
      </w:r>
      <w:r>
        <w:rPr>
          <w:rFonts w:eastAsia="Times New Roman"/>
          <w:b/>
          <w:bCs/>
          <w:color w:val="000000"/>
          <w:sz w:val="20"/>
          <w:szCs w:val="20"/>
        </w:rPr>
        <w: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8"/>
        <w:gridCol w:w="120"/>
        <w:gridCol w:w="350"/>
        <w:gridCol w:w="36"/>
        <w:gridCol w:w="36"/>
        <w:gridCol w:w="36"/>
        <w:gridCol w:w="36"/>
        <w:gridCol w:w="120"/>
        <w:gridCol w:w="250"/>
        <w:gridCol w:w="36"/>
        <w:gridCol w:w="36"/>
        <w:gridCol w:w="36"/>
        <w:gridCol w:w="36"/>
        <w:gridCol w:w="121"/>
        <w:gridCol w:w="328"/>
        <w:gridCol w:w="36"/>
        <w:gridCol w:w="36"/>
        <w:gridCol w:w="36"/>
        <w:gridCol w:w="36"/>
        <w:gridCol w:w="120"/>
        <w:gridCol w:w="3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1182475598"/>
        </w:trPr>
        <w:tc>
          <w:tcPr>
            <w:tcW w:w="50" w:type="pct"/>
            <w:vAlign w:val="center"/>
            <w:hideMark/>
          </w:tcPr>
          <w:p w:rsidR="00000000" w:rsidRDefault="00897B14">
            <w:pPr>
              <w:jc w:val="center"/>
              <w:rPr>
                <w:rFonts w:eastAsia="Times New Roman"/>
              </w:rPr>
            </w:pPr>
          </w:p>
        </w:tc>
        <w:tc>
          <w:tcPr>
            <w:tcW w:w="121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0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0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0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1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4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4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9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4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5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3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182475598"/>
          <w:trHeight w:val="24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Non-accruing Loans with No Allowance</w:t>
            </w:r>
          </w:p>
        </w:tc>
        <w:tc>
          <w:tcPr>
            <w:tcW w:w="0" w:type="auto"/>
            <w:gridSpan w:val="3"/>
            <w:vMerge w:val="restart"/>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Interest Income on Non-accruing Loans </w:t>
            </w:r>
          </w:p>
        </w:tc>
      </w:tr>
      <w:tr w:rsidR="00000000">
        <w:trPr>
          <w:divId w:val="1182475598"/>
          <w:trHeight w:val="24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r>
      <w:tr w:rsidR="00000000">
        <w:trPr>
          <w:divId w:val="1182475598"/>
          <w:trHeight w:val="76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rsidR="00000000" w:rsidRDefault="00897B14">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897B14">
            <w:pPr>
              <w:spacing w:after="100"/>
              <w:rPr>
                <w:rFonts w:eastAsia="Times New Roman"/>
              </w:rPr>
            </w:pPr>
          </w:p>
        </w:tc>
        <w:tc>
          <w:tcPr>
            <w:tcW w:w="0" w:type="auto"/>
            <w:gridSpan w:val="3"/>
            <w:vMerge/>
            <w:tcBorders>
              <w:top w:val="single" w:sz="4" w:space="0" w:color="000000"/>
            </w:tcBorders>
            <w:vAlign w:val="center"/>
            <w:hideMark/>
          </w:tcPr>
          <w:p w:rsidR="00000000" w:rsidRDefault="00897B14">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vMerge/>
            <w:tcBorders>
              <w:bottom w:val="single" w:sz="8" w:space="0" w:color="000000"/>
            </w:tcBorders>
            <w:vAlign w:val="center"/>
            <w:hideMark/>
          </w:tcPr>
          <w:p w:rsidR="00000000" w:rsidRDefault="00897B14">
            <w:pPr>
              <w:spacing w:after="100"/>
              <w:rPr>
                <w:rFonts w:eastAsia="Times New Roman"/>
              </w:rPr>
            </w:pPr>
          </w:p>
        </w:tc>
      </w:tr>
      <w:tr w:rsidR="00000000">
        <w:trPr>
          <w:divId w:val="1182475598"/>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182475598"/>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82475598"/>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182475598"/>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182475598"/>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182475598"/>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13,447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13,447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82475598"/>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82475598"/>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82475598"/>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1182475598"/>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10,346 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182475598"/>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1182475598"/>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12,966 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270"/>
        <w:divId w:val="974066457"/>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897B14">
      <w:pPr>
        <w:ind w:hanging="360"/>
        <w:divId w:val="1057045838"/>
        <w:rPr>
          <w:rFonts w:eastAsia="Times New Roman"/>
        </w:rPr>
      </w:pPr>
      <w:r>
        <w:rPr>
          <w:rFonts w:eastAsia="Times New Roman"/>
          <w:color w:val="000000"/>
          <w:sz w:val="18"/>
          <w:szCs w:val="18"/>
        </w:rPr>
        <w:t xml:space="preserve">(1)Amounts presented at amortized cost basis. </w:t>
      </w:r>
    </w:p>
    <w:p w:rsidR="00000000" w:rsidRDefault="00897B14">
      <w:pPr>
        <w:divId w:val="2136288737"/>
        <w:rPr>
          <w:rFonts w:eastAsia="Times New Roman"/>
        </w:rPr>
      </w:pPr>
      <w:r>
        <w:rPr>
          <w:rFonts w:eastAsia="Times New Roman"/>
          <w:color w:val="000000"/>
          <w:sz w:val="20"/>
          <w:szCs w:val="20"/>
        </w:rPr>
        <w:t>As of June 30, 2021 and December 31, 2020, the carrying values of problem mortgage loans that had been classified as non-accrual loans were $0 million and $0 million, respectively.</w:t>
      </w:r>
    </w:p>
    <w:p w:rsidR="00000000" w:rsidRDefault="00897B14">
      <w:pPr>
        <w:divId w:val="706831207"/>
        <w:rPr>
          <w:rFonts w:eastAsia="Times New Roman"/>
        </w:rPr>
      </w:pPr>
      <w:r>
        <w:rPr>
          <w:rFonts w:eastAsia="Times New Roman"/>
          <w:color w:val="000000"/>
          <w:sz w:val="20"/>
          <w:szCs w:val="20"/>
          <w:u w:val="single"/>
        </w:rPr>
        <w:t>Troubled Debt Restructur</w:t>
      </w:r>
      <w:r>
        <w:rPr>
          <w:rFonts w:eastAsia="Times New Roman"/>
          <w:color w:val="000000"/>
          <w:sz w:val="20"/>
          <w:szCs w:val="20"/>
          <w:u w:val="single"/>
        </w:rPr>
        <w:t>ing</w:t>
      </w:r>
    </w:p>
    <w:p w:rsidR="00000000" w:rsidRDefault="00897B14">
      <w:pPr>
        <w:divId w:val="503862310"/>
        <w:rPr>
          <w:rFonts w:eastAsia="Times New Roman"/>
        </w:rPr>
      </w:pPr>
      <w:r>
        <w:rPr>
          <w:rFonts w:eastAsia="Times New Roman"/>
          <w:color w:val="000000"/>
          <w:sz w:val="20"/>
          <w:szCs w:val="20"/>
        </w:rPr>
        <w:t>During the three and six months ended June 30, 2021, the Company had one new privately negotiated fixed maturity TDR with a pre-modification cost basis of $9 million and post-modification carrying value of $5 million. This TDR did not have subsequent p</w:t>
      </w:r>
      <w:r>
        <w:rPr>
          <w:rFonts w:eastAsia="Times New Roman"/>
          <w:color w:val="000000"/>
          <w:sz w:val="20"/>
          <w:szCs w:val="20"/>
        </w:rPr>
        <w:t>ayment defaults nor additional commitments to lend. The one privately negotiated fixed maturity TDR is</w:t>
      </w:r>
      <w:r>
        <w:rPr>
          <w:rFonts w:eastAsia="Times New Roman"/>
          <w:color w:val="000000"/>
          <w:sz w:val="20"/>
          <w:szCs w:val="20"/>
          <w:shd w:val="clear" w:color="auto" w:fill="FFFFFF"/>
        </w:rPr>
        <w:t xml:space="preserve"> .0.005% </w:t>
      </w:r>
      <w:r>
        <w:rPr>
          <w:rFonts w:eastAsia="Times New Roman"/>
          <w:color w:val="000000"/>
          <w:sz w:val="20"/>
          <w:szCs w:val="20"/>
        </w:rPr>
        <w:t xml:space="preserve">of the Company’s total invested assets. </w:t>
      </w:r>
      <w:r>
        <w:rPr>
          <w:rFonts w:eastAsia="Times New Roman"/>
          <w:color w:val="000000"/>
          <w:sz w:val="20"/>
          <w:szCs w:val="20"/>
          <w:shd w:val="clear" w:color="auto" w:fill="FFFFFF"/>
        </w:rPr>
        <w:t xml:space="preserve">There were no mortgage loan on real estate accounted for as a TDR during </w:t>
      </w:r>
      <w:r>
        <w:rPr>
          <w:rFonts w:eastAsia="Times New Roman"/>
          <w:color w:val="000000"/>
          <w:sz w:val="20"/>
          <w:szCs w:val="20"/>
        </w:rPr>
        <w:t xml:space="preserve">three and six months ended June </w:t>
      </w:r>
      <w:r>
        <w:rPr>
          <w:rFonts w:eastAsia="Times New Roman"/>
          <w:color w:val="000000"/>
          <w:sz w:val="20"/>
          <w:szCs w:val="20"/>
        </w:rPr>
        <w:t>30, 2021.</w:t>
      </w:r>
    </w:p>
    <w:p w:rsidR="00000000" w:rsidRDefault="00897B14">
      <w:pPr>
        <w:divId w:val="1315833523"/>
        <w:rPr>
          <w:rFonts w:eastAsia="Times New Roman"/>
        </w:rPr>
      </w:pPr>
      <w:r>
        <w:rPr>
          <w:rFonts w:eastAsia="Times New Roman"/>
          <w:color w:val="000000"/>
          <w:sz w:val="20"/>
          <w:szCs w:val="20"/>
        </w:rPr>
        <w:t xml:space="preserve">During the three and six months ended June 30, 2020, the Company had four new privately negotiated fixed maturity TDRs with a pre-modification cost basis of $42 million and post-modification carrying value of $37 million. These TDRs did not have </w:t>
      </w:r>
      <w:r>
        <w:rPr>
          <w:rFonts w:eastAsia="Times New Roman"/>
          <w:color w:val="000000"/>
          <w:sz w:val="20"/>
          <w:szCs w:val="20"/>
        </w:rPr>
        <w:t>subsequent payment defaults nor additional commitments to lend. The four privately negotiated fixed maturity TDRs wer</w:t>
      </w:r>
      <w:r>
        <w:rPr>
          <w:rFonts w:eastAsia="Times New Roman"/>
          <w:color w:val="000000"/>
          <w:sz w:val="20"/>
          <w:szCs w:val="20"/>
          <w:shd w:val="clear" w:color="auto" w:fill="FFFFFF"/>
        </w:rPr>
        <w:t xml:space="preserve">e 0.04% </w:t>
      </w:r>
      <w:r>
        <w:rPr>
          <w:rFonts w:eastAsia="Times New Roman"/>
          <w:color w:val="000000"/>
          <w:sz w:val="20"/>
          <w:szCs w:val="20"/>
        </w:rPr>
        <w:t>of the Company’s total invested assets.</w:t>
      </w:r>
      <w:r>
        <w:rPr>
          <w:rFonts w:eastAsia="Times New Roman"/>
          <w:color w:val="000000"/>
          <w:sz w:val="20"/>
          <w:szCs w:val="20"/>
          <w:shd w:val="clear" w:color="auto" w:fill="FFFFFF"/>
        </w:rPr>
        <w:t xml:space="preserve"> There were no mortgage loan on real estate accounted for as a TDR during </w:t>
      </w:r>
      <w:r>
        <w:rPr>
          <w:rFonts w:eastAsia="Times New Roman"/>
          <w:color w:val="000000"/>
          <w:sz w:val="20"/>
          <w:szCs w:val="20"/>
        </w:rPr>
        <w:t>three and six mont</w:t>
      </w:r>
      <w:r>
        <w:rPr>
          <w:rFonts w:eastAsia="Times New Roman"/>
          <w:color w:val="000000"/>
          <w:sz w:val="20"/>
          <w:szCs w:val="20"/>
        </w:rPr>
        <w:t>hs ended June 30, 2020</w:t>
      </w:r>
      <w:r>
        <w:rPr>
          <w:rFonts w:eastAsia="Times New Roman"/>
          <w:color w:val="000000"/>
          <w:sz w:val="20"/>
          <w:szCs w:val="20"/>
          <w:shd w:val="clear" w:color="auto" w:fill="FFFFFF"/>
        </w:rPr>
        <w:t>.</w:t>
      </w:r>
    </w:p>
    <w:p w:rsidR="00000000" w:rsidRDefault="00897B14">
      <w:pPr>
        <w:divId w:val="20785082"/>
        <w:rPr>
          <w:rFonts w:eastAsia="Times New Roman"/>
        </w:rPr>
      </w:pPr>
      <w:r>
        <w:rPr>
          <w:rFonts w:eastAsia="Times New Roman"/>
          <w:color w:val="000000"/>
          <w:sz w:val="20"/>
          <w:szCs w:val="20"/>
          <w:u w:val="single"/>
        </w:rPr>
        <w:t>Equity Securities</w:t>
      </w:r>
    </w:p>
    <w:p w:rsidR="00000000" w:rsidRDefault="00897B14">
      <w:pPr>
        <w:divId w:val="733234651"/>
        <w:rPr>
          <w:rFonts w:eastAsia="Times New Roman"/>
        </w:rPr>
      </w:pPr>
      <w:r>
        <w:rPr>
          <w:rFonts w:eastAsia="Times New Roman"/>
          <w:color w:val="000000"/>
          <w:sz w:val="20"/>
          <w:szCs w:val="20"/>
        </w:rPr>
        <w:t>The table below presents a breakdown of unrealized and realized gains and (losses) on equity securities during the three and six months ended June 30, 2021.</w:t>
      </w:r>
    </w:p>
    <w:p w:rsidR="00000000" w:rsidRDefault="00897B14">
      <w:pPr>
        <w:jc w:val="center"/>
        <w:rPr>
          <w:rFonts w:eastAsia="Times New Roman"/>
        </w:rPr>
      </w:pPr>
      <w:r>
        <w:rPr>
          <w:rFonts w:eastAsia="Times New Roman"/>
          <w:b/>
          <w:bCs/>
          <w:color w:val="000000"/>
          <w:sz w:val="20"/>
          <w:szCs w:val="20"/>
        </w:rPr>
        <w:t>Unrealized and Realized Gains (Losses) from Equity Securities (1)</w:t>
      </w:r>
    </w:p>
    <w:tbl>
      <w:tblPr>
        <w:tblW w:w="4919" w:type="pct"/>
        <w:tblCellMar>
          <w:top w:w="15" w:type="dxa"/>
          <w:left w:w="15" w:type="dxa"/>
          <w:bottom w:w="15" w:type="dxa"/>
          <w:right w:w="15" w:type="dxa"/>
        </w:tblCellMar>
        <w:tblLook w:val="04A0" w:firstRow="1" w:lastRow="0" w:firstColumn="1" w:lastColumn="0" w:noHBand="0" w:noVBand="1"/>
      </w:tblPr>
      <w:tblGrid>
        <w:gridCol w:w="37"/>
        <w:gridCol w:w="5491"/>
        <w:gridCol w:w="36"/>
        <w:gridCol w:w="121"/>
        <w:gridCol w:w="912"/>
        <w:gridCol w:w="36"/>
        <w:gridCol w:w="36"/>
        <w:gridCol w:w="36"/>
        <w:gridCol w:w="36"/>
        <w:gridCol w:w="36"/>
        <w:gridCol w:w="121"/>
        <w:gridCol w:w="913"/>
        <w:gridCol w:w="36"/>
        <w:gridCol w:w="36"/>
        <w:gridCol w:w="36"/>
        <w:gridCol w:w="36"/>
        <w:gridCol w:w="36"/>
        <w:gridCol w:w="36"/>
        <w:gridCol w:w="36"/>
        <w:gridCol w:w="36"/>
        <w:gridCol w:w="36"/>
        <w:gridCol w:w="36"/>
      </w:tblGrid>
      <w:tr w:rsidR="00000000">
        <w:trPr>
          <w:divId w:val="1809472167"/>
        </w:trPr>
        <w:tc>
          <w:tcPr>
            <w:tcW w:w="50" w:type="pct"/>
            <w:vAlign w:val="center"/>
            <w:hideMark/>
          </w:tcPr>
          <w:p w:rsidR="00000000" w:rsidRDefault="00897B14">
            <w:pPr>
              <w:jc w:val="center"/>
              <w:rPr>
                <w:rFonts w:eastAsia="Times New Roman"/>
              </w:rPr>
            </w:pPr>
          </w:p>
        </w:tc>
        <w:tc>
          <w:tcPr>
            <w:tcW w:w="356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recognized on equity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Unrealized and realized gains (losses) on equity securities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0947216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1820223102"/>
        <w:rPr>
          <w:rFonts w:eastAsia="Times New Roman"/>
        </w:rPr>
      </w:pPr>
      <w:r>
        <w:rPr>
          <w:rFonts w:eastAsia="Times New Roman"/>
          <w:color w:val="000000"/>
          <w:sz w:val="18"/>
          <w:szCs w:val="18"/>
        </w:rPr>
        <w:t>______________</w:t>
      </w:r>
    </w:p>
    <w:p w:rsidR="00000000" w:rsidRDefault="00897B14">
      <w:pPr>
        <w:ind w:hanging="360"/>
        <w:divId w:val="372005854"/>
        <w:rPr>
          <w:rFonts w:eastAsia="Times New Roman"/>
        </w:rPr>
      </w:pPr>
      <w:r>
        <w:rPr>
          <w:rFonts w:eastAsia="Times New Roman"/>
          <w:color w:val="000000"/>
          <w:sz w:val="18"/>
          <w:szCs w:val="18"/>
        </w:rPr>
        <w:t>(1)</w:t>
      </w:r>
      <w:r>
        <w:rPr>
          <w:rFonts w:eastAsia="Times New Roman"/>
          <w:color w:val="000000"/>
          <w:sz w:val="18"/>
          <w:szCs w:val="18"/>
        </w:rPr>
        <w:t>Effective January 1, 2021, certain preferred stock have been reclassified to other equity investments (see Note 2 Significant Accounting Policies – Investments).</w:t>
      </w:r>
    </w:p>
    <w:p w:rsidR="00000000" w:rsidRDefault="00897B14">
      <w:pPr>
        <w:jc w:val="center"/>
        <w:divId w:val="1966161153"/>
        <w:rPr>
          <w:rFonts w:eastAsia="Times New Roman"/>
        </w:rPr>
      </w:pPr>
    </w:p>
    <w:p w:rsidR="00000000" w:rsidRDefault="00897B14">
      <w:pPr>
        <w:jc w:val="center"/>
        <w:divId w:val="1966161153"/>
        <w:rPr>
          <w:rFonts w:eastAsia="Times New Roman"/>
        </w:rPr>
      </w:pPr>
      <w:r>
        <w:rPr>
          <w:rFonts w:eastAsia="Times New Roman"/>
          <w:color w:val="000000"/>
          <w:sz w:val="20"/>
          <w:szCs w:val="20"/>
        </w:rPr>
        <w:t>29</w:t>
      </w:r>
    </w:p>
    <w:p w:rsidR="00000000" w:rsidRDefault="00897B14">
      <w:pPr>
        <w:rPr>
          <w:rFonts w:eastAsia="Times New Roman"/>
        </w:rPr>
      </w:pPr>
      <w:r>
        <w:rPr>
          <w:rFonts w:eastAsia="Times New Roman"/>
        </w:rPr>
        <w:pict>
          <v:rect id="_x0000_i1055" style="width:0;height:1.5pt" o:hralign="center" o:hrstd="t" o:hr="t" fillcolor="#a0a0a0" stroked="f"/>
        </w:pict>
      </w:r>
    </w:p>
    <w:p w:rsidR="00000000" w:rsidRDefault="00897B14">
      <w:pPr>
        <w:divId w:val="199980669"/>
        <w:rPr>
          <w:rFonts w:eastAsia="Times New Roman"/>
        </w:rPr>
      </w:pPr>
      <w:r>
        <w:rPr>
          <w:rFonts w:eastAsia="Times New Roman"/>
          <w:b/>
          <w:bCs/>
          <w:color w:val="0000FF"/>
          <w:sz w:val="20"/>
          <w:szCs w:val="20"/>
          <w:u w:val="single"/>
        </w:rPr>
        <w:t>Table of Contents</w:t>
      </w:r>
    </w:p>
    <w:p w:rsidR="00000000" w:rsidRDefault="00897B14">
      <w:pPr>
        <w:jc w:val="center"/>
        <w:divId w:val="1682391634"/>
        <w:rPr>
          <w:rFonts w:eastAsia="Times New Roman"/>
        </w:rPr>
      </w:pPr>
      <w:r>
        <w:rPr>
          <w:rFonts w:eastAsia="Times New Roman"/>
          <w:b/>
          <w:bCs/>
          <w:color w:val="000000"/>
          <w:sz w:val="20"/>
          <w:szCs w:val="20"/>
        </w:rPr>
        <w:t>EQUITABLE HOLDINGS, INC.</w:t>
      </w:r>
    </w:p>
    <w:p w:rsidR="00000000" w:rsidRDefault="00897B14">
      <w:pPr>
        <w:jc w:val="center"/>
        <w:divId w:val="1682391634"/>
        <w:rPr>
          <w:rFonts w:eastAsia="Times New Roman"/>
        </w:rPr>
      </w:pPr>
      <w:r>
        <w:rPr>
          <w:rFonts w:eastAsia="Times New Roman"/>
          <w:b/>
          <w:bCs/>
          <w:color w:val="000000"/>
          <w:sz w:val="20"/>
          <w:szCs w:val="20"/>
        </w:rPr>
        <w:t xml:space="preserve">Notes to </w:t>
      </w:r>
      <w:r>
        <w:rPr>
          <w:rFonts w:eastAsia="Times New Roman"/>
          <w:b/>
          <w:bCs/>
          <w:color w:val="000000"/>
          <w:sz w:val="20"/>
          <w:szCs w:val="20"/>
        </w:rPr>
        <w:t>Consolidated Financial Statements (Unaudited), Continued</w:t>
      </w:r>
    </w:p>
    <w:p w:rsidR="00000000" w:rsidRDefault="00897B14">
      <w:pPr>
        <w:divId w:val="970358675"/>
        <w:rPr>
          <w:rFonts w:eastAsia="Times New Roman"/>
        </w:rPr>
      </w:pPr>
    </w:p>
    <w:p w:rsidR="00000000" w:rsidRDefault="00897B14">
      <w:pPr>
        <w:divId w:val="1767068287"/>
        <w:rPr>
          <w:rFonts w:eastAsia="Times New Roman"/>
        </w:rPr>
      </w:pPr>
      <w:r>
        <w:rPr>
          <w:rFonts w:eastAsia="Times New Roman"/>
          <w:color w:val="000000"/>
          <w:sz w:val="20"/>
          <w:szCs w:val="20"/>
          <w:u w:val="single"/>
        </w:rPr>
        <w:t>Trading Securities</w:t>
      </w:r>
    </w:p>
    <w:p w:rsidR="00000000" w:rsidRDefault="00897B14">
      <w:pPr>
        <w:divId w:val="85656158"/>
        <w:rPr>
          <w:rFonts w:eastAsia="Times New Roman"/>
        </w:rPr>
      </w:pPr>
      <w:r>
        <w:rPr>
          <w:rFonts w:eastAsia="Times New Roman"/>
          <w:color w:val="000000"/>
          <w:sz w:val="20"/>
          <w:szCs w:val="20"/>
        </w:rPr>
        <w:t>As of June 30, 2021 and December 31, 2020, respectively, the fair value of the Company’s trading securities was $1.0 billion and $5.6 billion. As of June 30, 2021 and December 31</w:t>
      </w:r>
      <w:r>
        <w:rPr>
          <w:rFonts w:eastAsia="Times New Roman"/>
          <w:color w:val="000000"/>
          <w:sz w:val="20"/>
          <w:szCs w:val="20"/>
        </w:rPr>
        <w:t>, 2020, respectively, trading securities included the General Account’s investment in Separate Accounts which had carrying values of</w:t>
      </w:r>
      <w:r>
        <w:rPr>
          <w:rFonts w:eastAsia="Times New Roman"/>
          <w:color w:val="000000"/>
          <w:sz w:val="20"/>
          <w:szCs w:val="20"/>
          <w:shd w:val="clear" w:color="auto" w:fill="FFFFFF"/>
        </w:rPr>
        <w:t xml:space="preserve"> </w:t>
      </w:r>
      <w:r>
        <w:rPr>
          <w:rFonts w:eastAsia="Times New Roman"/>
          <w:color w:val="000000"/>
          <w:sz w:val="20"/>
          <w:szCs w:val="20"/>
        </w:rPr>
        <w:t>$44 million</w:t>
      </w:r>
      <w:r>
        <w:rPr>
          <w:rFonts w:eastAsia="Times New Roman"/>
          <w:color w:val="000000"/>
          <w:sz w:val="20"/>
          <w:szCs w:val="20"/>
          <w:shd w:val="clear" w:color="auto" w:fill="FFFFFF"/>
        </w:rPr>
        <w:t xml:space="preserve"> and</w:t>
      </w:r>
      <w:r>
        <w:rPr>
          <w:rFonts w:eastAsia="Times New Roman"/>
          <w:color w:val="000000"/>
          <w:sz w:val="20"/>
          <w:szCs w:val="20"/>
        </w:rPr>
        <w:t xml:space="preserve"> $44 million.</w:t>
      </w:r>
    </w:p>
    <w:p w:rsidR="00000000" w:rsidRDefault="00897B14">
      <w:pPr>
        <w:divId w:val="1634867351"/>
        <w:rPr>
          <w:rFonts w:eastAsia="Times New Roman"/>
        </w:rPr>
      </w:pPr>
      <w:r>
        <w:rPr>
          <w:rFonts w:eastAsia="Times New Roman"/>
          <w:color w:val="000000"/>
          <w:sz w:val="20"/>
          <w:szCs w:val="20"/>
        </w:rPr>
        <w:t>The table below shows a breakdown of net investment income (loss) from trading securities duri</w:t>
      </w:r>
      <w:r>
        <w:rPr>
          <w:rFonts w:eastAsia="Times New Roman"/>
          <w:color w:val="000000"/>
          <w:sz w:val="20"/>
          <w:szCs w:val="20"/>
        </w:rPr>
        <w:t>ng the three months and six months ended June 30, 2021 and 2020.</w:t>
      </w:r>
    </w:p>
    <w:p w:rsidR="00000000" w:rsidRDefault="00897B14">
      <w:pPr>
        <w:jc w:val="center"/>
        <w:rPr>
          <w:rFonts w:eastAsia="Times New Roman"/>
        </w:rPr>
      </w:pPr>
      <w:r>
        <w:rPr>
          <w:rFonts w:eastAsia="Times New Roman"/>
          <w:b/>
          <w:bCs/>
          <w:color w:val="000000"/>
          <w:sz w:val="20"/>
          <w:szCs w:val="20"/>
        </w:rPr>
        <w:t>Net Investment Income (Loss) from Trading Securities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3696"/>
        <w:gridCol w:w="36"/>
        <w:gridCol w:w="120"/>
        <w:gridCol w:w="865"/>
        <w:gridCol w:w="36"/>
        <w:gridCol w:w="36"/>
        <w:gridCol w:w="36"/>
        <w:gridCol w:w="36"/>
        <w:gridCol w:w="120"/>
        <w:gridCol w:w="821"/>
        <w:gridCol w:w="36"/>
        <w:gridCol w:w="36"/>
        <w:gridCol w:w="36"/>
        <w:gridCol w:w="36"/>
        <w:gridCol w:w="120"/>
        <w:gridCol w:w="843"/>
        <w:gridCol w:w="36"/>
        <w:gridCol w:w="36"/>
        <w:gridCol w:w="36"/>
        <w:gridCol w:w="36"/>
        <w:gridCol w:w="120"/>
        <w:gridCol w:w="844"/>
        <w:gridCol w:w="36"/>
        <w:gridCol w:w="36"/>
        <w:gridCol w:w="36"/>
        <w:gridCol w:w="36"/>
        <w:gridCol w:w="36"/>
        <w:gridCol w:w="36"/>
        <w:gridCol w:w="36"/>
      </w:tblGrid>
      <w:tr w:rsidR="00000000">
        <w:trPr>
          <w:divId w:val="2014839308"/>
        </w:trPr>
        <w:tc>
          <w:tcPr>
            <w:tcW w:w="50" w:type="pct"/>
            <w:vAlign w:val="center"/>
            <w:hideMark/>
          </w:tcPr>
          <w:p w:rsidR="00000000" w:rsidRDefault="00897B14">
            <w:pPr>
              <w:jc w:val="center"/>
              <w:rPr>
                <w:rFonts w:eastAsia="Times New Roman"/>
              </w:rPr>
            </w:pPr>
          </w:p>
        </w:tc>
        <w:tc>
          <w:tcPr>
            <w:tcW w:w="23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(176)</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287 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(246)</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Unrealized and realized gains (losses) on trading securities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Interest and dividend income from trading securities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1483930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income (loss) from trading securities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209727010"/>
        <w:rPr>
          <w:rFonts w:eastAsia="Times New Roman"/>
        </w:rPr>
      </w:pPr>
    </w:p>
    <w:p w:rsidR="00000000" w:rsidRDefault="00897B14">
      <w:pPr>
        <w:divId w:val="1755273078"/>
        <w:rPr>
          <w:rFonts w:eastAsia="Times New Roman"/>
        </w:rPr>
      </w:pPr>
      <w:r>
        <w:rPr>
          <w:rFonts w:eastAsia="Times New Roman"/>
          <w:color w:val="000000"/>
          <w:sz w:val="20"/>
          <w:szCs w:val="20"/>
          <w:u w:val="single"/>
        </w:rPr>
        <w:t xml:space="preserve">Fixed maturities, at fair value using the fair value option </w:t>
      </w:r>
    </w:p>
    <w:p w:rsidR="00000000" w:rsidRDefault="00897B14">
      <w:pPr>
        <w:divId w:val="1602177454"/>
        <w:rPr>
          <w:rFonts w:eastAsia="Times New Roman"/>
        </w:rPr>
      </w:pPr>
      <w:r>
        <w:rPr>
          <w:rFonts w:eastAsia="Times New Roman"/>
          <w:color w:val="000000"/>
          <w:sz w:val="20"/>
          <w:szCs w:val="20"/>
        </w:rPr>
        <w:t>The table below shows a breakdown of net i</w:t>
      </w:r>
      <w:r>
        <w:rPr>
          <w:rFonts w:eastAsia="Times New Roman"/>
          <w:color w:val="000000"/>
          <w:sz w:val="20"/>
          <w:szCs w:val="20"/>
        </w:rPr>
        <w:t>nvestment income (loss) from fixed maturities, at fair value using the fair value option during the three and six months ended June 30, 2021.</w:t>
      </w:r>
    </w:p>
    <w:p w:rsidR="00000000" w:rsidRDefault="00897B14">
      <w:pPr>
        <w:jc w:val="center"/>
        <w:rPr>
          <w:rFonts w:eastAsia="Times New Roman"/>
        </w:rPr>
      </w:pPr>
      <w:r>
        <w:rPr>
          <w:rFonts w:eastAsia="Times New Roman"/>
          <w:b/>
          <w:bCs/>
          <w:color w:val="000000"/>
          <w:sz w:val="20"/>
          <w:szCs w:val="20"/>
        </w:rPr>
        <w:t>Net Investment Income (Loss) from Fixed Maturities, at Fair Value using the Fair Value Option</w:t>
      </w:r>
    </w:p>
    <w:tbl>
      <w:tblPr>
        <w:tblW w:w="4963" w:type="pct"/>
        <w:tblCellMar>
          <w:top w:w="15" w:type="dxa"/>
          <w:left w:w="15" w:type="dxa"/>
          <w:bottom w:w="15" w:type="dxa"/>
          <w:right w:w="15" w:type="dxa"/>
        </w:tblCellMar>
        <w:tblLook w:val="04A0" w:firstRow="1" w:lastRow="0" w:firstColumn="1" w:lastColumn="0" w:noHBand="0" w:noVBand="1"/>
      </w:tblPr>
      <w:tblGrid>
        <w:gridCol w:w="37"/>
        <w:gridCol w:w="4692"/>
        <w:gridCol w:w="36"/>
        <w:gridCol w:w="121"/>
        <w:gridCol w:w="1202"/>
        <w:gridCol w:w="36"/>
        <w:gridCol w:w="36"/>
        <w:gridCol w:w="36"/>
        <w:gridCol w:w="36"/>
        <w:gridCol w:w="36"/>
        <w:gridCol w:w="189"/>
        <w:gridCol w:w="188"/>
        <w:gridCol w:w="188"/>
        <w:gridCol w:w="120"/>
        <w:gridCol w:w="1040"/>
        <w:gridCol w:w="36"/>
        <w:gridCol w:w="36"/>
        <w:gridCol w:w="36"/>
        <w:gridCol w:w="36"/>
        <w:gridCol w:w="36"/>
        <w:gridCol w:w="36"/>
        <w:gridCol w:w="36"/>
      </w:tblGrid>
      <w:tr w:rsidR="00000000">
        <w:trPr>
          <w:divId w:val="94450637"/>
        </w:trPr>
        <w:tc>
          <w:tcPr>
            <w:tcW w:w="50" w:type="pct"/>
            <w:vAlign w:val="center"/>
            <w:hideMark/>
          </w:tcPr>
          <w:p w:rsidR="00000000" w:rsidRDefault="00897B14">
            <w:pPr>
              <w:jc w:val="center"/>
              <w:rPr>
                <w:rFonts w:eastAsia="Times New Roman"/>
              </w:rPr>
            </w:pPr>
          </w:p>
        </w:tc>
        <w:tc>
          <w:tcPr>
            <w:tcW w:w="32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85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74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7"/>
            <w:tcBorders>
              <w:top w:val="single" w:sz="8" w:space="0" w:color="000000"/>
            </w:tcBorders>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Unrealized and realized gains (losses) from fixed maturities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Interest and dividend income from fixed maturities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445063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income (loss) from fixed maturities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372993411"/>
        <w:rPr>
          <w:rFonts w:eastAsia="Times New Roman"/>
        </w:rPr>
      </w:pPr>
    </w:p>
    <w:p w:rsidR="00000000" w:rsidRDefault="00897B14">
      <w:pPr>
        <w:jc w:val="center"/>
        <w:divId w:val="1103575965"/>
        <w:rPr>
          <w:rFonts w:eastAsia="Times New Roman"/>
        </w:rPr>
      </w:pPr>
    </w:p>
    <w:p w:rsidR="00000000" w:rsidRDefault="00897B14">
      <w:pPr>
        <w:jc w:val="center"/>
        <w:divId w:val="1103575965"/>
        <w:rPr>
          <w:rFonts w:eastAsia="Times New Roman"/>
        </w:rPr>
      </w:pPr>
      <w:r>
        <w:rPr>
          <w:rFonts w:eastAsia="Times New Roman"/>
          <w:color w:val="000000"/>
          <w:sz w:val="20"/>
          <w:szCs w:val="20"/>
        </w:rPr>
        <w:t>30</w:t>
      </w:r>
    </w:p>
    <w:p w:rsidR="00000000" w:rsidRDefault="00897B14">
      <w:pPr>
        <w:rPr>
          <w:rFonts w:eastAsia="Times New Roman"/>
        </w:rPr>
      </w:pPr>
      <w:r>
        <w:rPr>
          <w:rFonts w:eastAsia="Times New Roman"/>
        </w:rPr>
        <w:pict>
          <v:rect id="_x0000_i1056" style="width:0;height:1.5pt" o:hralign="center" o:hrstd="t" o:hr="t" fillcolor="#a0a0a0" stroked="f"/>
        </w:pict>
      </w:r>
    </w:p>
    <w:p w:rsidR="00000000" w:rsidRDefault="00897B14">
      <w:pPr>
        <w:divId w:val="1240020157"/>
        <w:rPr>
          <w:rFonts w:eastAsia="Times New Roman"/>
        </w:rPr>
      </w:pPr>
      <w:r>
        <w:rPr>
          <w:rFonts w:eastAsia="Times New Roman"/>
          <w:b/>
          <w:bCs/>
          <w:color w:val="0000FF"/>
          <w:sz w:val="20"/>
          <w:szCs w:val="20"/>
          <w:u w:val="single"/>
        </w:rPr>
        <w:t>Table of Contents</w:t>
      </w:r>
    </w:p>
    <w:p w:rsidR="00000000" w:rsidRDefault="00897B14">
      <w:pPr>
        <w:jc w:val="center"/>
        <w:divId w:val="1958951810"/>
        <w:rPr>
          <w:rFonts w:eastAsia="Times New Roman"/>
        </w:rPr>
      </w:pPr>
      <w:r>
        <w:rPr>
          <w:rFonts w:eastAsia="Times New Roman"/>
          <w:b/>
          <w:bCs/>
          <w:color w:val="000000"/>
          <w:sz w:val="20"/>
          <w:szCs w:val="20"/>
        </w:rPr>
        <w:t>EQUITABLE HOLDINGS, INC.</w:t>
      </w:r>
    </w:p>
    <w:p w:rsidR="00000000" w:rsidRDefault="00897B14">
      <w:pPr>
        <w:jc w:val="center"/>
        <w:divId w:val="1958951810"/>
        <w:rPr>
          <w:rFonts w:eastAsia="Times New Roman"/>
        </w:rPr>
      </w:pPr>
      <w:r>
        <w:rPr>
          <w:rFonts w:eastAsia="Times New Roman"/>
          <w:b/>
          <w:bCs/>
          <w:color w:val="000000"/>
          <w:sz w:val="20"/>
          <w:szCs w:val="20"/>
        </w:rPr>
        <w:t>Notes to Consolidated Financial Statements (Unaudited), Continued</w:t>
      </w:r>
    </w:p>
    <w:p w:rsidR="00000000" w:rsidRDefault="00897B14">
      <w:pPr>
        <w:divId w:val="1387215352"/>
        <w:rPr>
          <w:rFonts w:eastAsia="Times New Roman"/>
        </w:rPr>
      </w:pPr>
    </w:p>
    <w:p w:rsidR="00000000" w:rsidRDefault="00897B14">
      <w:pPr>
        <w:divId w:val="83572404"/>
        <w:rPr>
          <w:rFonts w:eastAsia="Times New Roman"/>
        </w:rPr>
      </w:pPr>
      <w:r>
        <w:rPr>
          <w:rFonts w:eastAsia="Times New Roman"/>
          <w:b/>
          <w:bCs/>
          <w:color w:val="000000"/>
          <w:sz w:val="20"/>
          <w:szCs w:val="20"/>
        </w:rPr>
        <w:t>4)     DERIVATIVES</w:t>
      </w:r>
    </w:p>
    <w:p w:rsidR="00000000" w:rsidRDefault="00897B14">
      <w:pPr>
        <w:divId w:val="728840162"/>
        <w:rPr>
          <w:rFonts w:eastAsia="Times New Roman"/>
        </w:rPr>
      </w:pPr>
      <w:r>
        <w:rPr>
          <w:rFonts w:eastAsia="Times New Roman"/>
          <w:color w:val="000000"/>
          <w:sz w:val="20"/>
          <w:szCs w:val="20"/>
        </w:rPr>
        <w:t>The Company uses derivatives as part of its overall asset/liability risk management primarily to reduce exposures to equity market and interest rate risks. Derivative hedging strategies are designed to reduce these risks from an economic perspective and ar</w:t>
      </w:r>
      <w:r>
        <w:rPr>
          <w:rFonts w:eastAsia="Times New Roman"/>
          <w:color w:val="000000"/>
          <w:sz w:val="20"/>
          <w:szCs w:val="20"/>
        </w:rPr>
        <w:t>e all executed within the framework of a “Derivative Use Plan” approved by applicable states’ insurance law. Derivatives are generally not accounted for using hedge accounting, with the exception of TIPS, which is discussed further below. Operation of thes</w:t>
      </w:r>
      <w:r>
        <w:rPr>
          <w:rFonts w:eastAsia="Times New Roman"/>
          <w:color w:val="000000"/>
          <w:sz w:val="20"/>
          <w:szCs w:val="20"/>
        </w:rPr>
        <w:t>e hedging programs is based on models involving numerous estimates and assumptions, including, among others, mortality, lapse, surrender and withdrawal rates, election rates, fund performance, market volatility and interest rates. A wide range of derivativ</w:t>
      </w:r>
      <w:r>
        <w:rPr>
          <w:rFonts w:eastAsia="Times New Roman"/>
          <w:color w:val="000000"/>
          <w:sz w:val="20"/>
          <w:szCs w:val="20"/>
        </w:rPr>
        <w:t>e contracts are used in these hedging programs, including exchange traded equity, currency and interest rate futures contracts, total return and/or other equity swaps, interest rate swap and floor contracts, bond and bond-index total return swaps, swaption</w:t>
      </w:r>
      <w:r>
        <w:rPr>
          <w:rFonts w:eastAsia="Times New Roman"/>
          <w:color w:val="000000"/>
          <w:sz w:val="20"/>
          <w:szCs w:val="20"/>
        </w:rPr>
        <w:t>s, variance swaps and equity options, credit and foreign exchange derivatives, as well as bond and repo transactions to support the hedging. The derivative contracts are collectively managed in an effort to reduce the economic impact of unfavorable changes</w:t>
      </w:r>
      <w:r>
        <w:rPr>
          <w:rFonts w:eastAsia="Times New Roman"/>
          <w:color w:val="000000"/>
          <w:sz w:val="20"/>
          <w:szCs w:val="20"/>
        </w:rPr>
        <w:t xml:space="preserve"> in guaranteed benefits’ exposures attributable to movements in capital markets. In addition, as part of its hedging strategy, the Company targets an asset level for all variable annuity products at or above a CTE98 level under most economic scenarios (CTE</w:t>
      </w:r>
      <w:r>
        <w:rPr>
          <w:rFonts w:eastAsia="Times New Roman"/>
          <w:color w:val="000000"/>
          <w:sz w:val="20"/>
          <w:szCs w:val="20"/>
        </w:rPr>
        <w:t xml:space="preserve"> is a statistical measure of tail risk which quantifies the total asset requirement to sustain a loss if an event outside a given probability level has occurred. CTE98 denotes the financial resources a company would need to cover the average of the worst 2</w:t>
      </w:r>
      <w:r>
        <w:rPr>
          <w:rFonts w:eastAsia="Times New Roman"/>
          <w:color w:val="000000"/>
          <w:sz w:val="20"/>
          <w:szCs w:val="20"/>
        </w:rPr>
        <w:t xml:space="preserve">% of scenarios.) </w:t>
      </w:r>
    </w:p>
    <w:p w:rsidR="00000000" w:rsidRDefault="00897B14">
      <w:pPr>
        <w:divId w:val="2065441513"/>
        <w:rPr>
          <w:rFonts w:eastAsia="Times New Roman"/>
        </w:rPr>
      </w:pPr>
      <w:r>
        <w:rPr>
          <w:rFonts w:eastAsia="Times New Roman"/>
          <w:color w:val="000000"/>
          <w:sz w:val="20"/>
          <w:szCs w:val="20"/>
          <w:u w:val="single"/>
        </w:rPr>
        <w:t xml:space="preserve">Derivatives Utilized to Hedge Exposure to Variable Annuities with Guarantee Features </w:t>
      </w:r>
    </w:p>
    <w:p w:rsidR="00000000" w:rsidRDefault="00897B14">
      <w:pPr>
        <w:divId w:val="1524783380"/>
        <w:rPr>
          <w:rFonts w:eastAsia="Times New Roman"/>
        </w:rPr>
      </w:pPr>
      <w:r>
        <w:rPr>
          <w:rFonts w:eastAsia="Times New Roman"/>
          <w:color w:val="000000"/>
          <w:sz w:val="20"/>
          <w:szCs w:val="20"/>
        </w:rPr>
        <w:t>The Company has issued and continues to offer variable annuity products with GMxB features. The risk associated with the GMDB feature is that under-perf</w:t>
      </w:r>
      <w:r>
        <w:rPr>
          <w:rFonts w:eastAsia="Times New Roman"/>
          <w:color w:val="000000"/>
          <w:sz w:val="20"/>
          <w:szCs w:val="20"/>
        </w:rPr>
        <w:t>ormance of the financial markets could result in GMDB benefits, in the event of death, being higher than what accumulated policyholders’ account balances would support. The risk associated with the GMIB feature is that under-performance of the financial ma</w:t>
      </w:r>
      <w:r>
        <w:rPr>
          <w:rFonts w:eastAsia="Times New Roman"/>
          <w:color w:val="000000"/>
          <w:sz w:val="20"/>
          <w:szCs w:val="20"/>
        </w:rPr>
        <w:t>rkets could result in the present value of GMIB, in the event of annuitization, being higher than what accumulated policyholders’ account balances would support, taking into account the relationship between current annuity purchase rates and the GMIB guara</w:t>
      </w:r>
      <w:r>
        <w:rPr>
          <w:rFonts w:eastAsia="Times New Roman"/>
          <w:color w:val="000000"/>
          <w:sz w:val="20"/>
          <w:szCs w:val="20"/>
        </w:rPr>
        <w:t>nteed annuity purchase rates. The risk associated with products that have a GMxB derivative features liability is that under-performance of the financial markets could result in the GMxB derivative features’ benefits being higher than what accumulated poli</w:t>
      </w:r>
      <w:r>
        <w:rPr>
          <w:rFonts w:eastAsia="Times New Roman"/>
          <w:color w:val="000000"/>
          <w:sz w:val="20"/>
          <w:szCs w:val="20"/>
        </w:rPr>
        <w:t xml:space="preserve">cyholders’ account balances would support. </w:t>
      </w:r>
    </w:p>
    <w:p w:rsidR="00000000" w:rsidRDefault="00897B14">
      <w:pPr>
        <w:divId w:val="24406359"/>
        <w:rPr>
          <w:rFonts w:eastAsia="Times New Roman"/>
        </w:rPr>
      </w:pPr>
      <w:r>
        <w:rPr>
          <w:rFonts w:eastAsia="Times New Roman"/>
          <w:color w:val="000000"/>
          <w:sz w:val="20"/>
          <w:szCs w:val="20"/>
        </w:rPr>
        <w:t>For GMxB features, the Company retains certain risks including basis, credit spread and some volatility risk and risk associated with actual experience versus expected actuarial assumptions for mortality, lapse a</w:t>
      </w:r>
      <w:r>
        <w:rPr>
          <w:rFonts w:eastAsia="Times New Roman"/>
          <w:color w:val="000000"/>
          <w:sz w:val="20"/>
          <w:szCs w:val="20"/>
        </w:rPr>
        <w:t>nd surrender, withdrawal and policyholder election rates, among other things. The derivative contracts are managed to correlate with changes in the value of the GMxB features that result from financial markets movements. A portion of exposure to realized e</w:t>
      </w:r>
      <w:r>
        <w:rPr>
          <w:rFonts w:eastAsia="Times New Roman"/>
          <w:color w:val="000000"/>
          <w:sz w:val="20"/>
          <w:szCs w:val="20"/>
        </w:rPr>
        <w:t>quity volatility is hedged using equity options and variance swaps and a portion of exposure to credit risk is hedged using total return swaps on fixed income indices. Additionally, the Company is party to total return swaps for which the reference U.S. Tr</w:t>
      </w:r>
      <w:r>
        <w:rPr>
          <w:rFonts w:eastAsia="Times New Roman"/>
          <w:color w:val="000000"/>
          <w:sz w:val="20"/>
          <w:szCs w:val="20"/>
        </w:rPr>
        <w:t>easury securities are contemporaneously purchased from the market and sold to the swap counterparty. As these transactions result in a transfer of control of the U.S. Treasury securities to the swap counterparty, the Company derecognizes these securities w</w:t>
      </w:r>
      <w:r>
        <w:rPr>
          <w:rFonts w:eastAsia="Times New Roman"/>
          <w:color w:val="000000"/>
          <w:sz w:val="20"/>
          <w:szCs w:val="20"/>
        </w:rPr>
        <w:t xml:space="preserve">ith consequent gain or loss from the sale. The Company has also purchased reinsurance contracts to mitigate the risks associated with GMDB features and the impact of potential market fluctuations on future policyholder elections of GMIB features contained </w:t>
      </w:r>
      <w:r>
        <w:rPr>
          <w:rFonts w:eastAsia="Times New Roman"/>
          <w:color w:val="000000"/>
          <w:sz w:val="20"/>
          <w:szCs w:val="20"/>
        </w:rPr>
        <w:t>in certain annuity contracts issued by the Company. The reinsurance of the GMIB features is accounted for as a derivative. In addition, on June 1, 2021, we ceded legacy variable annuity policies sold by EFLIC between 2006-2008 (the “Block”), comprised of n</w:t>
      </w:r>
      <w:r>
        <w:rPr>
          <w:rFonts w:eastAsia="Times New Roman"/>
          <w:color w:val="000000"/>
          <w:sz w:val="20"/>
          <w:szCs w:val="20"/>
        </w:rPr>
        <w:t xml:space="preserve">on-New York “Accumulator” policies containing fixed rate GMIB and/or GMDB guarantees. As this contract provides full risk transfer, the benefits of this treaty are accounted for in the same manner as the underlying gross reserves and therefore the Amounts </w:t>
      </w:r>
      <w:r>
        <w:rPr>
          <w:rFonts w:eastAsia="Times New Roman"/>
          <w:color w:val="000000"/>
          <w:sz w:val="20"/>
          <w:szCs w:val="20"/>
        </w:rPr>
        <w:t>Due from Reinsurers related to the GMIB with NLG are accounted for as an embedded derivative.</w:t>
      </w:r>
    </w:p>
    <w:p w:rsidR="00000000" w:rsidRDefault="00897B14">
      <w:pPr>
        <w:divId w:val="1483503747"/>
        <w:rPr>
          <w:rFonts w:eastAsia="Times New Roman"/>
        </w:rPr>
      </w:pPr>
      <w:r>
        <w:rPr>
          <w:rFonts w:eastAsia="Times New Roman"/>
          <w:color w:val="000000"/>
          <w:sz w:val="20"/>
          <w:szCs w:val="20"/>
        </w:rPr>
        <w:t>The Company has in place an economic hedge program using interest rate swaps and U.S. Treasury futures to partially protect the overall profitability of future va</w:t>
      </w:r>
      <w:r>
        <w:rPr>
          <w:rFonts w:eastAsia="Times New Roman"/>
          <w:color w:val="000000"/>
          <w:sz w:val="20"/>
          <w:szCs w:val="20"/>
        </w:rPr>
        <w:t>riable annuity sales against declining interest rates.</w:t>
      </w:r>
    </w:p>
    <w:p w:rsidR="00000000" w:rsidRDefault="00897B14">
      <w:pPr>
        <w:divId w:val="1391493023"/>
        <w:rPr>
          <w:rFonts w:eastAsia="Times New Roman"/>
        </w:rPr>
      </w:pPr>
      <w:r>
        <w:rPr>
          <w:rFonts w:eastAsia="Times New Roman"/>
          <w:color w:val="000000"/>
          <w:sz w:val="20"/>
          <w:szCs w:val="20"/>
          <w:u w:val="single"/>
        </w:rPr>
        <w:t xml:space="preserve">Derivatives Utilized to Hedge Crediting Rate Exposure on SCS, SIO, MSO and IUL Products/Investment Options </w:t>
      </w:r>
    </w:p>
    <w:p w:rsidR="00000000" w:rsidRDefault="00897B14">
      <w:pPr>
        <w:divId w:val="736778589"/>
        <w:rPr>
          <w:rFonts w:eastAsia="Times New Roman"/>
        </w:rPr>
      </w:pPr>
      <w:r>
        <w:rPr>
          <w:rFonts w:eastAsia="Times New Roman"/>
          <w:color w:val="000000"/>
          <w:sz w:val="20"/>
          <w:szCs w:val="20"/>
        </w:rPr>
        <w:t>The Company hedges crediting rates in the SCS variable annuity, SIO in the EQUI-VEST variable</w:t>
      </w:r>
      <w:r>
        <w:rPr>
          <w:rFonts w:eastAsia="Times New Roman"/>
          <w:color w:val="000000"/>
          <w:sz w:val="20"/>
          <w:szCs w:val="20"/>
        </w:rPr>
        <w:t xml:space="preserve"> annuity series, MSO in the variable life insurance products and IUL insurance products. These products permit the contract owner to participate in the performance of an index, ETF or commodity price movement up to a cap for a set period of time. They also</w:t>
      </w:r>
      <w:r>
        <w:rPr>
          <w:rFonts w:eastAsia="Times New Roman"/>
          <w:color w:val="000000"/>
          <w:sz w:val="20"/>
          <w:szCs w:val="20"/>
        </w:rPr>
        <w:t xml:space="preserve"> contain a protection feature, in which the Company will absorb, up to a certain percentage, the loss of value in an index, ETF or commodity price, which varies by product segment. </w:t>
      </w:r>
    </w:p>
    <w:p w:rsidR="00000000" w:rsidRDefault="00897B14">
      <w:pPr>
        <w:jc w:val="center"/>
        <w:divId w:val="1925800948"/>
        <w:rPr>
          <w:rFonts w:eastAsia="Times New Roman"/>
        </w:rPr>
      </w:pPr>
    </w:p>
    <w:p w:rsidR="00000000" w:rsidRDefault="00897B14">
      <w:pPr>
        <w:jc w:val="center"/>
        <w:divId w:val="1925800948"/>
        <w:rPr>
          <w:rFonts w:eastAsia="Times New Roman"/>
        </w:rPr>
      </w:pPr>
      <w:r>
        <w:rPr>
          <w:rFonts w:eastAsia="Times New Roman"/>
          <w:color w:val="000000"/>
          <w:sz w:val="20"/>
          <w:szCs w:val="20"/>
        </w:rPr>
        <w:t>31</w:t>
      </w:r>
    </w:p>
    <w:p w:rsidR="00000000" w:rsidRDefault="00897B14">
      <w:pPr>
        <w:rPr>
          <w:rFonts w:eastAsia="Times New Roman"/>
        </w:rPr>
      </w:pPr>
      <w:r>
        <w:rPr>
          <w:rFonts w:eastAsia="Times New Roman"/>
        </w:rPr>
        <w:pict>
          <v:rect id="_x0000_i1057" style="width:0;height:1.5pt" o:hralign="center" o:hrstd="t" o:hr="t" fillcolor="#a0a0a0" stroked="f"/>
        </w:pict>
      </w:r>
    </w:p>
    <w:p w:rsidR="00000000" w:rsidRDefault="00897B14">
      <w:pPr>
        <w:divId w:val="157115375"/>
        <w:rPr>
          <w:rFonts w:eastAsia="Times New Roman"/>
        </w:rPr>
      </w:pPr>
      <w:r>
        <w:rPr>
          <w:rFonts w:eastAsia="Times New Roman"/>
          <w:b/>
          <w:bCs/>
          <w:color w:val="0000FF"/>
          <w:sz w:val="20"/>
          <w:szCs w:val="20"/>
          <w:u w:val="single"/>
        </w:rPr>
        <w:t>Table of Contents</w:t>
      </w:r>
    </w:p>
    <w:p w:rsidR="00000000" w:rsidRDefault="00897B14">
      <w:pPr>
        <w:jc w:val="center"/>
        <w:divId w:val="985863518"/>
        <w:rPr>
          <w:rFonts w:eastAsia="Times New Roman"/>
        </w:rPr>
      </w:pPr>
      <w:r>
        <w:rPr>
          <w:rFonts w:eastAsia="Times New Roman"/>
          <w:b/>
          <w:bCs/>
          <w:color w:val="000000"/>
          <w:sz w:val="20"/>
          <w:szCs w:val="20"/>
        </w:rPr>
        <w:t>EQUITABLE HOLD</w:t>
      </w:r>
      <w:r>
        <w:rPr>
          <w:rFonts w:eastAsia="Times New Roman"/>
          <w:b/>
          <w:bCs/>
          <w:color w:val="000000"/>
          <w:sz w:val="20"/>
          <w:szCs w:val="20"/>
        </w:rPr>
        <w:t>INGS, INC.</w:t>
      </w:r>
    </w:p>
    <w:p w:rsidR="00000000" w:rsidRDefault="00897B14">
      <w:pPr>
        <w:jc w:val="center"/>
        <w:divId w:val="985863518"/>
        <w:rPr>
          <w:rFonts w:eastAsia="Times New Roman"/>
        </w:rPr>
      </w:pPr>
      <w:r>
        <w:rPr>
          <w:rFonts w:eastAsia="Times New Roman"/>
          <w:b/>
          <w:bCs/>
          <w:color w:val="000000"/>
          <w:sz w:val="20"/>
          <w:szCs w:val="20"/>
        </w:rPr>
        <w:t>Notes to Consolidated Financial Statements (Unaudited), Continued</w:t>
      </w:r>
    </w:p>
    <w:p w:rsidR="00000000" w:rsidRDefault="00897B14">
      <w:pPr>
        <w:divId w:val="1965040377"/>
        <w:rPr>
          <w:rFonts w:eastAsia="Times New Roman"/>
        </w:rPr>
      </w:pPr>
    </w:p>
    <w:p w:rsidR="00000000" w:rsidRDefault="00897B14">
      <w:pPr>
        <w:divId w:val="1340424098"/>
        <w:rPr>
          <w:rFonts w:eastAsia="Times New Roman"/>
        </w:rPr>
      </w:pPr>
      <w:r>
        <w:rPr>
          <w:rFonts w:eastAsia="Times New Roman"/>
          <w:color w:val="000000"/>
          <w:sz w:val="20"/>
          <w:szCs w:val="20"/>
        </w:rPr>
        <w:t>In order to support the returns associated with these features, the Company enters into derivative contracts whose payouts, in combination with fixed income investments, emulate</w:t>
      </w:r>
      <w:r>
        <w:rPr>
          <w:rFonts w:eastAsia="Times New Roman"/>
          <w:color w:val="000000"/>
          <w:sz w:val="20"/>
          <w:szCs w:val="20"/>
        </w:rPr>
        <w:t xml:space="preserve"> those of the index, ETF or commodity price, subject to caps and buffers, thereby substantially reducing any exposure to market-related earnings volatility.</w:t>
      </w:r>
    </w:p>
    <w:p w:rsidR="00000000" w:rsidRDefault="00897B14">
      <w:pPr>
        <w:divId w:val="1473062284"/>
        <w:rPr>
          <w:rFonts w:eastAsia="Times New Roman"/>
        </w:rPr>
      </w:pPr>
      <w:r>
        <w:rPr>
          <w:rFonts w:eastAsia="Times New Roman"/>
          <w:color w:val="000000"/>
          <w:sz w:val="20"/>
          <w:szCs w:val="20"/>
          <w:u w:val="single"/>
        </w:rPr>
        <w:t>Derivatives Used to Hedge Equity Market Risks Associated with the General Account’s Seed Money Inve</w:t>
      </w:r>
      <w:r>
        <w:rPr>
          <w:rFonts w:eastAsia="Times New Roman"/>
          <w:color w:val="000000"/>
          <w:sz w:val="20"/>
          <w:szCs w:val="20"/>
          <w:u w:val="single"/>
        </w:rPr>
        <w:t>stments in Retail Mutual Funds</w:t>
      </w:r>
    </w:p>
    <w:p w:rsidR="00000000" w:rsidRDefault="00897B14">
      <w:pPr>
        <w:divId w:val="1955747696"/>
        <w:rPr>
          <w:rFonts w:eastAsia="Times New Roman"/>
        </w:rPr>
      </w:pPr>
      <w:r>
        <w:rPr>
          <w:rFonts w:eastAsia="Times New Roman"/>
          <w:color w:val="000000"/>
          <w:sz w:val="20"/>
          <w:szCs w:val="20"/>
        </w:rPr>
        <w:t>The Company’s General Account seed money investments in retail mutual funds expose us to market risk, including equity market risk which is partially hedged through equity-index futures contracts to minimize such risk.</w:t>
      </w:r>
    </w:p>
    <w:p w:rsidR="00000000" w:rsidRDefault="00897B14">
      <w:pPr>
        <w:divId w:val="88701921"/>
        <w:rPr>
          <w:rFonts w:eastAsia="Times New Roman"/>
        </w:rPr>
      </w:pPr>
      <w:r>
        <w:rPr>
          <w:rFonts w:eastAsia="Times New Roman"/>
          <w:color w:val="000000"/>
          <w:sz w:val="20"/>
          <w:szCs w:val="20"/>
          <w:u w:val="single"/>
        </w:rPr>
        <w:t>Deriva</w:t>
      </w:r>
      <w:r>
        <w:rPr>
          <w:rFonts w:eastAsia="Times New Roman"/>
          <w:color w:val="000000"/>
          <w:sz w:val="20"/>
          <w:szCs w:val="20"/>
          <w:u w:val="single"/>
        </w:rPr>
        <w:t>tives Used to Hedge ULSG Policy</w:t>
      </w:r>
    </w:p>
    <w:p w:rsidR="00000000" w:rsidRDefault="00897B14">
      <w:pPr>
        <w:divId w:val="310641992"/>
        <w:rPr>
          <w:rFonts w:eastAsia="Times New Roman"/>
        </w:rPr>
      </w:pPr>
      <w:r>
        <w:rPr>
          <w:rFonts w:eastAsia="Times New Roman"/>
          <w:color w:val="000000"/>
          <w:sz w:val="20"/>
          <w:szCs w:val="20"/>
        </w:rPr>
        <w:t>The Company implemented a hedge program using fixed income total return swaps to mitigate the interest rate exposure in the ULSG policy statutory liability.</w:t>
      </w:r>
    </w:p>
    <w:p w:rsidR="00000000" w:rsidRDefault="00897B14">
      <w:pPr>
        <w:divId w:val="625621129"/>
        <w:rPr>
          <w:rFonts w:eastAsia="Times New Roman"/>
        </w:rPr>
      </w:pPr>
      <w:r>
        <w:rPr>
          <w:rFonts w:eastAsia="Times New Roman"/>
          <w:color w:val="000000"/>
          <w:sz w:val="20"/>
          <w:szCs w:val="20"/>
          <w:u w:val="single"/>
        </w:rPr>
        <w:t xml:space="preserve">Derivatives Used for General Account Investment Portfolio </w:t>
      </w:r>
    </w:p>
    <w:p w:rsidR="00000000" w:rsidRDefault="00897B14">
      <w:pPr>
        <w:divId w:val="1932928958"/>
        <w:rPr>
          <w:rFonts w:eastAsia="Times New Roman"/>
        </w:rPr>
      </w:pPr>
      <w:r>
        <w:rPr>
          <w:rFonts w:eastAsia="Times New Roman"/>
          <w:color w:val="000000"/>
          <w:sz w:val="20"/>
          <w:szCs w:val="20"/>
        </w:rPr>
        <w:t>The Comp</w:t>
      </w:r>
      <w:r>
        <w:rPr>
          <w:rFonts w:eastAsia="Times New Roman"/>
          <w:color w:val="000000"/>
          <w:sz w:val="20"/>
          <w:szCs w:val="20"/>
        </w:rPr>
        <w:t>any maintains a strategy in its General Account investment portfolio to replicate the credit exposure of fixed maturity securities otherwise permissible for investment under its investment guidelines through the sale of CDS. Under the terms of these swaps,</w:t>
      </w:r>
      <w:r>
        <w:rPr>
          <w:rFonts w:eastAsia="Times New Roman"/>
          <w:color w:val="000000"/>
          <w:sz w:val="20"/>
          <w:szCs w:val="20"/>
        </w:rPr>
        <w:t xml:space="preserve"> the Company receives quarterly fixed premiums that, together with any initial amount paid or received at trade inception, replicate the credit spread otherwise currently obtainable by purchasing the referenced entity’s bonds of similar maturity. These cre</w:t>
      </w:r>
      <w:r>
        <w:rPr>
          <w:rFonts w:eastAsia="Times New Roman"/>
          <w:color w:val="000000"/>
          <w:sz w:val="20"/>
          <w:szCs w:val="20"/>
        </w:rPr>
        <w:t xml:space="preserve">dit derivatives generally have remaining terms of five years or less and are recorded at fair value with changes in fair value, including the yield component that emerges from initial amounts paid or received, reported in net derivative gains (losses). </w:t>
      </w:r>
    </w:p>
    <w:p w:rsidR="00000000" w:rsidRDefault="00897B14">
      <w:pPr>
        <w:divId w:val="674504433"/>
        <w:rPr>
          <w:rFonts w:eastAsia="Times New Roman"/>
        </w:rPr>
      </w:pPr>
      <w:r>
        <w:rPr>
          <w:rFonts w:eastAsia="Times New Roman"/>
          <w:color w:val="000000"/>
          <w:sz w:val="20"/>
          <w:szCs w:val="20"/>
        </w:rPr>
        <w:t>Th</w:t>
      </w:r>
      <w:r>
        <w:rPr>
          <w:rFonts w:eastAsia="Times New Roman"/>
          <w:color w:val="000000"/>
          <w:sz w:val="20"/>
          <w:szCs w:val="20"/>
        </w:rPr>
        <w:t xml:space="preserve">e Company manages its credit exposure taking into consideration both cash and derivatives based positions and selects the reference entities in its replicated credit exposures in a manner consistent with its selection of fixed maturities. In addition, the </w:t>
      </w:r>
      <w:r>
        <w:rPr>
          <w:rFonts w:eastAsia="Times New Roman"/>
          <w:color w:val="000000"/>
          <w:sz w:val="20"/>
          <w:szCs w:val="20"/>
        </w:rPr>
        <w:t>Company generally transacts the sale of CDS in single name reference entities of investment grade credit quality and with counterparties subject to collateral posting requirements. If there is an event of default by the reference entity or other such credi</w:t>
      </w:r>
      <w:r>
        <w:rPr>
          <w:rFonts w:eastAsia="Times New Roman"/>
          <w:color w:val="000000"/>
          <w:sz w:val="20"/>
          <w:szCs w:val="20"/>
        </w:rPr>
        <w:t>t event as defined under the terms of the swap contract, the Company is obligated to perform under the credit derivative and, at its option, either pay the referenced amount of the contract less an auction-determined recovery amount or pay the referenced a</w:t>
      </w:r>
      <w:r>
        <w:rPr>
          <w:rFonts w:eastAsia="Times New Roman"/>
          <w:color w:val="000000"/>
          <w:sz w:val="20"/>
          <w:szCs w:val="20"/>
        </w:rPr>
        <w:t xml:space="preserve">mount of the contract and receive in return the defaulted or similar security of the reference entity for recovery by sale at the contract settlement auction. The Company purchased CDS to mitigate its exposure to a reference entity through cash positions. </w:t>
      </w:r>
      <w:r>
        <w:rPr>
          <w:rFonts w:eastAsia="Times New Roman"/>
          <w:color w:val="000000"/>
          <w:sz w:val="20"/>
          <w:szCs w:val="20"/>
        </w:rPr>
        <w:t>These positions do not replicate credit spreads.</w:t>
      </w:r>
    </w:p>
    <w:p w:rsidR="00000000" w:rsidRDefault="00897B14">
      <w:pPr>
        <w:divId w:val="102117404"/>
        <w:rPr>
          <w:rFonts w:eastAsia="Times New Roman"/>
        </w:rPr>
      </w:pPr>
      <w:r>
        <w:rPr>
          <w:rFonts w:eastAsia="Times New Roman"/>
          <w:color w:val="000000"/>
          <w:sz w:val="20"/>
          <w:szCs w:val="20"/>
        </w:rPr>
        <w:t>To date, there have been no events of default or circumstances indicative of a deterioration in the credit quality of the named referenced entities to require or suggest that the Company will have to perform under the CDS that it sold. The maximum potentia</w:t>
      </w:r>
      <w:r>
        <w:rPr>
          <w:rFonts w:eastAsia="Times New Roman"/>
          <w:color w:val="000000"/>
          <w:sz w:val="20"/>
          <w:szCs w:val="20"/>
        </w:rPr>
        <w:t>l amount of future payments the Company could be required to make under the credit derivatives sold is limited to the par value of the referenced securities which is the dollar or euro-equivalent of the derivative’s notional amount. The Standard North Amer</w:t>
      </w:r>
      <w:r>
        <w:rPr>
          <w:rFonts w:eastAsia="Times New Roman"/>
          <w:color w:val="000000"/>
          <w:sz w:val="20"/>
          <w:szCs w:val="20"/>
        </w:rPr>
        <w:t xml:space="preserve">ican CDS Contract or Standard European Corporate Contract under which the Company executes these CDS sales transactions does not contain recourse provisions for recovery of amounts paid under the credit derivative. </w:t>
      </w:r>
    </w:p>
    <w:p w:rsidR="00000000" w:rsidRDefault="00897B14">
      <w:pPr>
        <w:divId w:val="860901255"/>
        <w:rPr>
          <w:rFonts w:eastAsia="Times New Roman"/>
        </w:rPr>
      </w:pPr>
      <w:r>
        <w:rPr>
          <w:rFonts w:eastAsia="Times New Roman"/>
          <w:color w:val="000000"/>
          <w:sz w:val="20"/>
          <w:szCs w:val="20"/>
        </w:rPr>
        <w:t>The Company purchased 30-year TIPS and other sovereign bonds, both inflation linked and non-inflation linked, as General Account investments and enters into asset or cross-currency basis swaps, to result in payment of the given bond’s coupons and principal</w:t>
      </w:r>
      <w:r>
        <w:rPr>
          <w:rFonts w:eastAsia="Times New Roman"/>
          <w:color w:val="000000"/>
          <w:sz w:val="20"/>
          <w:szCs w:val="20"/>
        </w:rPr>
        <w:t xml:space="preserve"> at maturity in the bond’s specified currency to the swap counterparty in return for fixed dollar amounts. These swaps, when considered in combination with the bonds, together result in a net position that is intended to replicate a dollar-denominated fixe</w:t>
      </w:r>
      <w:r>
        <w:rPr>
          <w:rFonts w:eastAsia="Times New Roman"/>
          <w:color w:val="000000"/>
          <w:sz w:val="20"/>
          <w:szCs w:val="20"/>
        </w:rPr>
        <w:t xml:space="preserve">d-coupon cash bond with a yield higher than a term-equivalent U.S. Treasury bond. </w:t>
      </w:r>
    </w:p>
    <w:p w:rsidR="00000000" w:rsidRDefault="00897B14">
      <w:pPr>
        <w:divId w:val="174929608"/>
        <w:rPr>
          <w:rFonts w:eastAsia="Times New Roman"/>
        </w:rPr>
      </w:pPr>
      <w:r>
        <w:rPr>
          <w:rFonts w:eastAsia="Times New Roman"/>
          <w:color w:val="000000"/>
          <w:sz w:val="20"/>
          <w:szCs w:val="20"/>
          <w:u w:val="single"/>
        </w:rPr>
        <w:t>Derivatives Utilized to Hedge Exposure to Foreign Currency Denominated Cash Flows</w:t>
      </w:r>
    </w:p>
    <w:p w:rsidR="00000000" w:rsidRDefault="00897B14">
      <w:pPr>
        <w:divId w:val="784269398"/>
        <w:rPr>
          <w:rFonts w:eastAsia="Times New Roman"/>
        </w:rPr>
      </w:pPr>
      <w:r>
        <w:rPr>
          <w:rFonts w:eastAsia="Times New Roman"/>
          <w:color w:val="000000"/>
          <w:sz w:val="20"/>
          <w:szCs w:val="20"/>
        </w:rPr>
        <w:t>The Company purchases private placement debt securities and issues funding agreements in th</w:t>
      </w:r>
      <w:r>
        <w:rPr>
          <w:rFonts w:eastAsia="Times New Roman"/>
          <w:color w:val="000000"/>
          <w:sz w:val="20"/>
          <w:szCs w:val="20"/>
        </w:rPr>
        <w:t>e FABN program in currencies other than its functional US dollar currency. The Company enters into cross currency swaps with external counterparties to hedge the exposure of the foreign currency denominated cash flows of these instruments. The foreign curr</w:t>
      </w:r>
      <w:r>
        <w:rPr>
          <w:rFonts w:eastAsia="Times New Roman"/>
          <w:color w:val="000000"/>
          <w:sz w:val="20"/>
          <w:szCs w:val="20"/>
        </w:rPr>
        <w:t>ency received from or paid to the cross currency swap counterparty is exchanged for fixed US dollar amounts with improved net investment yields or net product costs over equivalent US dollar denominated instruments issued at that time. The transactions are</w:t>
      </w:r>
      <w:r>
        <w:rPr>
          <w:rFonts w:eastAsia="Times New Roman"/>
          <w:color w:val="000000"/>
          <w:sz w:val="20"/>
          <w:szCs w:val="20"/>
        </w:rPr>
        <w:t xml:space="preserve"> accounted for as cash flow hedges when they are designated in hedging relationships and qualify for hedge accounting. The first cross currency swap hedges were designated and applied hedge accounting during the quarter ended June 30, 2021.</w:t>
      </w:r>
    </w:p>
    <w:p w:rsidR="00000000" w:rsidRDefault="00897B14">
      <w:pPr>
        <w:jc w:val="center"/>
        <w:divId w:val="1766151615"/>
        <w:rPr>
          <w:rFonts w:eastAsia="Times New Roman"/>
        </w:rPr>
      </w:pPr>
    </w:p>
    <w:p w:rsidR="00000000" w:rsidRDefault="00897B14">
      <w:pPr>
        <w:jc w:val="center"/>
        <w:divId w:val="1766151615"/>
        <w:rPr>
          <w:rFonts w:eastAsia="Times New Roman"/>
        </w:rPr>
      </w:pPr>
      <w:r>
        <w:rPr>
          <w:rFonts w:eastAsia="Times New Roman"/>
          <w:color w:val="000000"/>
          <w:sz w:val="20"/>
          <w:szCs w:val="20"/>
        </w:rPr>
        <w:t>32</w:t>
      </w:r>
    </w:p>
    <w:p w:rsidR="00000000" w:rsidRDefault="00897B14">
      <w:pPr>
        <w:rPr>
          <w:rFonts w:eastAsia="Times New Roman"/>
        </w:rPr>
      </w:pPr>
      <w:r>
        <w:rPr>
          <w:rFonts w:eastAsia="Times New Roman"/>
        </w:rPr>
        <w:pict>
          <v:rect id="_x0000_i1058" style="width:0;height:1.5pt" o:hralign="center" o:hrstd="t" o:hr="t" fillcolor="#a0a0a0" stroked="f"/>
        </w:pict>
      </w:r>
    </w:p>
    <w:p w:rsidR="00000000" w:rsidRDefault="00897B14">
      <w:pPr>
        <w:divId w:val="1658654237"/>
        <w:rPr>
          <w:rFonts w:eastAsia="Times New Roman"/>
        </w:rPr>
      </w:pPr>
      <w:r>
        <w:rPr>
          <w:rFonts w:eastAsia="Times New Roman"/>
          <w:b/>
          <w:bCs/>
          <w:color w:val="0000FF"/>
          <w:sz w:val="20"/>
          <w:szCs w:val="20"/>
          <w:u w:val="single"/>
        </w:rPr>
        <w:t>Table of Contents</w:t>
      </w:r>
    </w:p>
    <w:p w:rsidR="00000000" w:rsidRDefault="00897B14">
      <w:pPr>
        <w:jc w:val="center"/>
        <w:divId w:val="743839464"/>
        <w:rPr>
          <w:rFonts w:eastAsia="Times New Roman"/>
        </w:rPr>
      </w:pPr>
      <w:r>
        <w:rPr>
          <w:rFonts w:eastAsia="Times New Roman"/>
          <w:b/>
          <w:bCs/>
          <w:color w:val="000000"/>
          <w:sz w:val="20"/>
          <w:szCs w:val="20"/>
        </w:rPr>
        <w:t>EQUITABLE HOLDINGS, INC.</w:t>
      </w:r>
    </w:p>
    <w:p w:rsidR="00000000" w:rsidRDefault="00897B14">
      <w:pPr>
        <w:jc w:val="center"/>
        <w:divId w:val="743839464"/>
        <w:rPr>
          <w:rFonts w:eastAsia="Times New Roman"/>
        </w:rPr>
      </w:pPr>
      <w:r>
        <w:rPr>
          <w:rFonts w:eastAsia="Times New Roman"/>
          <w:b/>
          <w:bCs/>
          <w:color w:val="000000"/>
          <w:sz w:val="20"/>
          <w:szCs w:val="20"/>
        </w:rPr>
        <w:t>Notes to Consolidated Financial Statements (Unaudited), Continued</w:t>
      </w:r>
    </w:p>
    <w:p w:rsidR="00000000" w:rsidRDefault="00897B14">
      <w:pPr>
        <w:divId w:val="139736592"/>
        <w:rPr>
          <w:rFonts w:eastAsia="Times New Roman"/>
        </w:rPr>
      </w:pPr>
    </w:p>
    <w:p w:rsidR="00000000" w:rsidRDefault="00897B14">
      <w:pPr>
        <w:divId w:val="1158888236"/>
        <w:rPr>
          <w:rFonts w:eastAsia="Times New Roman"/>
        </w:rPr>
      </w:pPr>
      <w:r>
        <w:rPr>
          <w:rFonts w:eastAsia="Times New Roman"/>
          <w:color w:val="000000"/>
          <w:sz w:val="20"/>
          <w:szCs w:val="20"/>
        </w:rPr>
        <w:t>These cross currency swaps are for the period the foreign currency denominated private placement debt securities and fu</w:t>
      </w:r>
      <w:r>
        <w:rPr>
          <w:rFonts w:eastAsia="Times New Roman"/>
          <w:color w:val="000000"/>
          <w:sz w:val="20"/>
          <w:szCs w:val="20"/>
        </w:rPr>
        <w:t>nding agreement are outstanding, with the longest cross currency swap expiring in 2033. Since designation and qualification as cash flow hedges, cross currency swap interest accruals are recognized in Net investment income and in Interest credited to polic</w:t>
      </w:r>
      <w:r>
        <w:rPr>
          <w:rFonts w:eastAsia="Times New Roman"/>
          <w:color w:val="000000"/>
          <w:sz w:val="20"/>
          <w:szCs w:val="20"/>
        </w:rPr>
        <w:t>yholders’ account balances. Other changes in fair value of $18 million losses were deferred in OCI, $17 million loss were released from AOCI to increase Interest credited to policyholders’ account balances offsetting the foreign currency gain recognized on</w:t>
      </w:r>
      <w:r>
        <w:rPr>
          <w:rFonts w:eastAsia="Times New Roman"/>
          <w:color w:val="000000"/>
          <w:sz w:val="20"/>
          <w:szCs w:val="20"/>
        </w:rPr>
        <w:t xml:space="preserve"> the foreign currency denominated funding agreements. The Company does not have an estimate of the amount of the deferred losses of $2 million in AOCI at June 30, 2021 for the cross currency swaps which will be released and reclassified into Net income (lo</w:t>
      </w:r>
      <w:r>
        <w:rPr>
          <w:rFonts w:eastAsia="Times New Roman"/>
          <w:color w:val="000000"/>
          <w:sz w:val="20"/>
          <w:szCs w:val="20"/>
        </w:rPr>
        <w:t>ss) over the next 12 months.</w:t>
      </w:r>
    </w:p>
    <w:p w:rsidR="00000000" w:rsidRDefault="00897B14">
      <w:pPr>
        <w:divId w:val="799106065"/>
        <w:rPr>
          <w:rFonts w:eastAsia="Times New Roman"/>
        </w:rPr>
      </w:pPr>
      <w:r>
        <w:rPr>
          <w:rFonts w:eastAsia="Times New Roman"/>
          <w:color w:val="000000"/>
          <w:sz w:val="20"/>
          <w:szCs w:val="20"/>
        </w:rPr>
        <w:t>The tables below present quantitative disclosures about the Company’s derivative instruments which have not been designated in hedging relationships, including those embedded in other contracts required to be accounted for as d</w:t>
      </w:r>
      <w:r>
        <w:rPr>
          <w:rFonts w:eastAsia="Times New Roman"/>
          <w:color w:val="000000"/>
          <w:sz w:val="20"/>
          <w:szCs w:val="20"/>
        </w:rPr>
        <w:t>erivative instruments.</w:t>
      </w:r>
    </w:p>
    <w:p w:rsidR="00000000" w:rsidRDefault="00897B14">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8"/>
        <w:gridCol w:w="3741"/>
        <w:gridCol w:w="37"/>
        <w:gridCol w:w="120"/>
        <w:gridCol w:w="828"/>
        <w:gridCol w:w="36"/>
        <w:gridCol w:w="36"/>
        <w:gridCol w:w="36"/>
        <w:gridCol w:w="36"/>
        <w:gridCol w:w="121"/>
        <w:gridCol w:w="784"/>
        <w:gridCol w:w="36"/>
        <w:gridCol w:w="36"/>
        <w:gridCol w:w="36"/>
        <w:gridCol w:w="36"/>
        <w:gridCol w:w="121"/>
        <w:gridCol w:w="785"/>
        <w:gridCol w:w="36"/>
        <w:gridCol w:w="36"/>
        <w:gridCol w:w="36"/>
        <w:gridCol w:w="36"/>
        <w:gridCol w:w="121"/>
        <w:gridCol w:w="1141"/>
        <w:gridCol w:w="37"/>
      </w:tblGrid>
      <w:tr w:rsidR="00000000">
        <w:trPr>
          <w:divId w:val="1117483330"/>
        </w:trPr>
        <w:tc>
          <w:tcPr>
            <w:tcW w:w="50" w:type="pct"/>
            <w:vAlign w:val="center"/>
            <w:hideMark/>
          </w:tcPr>
          <w:p w:rsidR="00000000" w:rsidRDefault="00897B14">
            <w:pPr>
              <w:jc w:val="center"/>
              <w:rPr>
                <w:rFonts w:eastAsia="Times New Roman"/>
              </w:rPr>
            </w:pPr>
          </w:p>
        </w:tc>
        <w:tc>
          <w:tcPr>
            <w:tcW w:w="228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7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117483330"/>
          <w:trHeight w:val="24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 2021</w:t>
            </w:r>
          </w:p>
        </w:tc>
      </w:tr>
      <w:tr w:rsidR="00000000">
        <w:trPr>
          <w:divId w:val="1117483330"/>
          <w:trHeight w:val="24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divId w:val="357896209"/>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ign w:val="center"/>
            <w:hideMark/>
          </w:tcPr>
          <w:p w:rsidR="00000000" w:rsidRDefault="00897B14">
            <w:pPr>
              <w:spacing w:after="100"/>
              <w:rPr>
                <w:rFonts w:eastAsia="Times New Roman"/>
              </w:rPr>
            </w:pPr>
          </w:p>
        </w:tc>
      </w:tr>
      <w:tr w:rsidR="00000000">
        <w:trPr>
          <w:divId w:val="111748333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Derivative Liabilities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Derivative Gains (Losses) (2)</w:t>
            </w:r>
          </w:p>
        </w:tc>
      </w:tr>
      <w:tr w:rsidR="00000000">
        <w:trPr>
          <w:divId w:val="111748333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117483330"/>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Freestanding derivatives (1):</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Futures (7)</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Swaps (7)</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(2,610)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54,330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Swaps (7) (8)</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(2,470)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Futures (7)</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Amounts due from reinsurers (9)</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GMIB reinsurance contracts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GMxB derivative features liability (4) (6) </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CCEEFF"/>
            <w:tcMar>
              <w:top w:w="30" w:type="dxa"/>
              <w:left w:w="245"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SCS, SIO, MSO and IUL indexed features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(2,328)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1748333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1997147234"/>
              <w:rPr>
                <w:rFonts w:eastAsia="Times New Roman"/>
              </w:rPr>
            </w:pPr>
            <w:r>
              <w:rPr>
                <w:rFonts w:eastAsia="Times New Roman"/>
                <w:b/>
                <w:bCs/>
                <w:color w:val="000000"/>
                <w:sz w:val="20"/>
                <w:szCs w:val="20"/>
              </w:rPr>
              <w:t>Total derivative instruments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89,119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25,644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17483330"/>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Net derivative gains (losses)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754596771"/>
        <w:rPr>
          <w:rFonts w:eastAsia="Times New Roman"/>
        </w:rPr>
      </w:pPr>
      <w:r>
        <w:rPr>
          <w:rFonts w:eastAsia="Times New Roman"/>
          <w:color w:val="000000"/>
          <w:sz w:val="18"/>
          <w:szCs w:val="18"/>
        </w:rPr>
        <w:t>______________</w:t>
      </w:r>
    </w:p>
    <w:p w:rsidR="00000000" w:rsidRDefault="00897B14">
      <w:pPr>
        <w:ind w:hanging="360"/>
        <w:divId w:val="1781027552"/>
        <w:rPr>
          <w:rFonts w:eastAsia="Times New Roman"/>
        </w:rPr>
      </w:pPr>
      <w:r>
        <w:rPr>
          <w:rFonts w:eastAsia="Times New Roman"/>
          <w:color w:val="000000"/>
          <w:sz w:val="18"/>
          <w:szCs w:val="18"/>
        </w:rPr>
        <w:t>(1)Reported in other invested assets in the consolidated balance sheets.</w:t>
      </w:r>
    </w:p>
    <w:p w:rsidR="00000000" w:rsidRDefault="00897B14">
      <w:pPr>
        <w:ind w:hanging="360"/>
        <w:divId w:val="2109349855"/>
        <w:rPr>
          <w:rFonts w:eastAsia="Times New Roman"/>
        </w:rPr>
      </w:pPr>
      <w:r>
        <w:rPr>
          <w:rFonts w:eastAsia="Times New Roman"/>
          <w:color w:val="000000"/>
          <w:sz w:val="18"/>
          <w:szCs w:val="18"/>
        </w:rPr>
        <w:t>(2)</w:t>
      </w:r>
      <w:r>
        <w:rPr>
          <w:rFonts w:eastAsia="Times New Roman"/>
          <w:color w:val="000000"/>
          <w:sz w:val="18"/>
          <w:szCs w:val="18"/>
        </w:rPr>
        <w:t>Reported in net derivative gains (losses) in the consolidated statements of income (loss).</w:t>
      </w:r>
    </w:p>
    <w:p w:rsidR="00000000" w:rsidRDefault="00897B14">
      <w:pPr>
        <w:ind w:hanging="360"/>
        <w:divId w:val="834488952"/>
        <w:rPr>
          <w:rFonts w:eastAsia="Times New Roman"/>
        </w:rPr>
      </w:pPr>
      <w:r>
        <w:rPr>
          <w:rFonts w:eastAsia="Times New Roman"/>
          <w:color w:val="000000"/>
          <w:sz w:val="18"/>
          <w:szCs w:val="18"/>
        </w:rPr>
        <w:t>(3)Reported in GMIB reinsurance contract asset in the consolidated balance sheets.</w:t>
      </w:r>
    </w:p>
    <w:p w:rsidR="00000000" w:rsidRDefault="00897B14">
      <w:pPr>
        <w:ind w:hanging="360"/>
        <w:divId w:val="1909421407"/>
        <w:rPr>
          <w:rFonts w:eastAsia="Times New Roman"/>
        </w:rPr>
      </w:pPr>
      <w:r>
        <w:rPr>
          <w:rFonts w:eastAsia="Times New Roman"/>
          <w:color w:val="000000"/>
          <w:sz w:val="18"/>
          <w:szCs w:val="18"/>
        </w:rPr>
        <w:t xml:space="preserve">(4)Reported in future policy benefits and other policyholders’ liabilities in the </w:t>
      </w:r>
      <w:r>
        <w:rPr>
          <w:rFonts w:eastAsia="Times New Roman"/>
          <w:color w:val="000000"/>
          <w:sz w:val="18"/>
          <w:szCs w:val="18"/>
        </w:rPr>
        <w:t>consolidated balance sheets.</w:t>
      </w:r>
    </w:p>
    <w:p w:rsidR="00000000" w:rsidRDefault="00897B14">
      <w:pPr>
        <w:ind w:hanging="360"/>
        <w:divId w:val="1878270106"/>
        <w:rPr>
          <w:rFonts w:eastAsia="Times New Roman"/>
        </w:rPr>
      </w:pPr>
      <w:r>
        <w:rPr>
          <w:rFonts w:eastAsia="Times New Roman"/>
          <w:color w:val="000000"/>
          <w:sz w:val="18"/>
          <w:szCs w:val="18"/>
        </w:rPr>
        <w:t>(5)Reported in policyholders’ account balances in the consolidated balance sheets.</w:t>
      </w:r>
    </w:p>
    <w:p w:rsidR="00000000" w:rsidRDefault="00897B14">
      <w:pPr>
        <w:ind w:hanging="360"/>
        <w:divId w:val="892548762"/>
        <w:rPr>
          <w:rFonts w:eastAsia="Times New Roman"/>
        </w:rPr>
      </w:pPr>
      <w:r>
        <w:rPr>
          <w:rFonts w:eastAsia="Times New Roman"/>
          <w:color w:val="000000"/>
          <w:sz w:val="18"/>
          <w:szCs w:val="18"/>
        </w:rPr>
        <w:t xml:space="preserve">(6)Excludes a $45 million settlement fee on CS Life reinsurance contract. </w:t>
      </w:r>
    </w:p>
    <w:p w:rsidR="00000000" w:rsidRDefault="00897B14">
      <w:pPr>
        <w:ind w:hanging="360"/>
        <w:divId w:val="1391729231"/>
        <w:rPr>
          <w:rFonts w:eastAsia="Times New Roman"/>
        </w:rPr>
      </w:pPr>
      <w:r>
        <w:rPr>
          <w:rFonts w:eastAsia="Times New Roman"/>
          <w:color w:val="000000"/>
          <w:sz w:val="18"/>
          <w:szCs w:val="18"/>
        </w:rPr>
        <w:t>(7)</w:t>
      </w:r>
      <w:r>
        <w:rPr>
          <w:rFonts w:eastAsia="Times New Roman"/>
          <w:color w:val="000000"/>
          <w:sz w:val="18"/>
          <w:szCs w:val="18"/>
        </w:rPr>
        <w:t>Decrease in futures and swaps notional as of June 30, 2021 is primarily due to Venerable transaction (see Note 1 Organization).</w:t>
      </w:r>
    </w:p>
    <w:p w:rsidR="00000000" w:rsidRDefault="00897B14">
      <w:pPr>
        <w:ind w:hanging="360"/>
        <w:divId w:val="1720200272"/>
        <w:rPr>
          <w:rFonts w:eastAsia="Times New Roman"/>
        </w:rPr>
      </w:pPr>
      <w:r>
        <w:rPr>
          <w:rFonts w:eastAsia="Times New Roman"/>
          <w:color w:val="000000"/>
          <w:sz w:val="18"/>
          <w:szCs w:val="18"/>
        </w:rPr>
        <w:t>(8)Includes the balance and results of the swaps used to hedge TIPS bonds.</w:t>
      </w:r>
    </w:p>
    <w:p w:rsidR="00000000" w:rsidRDefault="00897B14">
      <w:pPr>
        <w:ind w:hanging="360"/>
        <w:divId w:val="453910250"/>
        <w:rPr>
          <w:rFonts w:eastAsia="Times New Roman"/>
        </w:rPr>
      </w:pPr>
      <w:r>
        <w:rPr>
          <w:rFonts w:eastAsia="Times New Roman"/>
          <w:color w:val="000000"/>
          <w:sz w:val="18"/>
          <w:szCs w:val="18"/>
        </w:rPr>
        <w:t>(9)Represents GMIB NLG ceded related to the Venerable</w:t>
      </w:r>
      <w:r>
        <w:rPr>
          <w:rFonts w:eastAsia="Times New Roman"/>
          <w:color w:val="000000"/>
          <w:sz w:val="18"/>
          <w:szCs w:val="18"/>
        </w:rPr>
        <w:t xml:space="preserve"> transaction.</w:t>
      </w:r>
    </w:p>
    <w:p w:rsidR="00000000" w:rsidRDefault="00897B14">
      <w:pPr>
        <w:jc w:val="center"/>
        <w:divId w:val="315495243"/>
        <w:rPr>
          <w:rFonts w:eastAsia="Times New Roman"/>
        </w:rPr>
      </w:pPr>
    </w:p>
    <w:p w:rsidR="00000000" w:rsidRDefault="00897B14">
      <w:pPr>
        <w:jc w:val="center"/>
        <w:divId w:val="315495243"/>
        <w:rPr>
          <w:rFonts w:eastAsia="Times New Roman"/>
        </w:rPr>
      </w:pPr>
      <w:r>
        <w:rPr>
          <w:rFonts w:eastAsia="Times New Roman"/>
          <w:color w:val="000000"/>
          <w:sz w:val="20"/>
          <w:szCs w:val="20"/>
        </w:rPr>
        <w:t>33</w:t>
      </w:r>
    </w:p>
    <w:p w:rsidR="00000000" w:rsidRDefault="00897B14">
      <w:pPr>
        <w:rPr>
          <w:rFonts w:eastAsia="Times New Roman"/>
        </w:rPr>
      </w:pPr>
      <w:r>
        <w:rPr>
          <w:rFonts w:eastAsia="Times New Roman"/>
        </w:rPr>
        <w:pict>
          <v:rect id="_x0000_i1059" style="width:0;height:1.5pt" o:hralign="center" o:hrstd="t" o:hr="t" fillcolor="#a0a0a0" stroked="f"/>
        </w:pict>
      </w:r>
    </w:p>
    <w:p w:rsidR="00000000" w:rsidRDefault="00897B14">
      <w:pPr>
        <w:divId w:val="229537426"/>
        <w:rPr>
          <w:rFonts w:eastAsia="Times New Roman"/>
        </w:rPr>
      </w:pPr>
      <w:r>
        <w:rPr>
          <w:rFonts w:eastAsia="Times New Roman"/>
          <w:b/>
          <w:bCs/>
          <w:color w:val="0000FF"/>
          <w:sz w:val="20"/>
          <w:szCs w:val="20"/>
          <w:u w:val="single"/>
        </w:rPr>
        <w:t>Table of Contents</w:t>
      </w:r>
    </w:p>
    <w:p w:rsidR="00000000" w:rsidRDefault="00897B14">
      <w:pPr>
        <w:jc w:val="center"/>
        <w:divId w:val="644622501"/>
        <w:rPr>
          <w:rFonts w:eastAsia="Times New Roman"/>
        </w:rPr>
      </w:pPr>
      <w:r>
        <w:rPr>
          <w:rFonts w:eastAsia="Times New Roman"/>
          <w:b/>
          <w:bCs/>
          <w:color w:val="000000"/>
          <w:sz w:val="20"/>
          <w:szCs w:val="20"/>
        </w:rPr>
        <w:t>EQUITABLE HOLDINGS, INC.</w:t>
      </w:r>
    </w:p>
    <w:p w:rsidR="00000000" w:rsidRDefault="00897B14">
      <w:pPr>
        <w:jc w:val="center"/>
        <w:divId w:val="644622501"/>
        <w:rPr>
          <w:rFonts w:eastAsia="Times New Roman"/>
        </w:rPr>
      </w:pPr>
      <w:r>
        <w:rPr>
          <w:rFonts w:eastAsia="Times New Roman"/>
          <w:b/>
          <w:bCs/>
          <w:color w:val="000000"/>
          <w:sz w:val="20"/>
          <w:szCs w:val="20"/>
        </w:rPr>
        <w:t>Notes to Consolidated Financial Statements (Unaudited), Continued</w:t>
      </w:r>
    </w:p>
    <w:p w:rsidR="00000000" w:rsidRDefault="00897B14">
      <w:pPr>
        <w:divId w:val="1961380483"/>
        <w:rPr>
          <w:rFonts w:eastAsia="Times New Roman"/>
        </w:rPr>
      </w:pPr>
    </w:p>
    <w:p w:rsidR="00000000" w:rsidRDefault="00897B14">
      <w:pPr>
        <w:jc w:val="center"/>
        <w:rPr>
          <w:rFonts w:eastAsia="Times New Roman"/>
        </w:rPr>
      </w:pPr>
      <w:r>
        <w:rPr>
          <w:rFonts w:eastAsia="Times New Roman"/>
          <w:b/>
          <w:bCs/>
          <w:color w:val="000000"/>
          <w:sz w:val="20"/>
          <w:szCs w:val="20"/>
        </w:rPr>
        <w:t>Derivative Instruments by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3740"/>
        <w:gridCol w:w="38"/>
        <w:gridCol w:w="120"/>
        <w:gridCol w:w="828"/>
        <w:gridCol w:w="36"/>
        <w:gridCol w:w="36"/>
        <w:gridCol w:w="36"/>
        <w:gridCol w:w="36"/>
        <w:gridCol w:w="120"/>
        <w:gridCol w:w="784"/>
        <w:gridCol w:w="36"/>
        <w:gridCol w:w="36"/>
        <w:gridCol w:w="36"/>
        <w:gridCol w:w="36"/>
        <w:gridCol w:w="120"/>
        <w:gridCol w:w="786"/>
        <w:gridCol w:w="36"/>
        <w:gridCol w:w="36"/>
        <w:gridCol w:w="36"/>
        <w:gridCol w:w="36"/>
        <w:gridCol w:w="121"/>
        <w:gridCol w:w="1141"/>
        <w:gridCol w:w="37"/>
      </w:tblGrid>
      <w:tr w:rsidR="00000000">
        <w:trPr>
          <w:divId w:val="765689682"/>
        </w:trPr>
        <w:tc>
          <w:tcPr>
            <w:tcW w:w="50" w:type="pct"/>
            <w:vAlign w:val="center"/>
            <w:hideMark/>
          </w:tcPr>
          <w:p w:rsidR="00000000" w:rsidRDefault="00897B14">
            <w:pPr>
              <w:jc w:val="center"/>
              <w:rPr>
                <w:rFonts w:eastAsia="Times New Roman"/>
              </w:rPr>
            </w:pPr>
          </w:p>
        </w:tc>
        <w:tc>
          <w:tcPr>
            <w:tcW w:w="228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7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765689682"/>
          <w:trHeight w:val="24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Six Months Ended June 30, 2020</w:t>
            </w:r>
          </w:p>
        </w:tc>
      </w:tr>
      <w:tr w:rsidR="00000000">
        <w:trPr>
          <w:divId w:val="765689682"/>
          <w:trHeight w:val="240"/>
        </w:trPr>
        <w:tc>
          <w:tcPr>
            <w:tcW w:w="0" w:type="auto"/>
            <w:gridSpan w:val="3"/>
            <w:tcMar>
              <w:top w:w="30" w:type="dxa"/>
              <w:left w:w="20" w:type="dxa"/>
              <w:bottom w:w="30" w:type="dxa"/>
              <w:right w:w="20" w:type="dxa"/>
            </w:tcMar>
            <w:vAlign w:val="bottom"/>
            <w:hideMark/>
          </w:tcPr>
          <w:p w:rsidR="00000000" w:rsidRDefault="00897B14">
            <w:pPr>
              <w:spacing w:after="100"/>
              <w:divId w:val="1202405094"/>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Merge/>
            <w:vAlign w:val="center"/>
            <w:hideMark/>
          </w:tcPr>
          <w:p w:rsidR="00000000" w:rsidRDefault="00897B14">
            <w:pPr>
              <w:spacing w:after="100"/>
              <w:rPr>
                <w:rFonts w:eastAsia="Times New Roman"/>
              </w:rPr>
            </w:pPr>
          </w:p>
        </w:tc>
      </w:tr>
      <w:tr w:rsidR="00000000">
        <w:trPr>
          <w:divId w:val="765689682"/>
        </w:trPr>
        <w:tc>
          <w:tcPr>
            <w:tcW w:w="0" w:type="auto"/>
            <w:gridSpan w:val="3"/>
            <w:tcMar>
              <w:top w:w="30" w:type="dxa"/>
              <w:left w:w="20" w:type="dxa"/>
              <w:bottom w:w="30" w:type="dxa"/>
              <w:right w:w="20" w:type="dxa"/>
            </w:tcMar>
            <w:vAlign w:val="bottom"/>
            <w:hideMark/>
          </w:tcPr>
          <w:p w:rsidR="00000000" w:rsidRDefault="00897B14">
            <w:pPr>
              <w:spacing w:after="100"/>
              <w:divId w:val="264264886"/>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Derivative</w:t>
            </w:r>
            <w:r>
              <w:rPr>
                <w:rFonts w:eastAsia="Times New Roman"/>
                <w:color w:val="000000"/>
                <w:sz w:val="16"/>
                <w:szCs w:val="16"/>
              </w:rPr>
              <w:br/>
              <w:t>Liabilities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Net Derivative</w:t>
            </w:r>
            <w:r>
              <w:rPr>
                <w:rFonts w:eastAsia="Times New Roman"/>
                <w:color w:val="000000"/>
                <w:sz w:val="16"/>
                <w:szCs w:val="16"/>
              </w:rPr>
              <w:br/>
              <w:t>Gains (Losses) (2)</w:t>
            </w:r>
          </w:p>
        </w:tc>
      </w:tr>
      <w:tr w:rsidR="00000000">
        <w:trPr>
          <w:divId w:val="765689682"/>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(in millions)</w:t>
            </w:r>
          </w:p>
        </w:tc>
      </w:tr>
      <w:tr w:rsidR="00000000">
        <w:trPr>
          <w:divId w:val="765689682"/>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Derivative instruments: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Freestanding derivatives (1):</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Equity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4,881 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22,456 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959 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35,848 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8,396 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3,726 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(1,390)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Swaps (7)</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23,834 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3,658 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18,571 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2,067 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Credit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Margin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Collateral</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3,839 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GMIB reinsurance contracts (3)</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GMxB derivative features liability (4) (6)</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11,131 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(4,000)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FFFFFF"/>
            <w:tcMar>
              <w:top w:w="30" w:type="dxa"/>
              <w:left w:w="245"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SCS, SIO, MSO and IUL indexed features (5)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1,414 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65689682"/>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derivative instruments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107,088 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568968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167601440"/>
        <w:rPr>
          <w:rFonts w:eastAsia="Times New Roman"/>
        </w:rPr>
      </w:pPr>
      <w:r>
        <w:rPr>
          <w:rFonts w:eastAsia="Times New Roman"/>
          <w:color w:val="000000"/>
          <w:sz w:val="18"/>
          <w:szCs w:val="18"/>
        </w:rPr>
        <w:t>______________</w:t>
      </w:r>
    </w:p>
    <w:p w:rsidR="00000000" w:rsidRDefault="00897B14">
      <w:pPr>
        <w:ind w:hanging="360"/>
        <w:divId w:val="859784407"/>
        <w:rPr>
          <w:rFonts w:eastAsia="Times New Roman"/>
        </w:rPr>
      </w:pPr>
      <w:r>
        <w:rPr>
          <w:rFonts w:eastAsia="Times New Roman"/>
          <w:color w:val="000000"/>
          <w:sz w:val="18"/>
          <w:szCs w:val="18"/>
        </w:rPr>
        <w:t>(1)Reported in other invested assets in the consolidated balance sheets.</w:t>
      </w:r>
    </w:p>
    <w:p w:rsidR="00000000" w:rsidRDefault="00897B14">
      <w:pPr>
        <w:ind w:hanging="360"/>
        <w:divId w:val="388919277"/>
        <w:rPr>
          <w:rFonts w:eastAsia="Times New Roman"/>
        </w:rPr>
      </w:pPr>
      <w:r>
        <w:rPr>
          <w:rFonts w:eastAsia="Times New Roman"/>
          <w:color w:val="000000"/>
          <w:sz w:val="18"/>
          <w:szCs w:val="18"/>
        </w:rPr>
        <w:t>(2)Reported in net derivative gains (losses) in the consolidated statements of income (loss).</w:t>
      </w:r>
    </w:p>
    <w:p w:rsidR="00000000" w:rsidRDefault="00897B14">
      <w:pPr>
        <w:ind w:hanging="360"/>
        <w:divId w:val="91242583"/>
        <w:rPr>
          <w:rFonts w:eastAsia="Times New Roman"/>
        </w:rPr>
      </w:pPr>
      <w:r>
        <w:rPr>
          <w:rFonts w:eastAsia="Times New Roman"/>
          <w:color w:val="000000"/>
          <w:sz w:val="18"/>
          <w:szCs w:val="18"/>
        </w:rPr>
        <w:t>(3)Reported in GMIB reinsurance contract asset in the consolidated balance</w:t>
      </w:r>
      <w:r>
        <w:rPr>
          <w:rFonts w:eastAsia="Times New Roman"/>
          <w:color w:val="000000"/>
          <w:sz w:val="18"/>
          <w:szCs w:val="18"/>
        </w:rPr>
        <w:t xml:space="preserve"> sheets.</w:t>
      </w:r>
    </w:p>
    <w:p w:rsidR="00000000" w:rsidRDefault="00897B14">
      <w:pPr>
        <w:ind w:hanging="360"/>
        <w:divId w:val="1528834280"/>
        <w:rPr>
          <w:rFonts w:eastAsia="Times New Roman"/>
        </w:rPr>
      </w:pPr>
      <w:r>
        <w:rPr>
          <w:rFonts w:eastAsia="Times New Roman"/>
          <w:color w:val="000000"/>
          <w:sz w:val="18"/>
          <w:szCs w:val="18"/>
        </w:rPr>
        <w:t xml:space="preserve">(4)Reported in future policy benefits and other policyholders’ liabilities in the consolidated balance sheets. </w:t>
      </w:r>
    </w:p>
    <w:p w:rsidR="00000000" w:rsidRDefault="00897B14">
      <w:pPr>
        <w:ind w:hanging="360"/>
        <w:divId w:val="1644433074"/>
        <w:rPr>
          <w:rFonts w:eastAsia="Times New Roman"/>
        </w:rPr>
      </w:pPr>
      <w:r>
        <w:rPr>
          <w:rFonts w:eastAsia="Times New Roman"/>
          <w:color w:val="000000"/>
          <w:sz w:val="18"/>
          <w:szCs w:val="18"/>
        </w:rPr>
        <w:t>(5)Reported in policyholders’ account balances in the consolidated balance sheets.</w:t>
      </w:r>
    </w:p>
    <w:p w:rsidR="00000000" w:rsidRDefault="00897B14">
      <w:pPr>
        <w:ind w:hanging="360"/>
        <w:divId w:val="1365979871"/>
        <w:rPr>
          <w:rFonts w:eastAsia="Times New Roman"/>
        </w:rPr>
      </w:pPr>
      <w:r>
        <w:rPr>
          <w:rFonts w:eastAsia="Times New Roman"/>
          <w:color w:val="000000"/>
          <w:sz w:val="18"/>
          <w:szCs w:val="18"/>
        </w:rPr>
        <w:t>(6)</w:t>
      </w:r>
      <w:r>
        <w:rPr>
          <w:rFonts w:eastAsia="Times New Roman"/>
          <w:color w:val="000000"/>
          <w:sz w:val="18"/>
          <w:szCs w:val="18"/>
        </w:rPr>
        <w:t>Includes amounts reclassified as HFS.</w:t>
      </w:r>
    </w:p>
    <w:p w:rsidR="00000000" w:rsidRDefault="00897B14">
      <w:pPr>
        <w:ind w:hanging="360"/>
        <w:divId w:val="898856507"/>
        <w:rPr>
          <w:rFonts w:eastAsia="Times New Roman"/>
        </w:rPr>
      </w:pPr>
      <w:r>
        <w:rPr>
          <w:rFonts w:eastAsia="Times New Roman"/>
          <w:color w:val="000000"/>
          <w:sz w:val="18"/>
          <w:szCs w:val="18"/>
        </w:rPr>
        <w:t xml:space="preserve">(7)Includes the balance and results of the swaps used to hedge TIPS bonds. </w:t>
      </w:r>
    </w:p>
    <w:p w:rsidR="00000000" w:rsidRDefault="00897B14">
      <w:pPr>
        <w:divId w:val="1841693663"/>
        <w:rPr>
          <w:rFonts w:eastAsia="Times New Roman"/>
        </w:rPr>
      </w:pPr>
    </w:p>
    <w:p w:rsidR="00000000" w:rsidRDefault="00897B14">
      <w:pPr>
        <w:divId w:val="237136286"/>
        <w:rPr>
          <w:rFonts w:eastAsia="Times New Roman"/>
        </w:rPr>
      </w:pPr>
      <w:r>
        <w:rPr>
          <w:rFonts w:eastAsia="Times New Roman"/>
          <w:color w:val="000000"/>
          <w:sz w:val="20"/>
          <w:szCs w:val="20"/>
          <w:u w:val="single"/>
        </w:rPr>
        <w:t>Equity-Based and Treasury Futures Contracts Margin</w:t>
      </w:r>
    </w:p>
    <w:p w:rsidR="00000000" w:rsidRDefault="00897B14">
      <w:pPr>
        <w:divId w:val="2104915311"/>
        <w:rPr>
          <w:rFonts w:eastAsia="Times New Roman"/>
        </w:rPr>
      </w:pPr>
      <w:r>
        <w:rPr>
          <w:rFonts w:eastAsia="Times New Roman"/>
          <w:color w:val="000000"/>
          <w:sz w:val="20"/>
          <w:szCs w:val="20"/>
        </w:rPr>
        <w:t>All outstanding equity-based and treasury futures contracts as of June 30, 2021 and Decem</w:t>
      </w:r>
      <w:r>
        <w:rPr>
          <w:rFonts w:eastAsia="Times New Roman"/>
          <w:color w:val="000000"/>
          <w:sz w:val="20"/>
          <w:szCs w:val="20"/>
        </w:rPr>
        <w:t>ber 31, 2020 are exchange-traded and net settled daily in cash. As of June 30, 2021 and December 31, 2020, respectively, the Company had open exchange-traded futures positions on: (i) the S&amp;P 500, Nasdaq, Russell 2000 and Emerging Market indices, having in</w:t>
      </w:r>
      <w:r>
        <w:rPr>
          <w:rFonts w:eastAsia="Times New Roman"/>
          <w:color w:val="000000"/>
          <w:sz w:val="20"/>
          <w:szCs w:val="20"/>
        </w:rPr>
        <w:t>itial margin requirements of $155 million and $307 million, (ii) the 2-year, 5-year and 10-year U.S. Treasury Notes on U.S. Treasury bonds and ultra-long bonds, having initial margin requirements of $54 million and $264 million, and (iii) the Euro Stoxx, F</w:t>
      </w:r>
      <w:r>
        <w:rPr>
          <w:rFonts w:eastAsia="Times New Roman"/>
          <w:color w:val="000000"/>
          <w:sz w:val="20"/>
          <w:szCs w:val="20"/>
        </w:rPr>
        <w:t>TSE 100, Topix, ASX 200 and EAFE indices as well as corresponding currency futures on the Euro/U.S. dollar, Pound/U.S. dollar, Australian dollar/U.S. dollar, and Yen/U.S. dollar, having initial margin requirements of $16 million and $35 million.</w:t>
      </w:r>
    </w:p>
    <w:p w:rsidR="00000000" w:rsidRDefault="00897B14">
      <w:pPr>
        <w:divId w:val="1056396112"/>
        <w:rPr>
          <w:rFonts w:eastAsia="Times New Roman"/>
        </w:rPr>
      </w:pPr>
      <w:r>
        <w:rPr>
          <w:rFonts w:eastAsia="Times New Roman"/>
          <w:color w:val="000000"/>
          <w:sz w:val="20"/>
          <w:szCs w:val="20"/>
          <w:u w:val="single"/>
        </w:rPr>
        <w:t>Collateral</w:t>
      </w:r>
      <w:r>
        <w:rPr>
          <w:rFonts w:eastAsia="Times New Roman"/>
          <w:color w:val="000000"/>
          <w:sz w:val="20"/>
          <w:szCs w:val="20"/>
          <w:u w:val="single"/>
        </w:rPr>
        <w:t xml:space="preserve"> Arrangements</w:t>
      </w:r>
    </w:p>
    <w:p w:rsidR="00000000" w:rsidRDefault="00897B14">
      <w:pPr>
        <w:divId w:val="990869767"/>
        <w:rPr>
          <w:rFonts w:eastAsia="Times New Roman"/>
        </w:rPr>
      </w:pPr>
      <w:r>
        <w:rPr>
          <w:rFonts w:eastAsia="Times New Roman"/>
          <w:color w:val="000000"/>
          <w:sz w:val="20"/>
          <w:szCs w:val="20"/>
        </w:rPr>
        <w:t xml:space="preserve">The Company generally has executed a CSA under the ISDA Master Agreement it maintains with each of its OTC derivative counterparties that requires both posting and accepting collateral either in the form of cash or high-quality </w:t>
      </w:r>
    </w:p>
    <w:p w:rsidR="00000000" w:rsidRDefault="00897B14">
      <w:pPr>
        <w:jc w:val="center"/>
        <w:divId w:val="597324775"/>
        <w:rPr>
          <w:rFonts w:eastAsia="Times New Roman"/>
        </w:rPr>
      </w:pPr>
    </w:p>
    <w:p w:rsidR="00000000" w:rsidRDefault="00897B14">
      <w:pPr>
        <w:jc w:val="center"/>
        <w:divId w:val="597324775"/>
        <w:rPr>
          <w:rFonts w:eastAsia="Times New Roman"/>
        </w:rPr>
      </w:pPr>
      <w:r>
        <w:rPr>
          <w:rFonts w:eastAsia="Times New Roman"/>
          <w:color w:val="000000"/>
          <w:sz w:val="20"/>
          <w:szCs w:val="20"/>
        </w:rPr>
        <w:t>34</w:t>
      </w:r>
    </w:p>
    <w:p w:rsidR="00000000" w:rsidRDefault="00897B14">
      <w:pPr>
        <w:rPr>
          <w:rFonts w:eastAsia="Times New Roman"/>
        </w:rPr>
      </w:pPr>
      <w:r>
        <w:rPr>
          <w:rFonts w:eastAsia="Times New Roman"/>
        </w:rPr>
        <w:pict>
          <v:rect id="_x0000_i1060" style="width:0;height:1.5pt" o:hralign="center" o:hrstd="t" o:hr="t" fillcolor="#a0a0a0" stroked="f"/>
        </w:pict>
      </w:r>
    </w:p>
    <w:p w:rsidR="00000000" w:rsidRDefault="00897B14">
      <w:pPr>
        <w:divId w:val="2105757862"/>
        <w:rPr>
          <w:rFonts w:eastAsia="Times New Roman"/>
        </w:rPr>
      </w:pPr>
      <w:r>
        <w:rPr>
          <w:rFonts w:eastAsia="Times New Roman"/>
          <w:b/>
          <w:bCs/>
          <w:color w:val="0000FF"/>
          <w:sz w:val="20"/>
          <w:szCs w:val="20"/>
          <w:u w:val="single"/>
        </w:rPr>
        <w:t>Table of Contents</w:t>
      </w:r>
    </w:p>
    <w:p w:rsidR="00000000" w:rsidRDefault="00897B14">
      <w:pPr>
        <w:jc w:val="center"/>
        <w:divId w:val="235939131"/>
        <w:rPr>
          <w:rFonts w:eastAsia="Times New Roman"/>
        </w:rPr>
      </w:pPr>
      <w:r>
        <w:rPr>
          <w:rFonts w:eastAsia="Times New Roman"/>
          <w:b/>
          <w:bCs/>
          <w:color w:val="000000"/>
          <w:sz w:val="20"/>
          <w:szCs w:val="20"/>
        </w:rPr>
        <w:t>EQUITABLE HOLDINGS, INC.</w:t>
      </w:r>
    </w:p>
    <w:p w:rsidR="00000000" w:rsidRDefault="00897B14">
      <w:pPr>
        <w:jc w:val="center"/>
        <w:divId w:val="235939131"/>
        <w:rPr>
          <w:rFonts w:eastAsia="Times New Roman"/>
        </w:rPr>
      </w:pPr>
      <w:r>
        <w:rPr>
          <w:rFonts w:eastAsia="Times New Roman"/>
          <w:b/>
          <w:bCs/>
          <w:color w:val="000000"/>
          <w:sz w:val="20"/>
          <w:szCs w:val="20"/>
        </w:rPr>
        <w:t>Notes to Consolidated Financial Statements (Unaudited), Continued</w:t>
      </w:r>
    </w:p>
    <w:p w:rsidR="00000000" w:rsidRDefault="00897B14">
      <w:pPr>
        <w:divId w:val="220408014"/>
        <w:rPr>
          <w:rFonts w:eastAsia="Times New Roman"/>
        </w:rPr>
      </w:pPr>
    </w:p>
    <w:p w:rsidR="00000000" w:rsidRDefault="00897B14">
      <w:pPr>
        <w:divId w:val="1372418882"/>
        <w:rPr>
          <w:rFonts w:eastAsia="Times New Roman"/>
        </w:rPr>
      </w:pPr>
      <w:r>
        <w:rPr>
          <w:rFonts w:eastAsia="Times New Roman"/>
          <w:color w:val="000000"/>
          <w:sz w:val="20"/>
          <w:szCs w:val="20"/>
        </w:rPr>
        <w:t>securities, such as U.S. Treasury securities, U.S. government and government agency securities and investment grade c</w:t>
      </w:r>
      <w:r>
        <w:rPr>
          <w:rFonts w:eastAsia="Times New Roman"/>
          <w:color w:val="000000"/>
          <w:sz w:val="20"/>
          <w:szCs w:val="20"/>
        </w:rPr>
        <w:t>orporate bonds. The Company nets the fair value of all derivative financial instruments with counterparties for which an ISDA Master Agreement and related CSA have been executed. As of June 30, 2021 and December 31, 2020, respectively, the Company held $5.</w:t>
      </w:r>
      <w:r>
        <w:rPr>
          <w:rFonts w:eastAsia="Times New Roman"/>
          <w:color w:val="000000"/>
          <w:sz w:val="20"/>
          <w:szCs w:val="20"/>
        </w:rPr>
        <w:t>9 billion and $3.8 billion in cash and securities collateral delivered by trade counterparties, representing the fair value of the related derivative agreements. The unrestricted cash collateral is reported in other invested assets. The Company posted coll</w:t>
      </w:r>
      <w:r>
        <w:rPr>
          <w:rFonts w:eastAsia="Times New Roman"/>
          <w:color w:val="000000"/>
          <w:sz w:val="20"/>
          <w:szCs w:val="20"/>
        </w:rPr>
        <w:t xml:space="preserve">ateral of $0.1 billion and $212 million as of June 30, 2021 and December 31, 2020, respectively, in the normal operation of its collateral arrangements. </w:t>
      </w:r>
    </w:p>
    <w:p w:rsidR="00000000" w:rsidRDefault="00897B14">
      <w:pPr>
        <w:divId w:val="1278486436"/>
        <w:rPr>
          <w:rFonts w:eastAsia="Times New Roman"/>
        </w:rPr>
      </w:pPr>
      <w:r>
        <w:rPr>
          <w:rFonts w:eastAsia="Times New Roman"/>
          <w:color w:val="000000"/>
          <w:sz w:val="20"/>
          <w:szCs w:val="20"/>
        </w:rPr>
        <w:t>The following tables presents information about the Company’s offsetting of financial assets and liabi</w:t>
      </w:r>
      <w:r>
        <w:rPr>
          <w:rFonts w:eastAsia="Times New Roman"/>
          <w:color w:val="000000"/>
          <w:sz w:val="20"/>
          <w:szCs w:val="20"/>
        </w:rPr>
        <w:t>lities and derivative instruments as of June 30, 2021 and December 31, 2020:</w:t>
      </w:r>
    </w:p>
    <w:p w:rsidR="00000000" w:rsidRDefault="00897B14">
      <w:pPr>
        <w:jc w:val="center"/>
        <w:rPr>
          <w:rFonts w:eastAsia="Times New Roman"/>
        </w:rPr>
      </w:pPr>
      <w:r>
        <w:rPr>
          <w:rFonts w:eastAsia="Times New Roman"/>
          <w:b/>
          <w:bCs/>
          <w:color w:val="000000"/>
          <w:sz w:val="20"/>
          <w:szCs w:val="20"/>
        </w:rPr>
        <w:t>Offsetting of Financial Assets and Liabilities and Derivative Instruments</w:t>
      </w:r>
    </w:p>
    <w:p w:rsidR="00000000" w:rsidRDefault="00897B14">
      <w:pPr>
        <w:jc w:val="center"/>
        <w:rPr>
          <w:rFonts w:eastAsia="Times New Roman"/>
        </w:rPr>
      </w:pPr>
    </w:p>
    <w:p w:rsidR="00000000" w:rsidRDefault="00897B14">
      <w:pPr>
        <w:jc w:val="center"/>
        <w:rPr>
          <w:rFonts w:eastAsia="Times New Roman"/>
        </w:rPr>
      </w:pPr>
      <w:r>
        <w:rPr>
          <w:rFonts w:eastAsia="Times New Roman"/>
          <w:b/>
          <w:bCs/>
          <w:color w:val="000000"/>
          <w:sz w:val="20"/>
          <w:szCs w:val="20"/>
        </w:rPr>
        <w:t xml:space="preserve">As of June 30, 2021 </w:t>
      </w:r>
    </w:p>
    <w:tbl>
      <w:tblPr>
        <w:tblW w:w="5000" w:type="pct"/>
        <w:tblCellMar>
          <w:top w:w="15" w:type="dxa"/>
          <w:left w:w="15" w:type="dxa"/>
          <w:bottom w:w="15" w:type="dxa"/>
          <w:right w:w="15" w:type="dxa"/>
        </w:tblCellMar>
        <w:tblLook w:val="04A0" w:firstRow="1" w:lastRow="0" w:firstColumn="1" w:lastColumn="0" w:noHBand="0" w:noVBand="1"/>
      </w:tblPr>
      <w:tblGrid>
        <w:gridCol w:w="41"/>
        <w:gridCol w:w="2644"/>
        <w:gridCol w:w="39"/>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597562458"/>
        </w:trPr>
        <w:tc>
          <w:tcPr>
            <w:tcW w:w="50" w:type="pct"/>
            <w:vAlign w:val="center"/>
            <w:hideMark/>
          </w:tcPr>
          <w:p w:rsidR="00000000" w:rsidRDefault="00897B14">
            <w:pPr>
              <w:jc w:val="center"/>
              <w:rPr>
                <w:rFonts w:eastAsia="Times New Roman"/>
              </w:rPr>
            </w:pPr>
          </w:p>
        </w:tc>
        <w:tc>
          <w:tcPr>
            <w:tcW w:w="166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59756245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Amount</w:t>
            </w:r>
          </w:p>
        </w:tc>
      </w:tr>
      <w:tr w:rsidR="00000000">
        <w:trPr>
          <w:divId w:val="597562458"/>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597562458"/>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97562458"/>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11,326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97562458"/>
        </w:trPr>
        <w:tc>
          <w:tcPr>
            <w:tcW w:w="0" w:type="auto"/>
            <w:gridSpan w:val="3"/>
            <w:shd w:val="clear" w:color="auto" w:fill="FFFFFF"/>
            <w:tcMar>
              <w:top w:w="30" w:type="dxa"/>
              <w:left w:w="3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97562458"/>
        </w:trPr>
        <w:tc>
          <w:tcPr>
            <w:tcW w:w="0" w:type="auto"/>
            <w:gridSpan w:val="3"/>
            <w:shd w:val="clear" w:color="auto" w:fill="CCEEFF"/>
            <w:tcMar>
              <w:top w:w="30" w:type="dxa"/>
              <w:left w:w="26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12,964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10,226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97562458"/>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9756245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97562458"/>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97562458"/>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97562458"/>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14,665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4,439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4,439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1479688211"/>
        <w:rPr>
          <w:rFonts w:eastAsia="Times New Roman"/>
        </w:rPr>
      </w:pPr>
      <w:r>
        <w:rPr>
          <w:rFonts w:eastAsia="Times New Roman"/>
          <w:color w:val="000000"/>
          <w:sz w:val="18"/>
          <w:szCs w:val="18"/>
        </w:rPr>
        <w:t>______________</w:t>
      </w:r>
    </w:p>
    <w:p w:rsidR="00000000" w:rsidRDefault="00897B14">
      <w:pPr>
        <w:ind w:hanging="360"/>
        <w:divId w:val="1070692311"/>
        <w:rPr>
          <w:rFonts w:eastAsia="Times New Roman"/>
        </w:rPr>
      </w:pPr>
      <w:r>
        <w:rPr>
          <w:rFonts w:eastAsia="Times New Roman"/>
          <w:color w:val="000000"/>
          <w:sz w:val="18"/>
          <w:szCs w:val="18"/>
        </w:rPr>
        <w:t>(1)Excludes Investment Management and Research segment’s derivative assets of consolidated VIEs/VOEs.</w:t>
      </w:r>
    </w:p>
    <w:p w:rsidR="00000000" w:rsidRDefault="00897B14">
      <w:pPr>
        <w:ind w:hanging="360"/>
        <w:divId w:val="621420755"/>
        <w:rPr>
          <w:rFonts w:eastAsia="Times New Roman"/>
        </w:rPr>
      </w:pPr>
      <w:r>
        <w:rPr>
          <w:rFonts w:eastAsia="Times New Roman"/>
          <w:color w:val="000000"/>
          <w:sz w:val="18"/>
          <w:szCs w:val="18"/>
        </w:rPr>
        <w:t>(2)Excludes Investment Management and Research segment’s derivative</w:t>
      </w:r>
      <w:r>
        <w:rPr>
          <w:rFonts w:eastAsia="Times New Roman"/>
          <w:color w:val="000000"/>
          <w:sz w:val="18"/>
          <w:szCs w:val="18"/>
        </w:rPr>
        <w:t xml:space="preserve"> liabilities of consolidated VIEs/VOEs.</w:t>
      </w:r>
    </w:p>
    <w:p w:rsidR="00000000" w:rsidRDefault="00897B14">
      <w:pPr>
        <w:ind w:hanging="360"/>
        <w:divId w:val="1605452129"/>
        <w:rPr>
          <w:rFonts w:eastAsia="Times New Roman"/>
        </w:rPr>
      </w:pPr>
      <w:r>
        <w:rPr>
          <w:rFonts w:eastAsia="Times New Roman"/>
          <w:color w:val="000000"/>
          <w:sz w:val="18"/>
          <w:szCs w:val="18"/>
        </w:rPr>
        <w:t xml:space="preserve">(3)Financial instruments sent (held). </w:t>
      </w:r>
    </w:p>
    <w:p w:rsidR="00000000" w:rsidRDefault="00897B14">
      <w:pPr>
        <w:jc w:val="center"/>
        <w:rPr>
          <w:rFonts w:eastAsia="Times New Roman"/>
        </w:rPr>
      </w:pPr>
      <w:r>
        <w:rPr>
          <w:rFonts w:eastAsia="Times New Roman"/>
          <w:b/>
          <w:bCs/>
          <w:color w:val="000000"/>
          <w:sz w:val="20"/>
          <w:szCs w:val="20"/>
        </w:rPr>
        <w:t>As of December 31, 2020</w:t>
      </w:r>
    </w:p>
    <w:p w:rsidR="00000000" w:rsidRDefault="00897B14">
      <w:pPr>
        <w:divId w:val="140491194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594"/>
        <w:gridCol w:w="37"/>
        <w:gridCol w:w="121"/>
        <w:gridCol w:w="839"/>
        <w:gridCol w:w="36"/>
        <w:gridCol w:w="36"/>
        <w:gridCol w:w="36"/>
        <w:gridCol w:w="36"/>
        <w:gridCol w:w="121"/>
        <w:gridCol w:w="963"/>
        <w:gridCol w:w="36"/>
        <w:gridCol w:w="36"/>
        <w:gridCol w:w="36"/>
        <w:gridCol w:w="36"/>
        <w:gridCol w:w="121"/>
        <w:gridCol w:w="1040"/>
        <w:gridCol w:w="36"/>
        <w:gridCol w:w="36"/>
        <w:gridCol w:w="36"/>
        <w:gridCol w:w="36"/>
        <w:gridCol w:w="121"/>
        <w:gridCol w:w="717"/>
        <w:gridCol w:w="36"/>
        <w:gridCol w:w="36"/>
        <w:gridCol w:w="36"/>
        <w:gridCol w:w="36"/>
        <w:gridCol w:w="120"/>
        <w:gridCol w:w="789"/>
        <w:gridCol w:w="36"/>
        <w:gridCol w:w="36"/>
        <w:gridCol w:w="36"/>
      </w:tblGrid>
      <w:tr w:rsidR="00000000">
        <w:trPr>
          <w:jc w:val="center"/>
        </w:trPr>
        <w:tc>
          <w:tcPr>
            <w:tcW w:w="50" w:type="pct"/>
            <w:vAlign w:val="center"/>
            <w:hideMark/>
          </w:tcPr>
          <w:p w:rsidR="00000000" w:rsidRDefault="00897B14">
            <w:pPr>
              <w:rPr>
                <w:rFonts w:eastAsia="Times New Roman"/>
              </w:rPr>
            </w:pPr>
          </w:p>
        </w:tc>
        <w:tc>
          <w:tcPr>
            <w:tcW w:w="164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Amount</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8,249 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942 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financial instruments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10,977 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8,261 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8,249 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11,935 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8,249 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bl>
    <w:p w:rsidR="00000000" w:rsidRDefault="00897B14">
      <w:pPr>
        <w:ind w:hanging="360"/>
        <w:divId w:val="1016419851"/>
        <w:rPr>
          <w:rFonts w:eastAsia="Times New Roman"/>
        </w:rPr>
      </w:pPr>
      <w:r>
        <w:rPr>
          <w:rFonts w:eastAsia="Times New Roman"/>
          <w:color w:val="000000"/>
          <w:sz w:val="18"/>
          <w:szCs w:val="18"/>
        </w:rPr>
        <w:t>______________</w:t>
      </w:r>
    </w:p>
    <w:p w:rsidR="00000000" w:rsidRDefault="00897B14">
      <w:pPr>
        <w:ind w:hanging="360"/>
        <w:divId w:val="2091148020"/>
        <w:rPr>
          <w:rFonts w:eastAsia="Times New Roman"/>
        </w:rPr>
      </w:pPr>
      <w:r>
        <w:rPr>
          <w:rFonts w:eastAsia="Times New Roman"/>
          <w:color w:val="000000"/>
          <w:sz w:val="18"/>
          <w:szCs w:val="18"/>
        </w:rPr>
        <w:t>(1)Excludes Investment Management and Research segment’s derivative assets of consolidated VIEs/VOEs.</w:t>
      </w:r>
    </w:p>
    <w:p w:rsidR="00000000" w:rsidRDefault="00897B14">
      <w:pPr>
        <w:ind w:hanging="360"/>
        <w:divId w:val="1578973399"/>
        <w:rPr>
          <w:rFonts w:eastAsia="Times New Roman"/>
        </w:rPr>
      </w:pPr>
      <w:r>
        <w:rPr>
          <w:rFonts w:eastAsia="Times New Roman"/>
          <w:color w:val="000000"/>
          <w:sz w:val="18"/>
          <w:szCs w:val="18"/>
        </w:rPr>
        <w:t>(2)Excludes Investment Management and Research</w:t>
      </w:r>
      <w:r>
        <w:rPr>
          <w:rFonts w:eastAsia="Times New Roman"/>
          <w:color w:val="000000"/>
          <w:sz w:val="18"/>
          <w:szCs w:val="18"/>
        </w:rPr>
        <w:t xml:space="preserve"> segment’s derivative liabilities of consolidated VIEs/VOEs.</w:t>
      </w:r>
    </w:p>
    <w:p w:rsidR="00000000" w:rsidRDefault="00897B14">
      <w:pPr>
        <w:ind w:hanging="360"/>
        <w:divId w:val="424153436"/>
        <w:rPr>
          <w:rFonts w:eastAsia="Times New Roman"/>
        </w:rPr>
      </w:pPr>
      <w:r>
        <w:rPr>
          <w:rFonts w:eastAsia="Times New Roman"/>
          <w:color w:val="000000"/>
          <w:sz w:val="18"/>
          <w:szCs w:val="18"/>
        </w:rPr>
        <w:t>(3)Financial instruments sent (held).</w:t>
      </w:r>
    </w:p>
    <w:p w:rsidR="00000000" w:rsidRDefault="00897B14">
      <w:pPr>
        <w:divId w:val="116684277"/>
        <w:rPr>
          <w:rFonts w:eastAsia="Times New Roman"/>
        </w:rPr>
      </w:pPr>
      <w:r>
        <w:rPr>
          <w:rFonts w:eastAsia="Times New Roman"/>
          <w:b/>
          <w:bCs/>
          <w:color w:val="000000"/>
          <w:sz w:val="20"/>
          <w:szCs w:val="20"/>
        </w:rPr>
        <w:t>5)    CLOSED BLOCK</w:t>
      </w:r>
    </w:p>
    <w:p w:rsidR="00000000" w:rsidRDefault="00897B14">
      <w:pPr>
        <w:jc w:val="center"/>
        <w:divId w:val="1519853969"/>
        <w:rPr>
          <w:rFonts w:eastAsia="Times New Roman"/>
        </w:rPr>
      </w:pPr>
    </w:p>
    <w:p w:rsidR="00000000" w:rsidRDefault="00897B14">
      <w:pPr>
        <w:jc w:val="center"/>
        <w:divId w:val="1519853969"/>
        <w:rPr>
          <w:rFonts w:eastAsia="Times New Roman"/>
        </w:rPr>
      </w:pPr>
      <w:r>
        <w:rPr>
          <w:rFonts w:eastAsia="Times New Roman"/>
          <w:color w:val="000000"/>
          <w:sz w:val="20"/>
          <w:szCs w:val="20"/>
        </w:rPr>
        <w:t>35</w:t>
      </w:r>
    </w:p>
    <w:p w:rsidR="00000000" w:rsidRDefault="00897B14">
      <w:pPr>
        <w:rPr>
          <w:rFonts w:eastAsia="Times New Roman"/>
        </w:rPr>
      </w:pPr>
      <w:r>
        <w:rPr>
          <w:rFonts w:eastAsia="Times New Roman"/>
        </w:rPr>
        <w:pict>
          <v:rect id="_x0000_i1061" style="width:0;height:1.5pt" o:hralign="center" o:hrstd="t" o:hr="t" fillcolor="#a0a0a0" stroked="f"/>
        </w:pict>
      </w:r>
    </w:p>
    <w:p w:rsidR="00000000" w:rsidRDefault="00897B14">
      <w:pPr>
        <w:divId w:val="1389304716"/>
        <w:rPr>
          <w:rFonts w:eastAsia="Times New Roman"/>
        </w:rPr>
      </w:pPr>
      <w:r>
        <w:rPr>
          <w:rFonts w:eastAsia="Times New Roman"/>
          <w:b/>
          <w:bCs/>
          <w:color w:val="0000FF"/>
          <w:sz w:val="20"/>
          <w:szCs w:val="20"/>
          <w:u w:val="single"/>
        </w:rPr>
        <w:t>Table of Contents</w:t>
      </w:r>
    </w:p>
    <w:p w:rsidR="00000000" w:rsidRDefault="00897B14">
      <w:pPr>
        <w:jc w:val="center"/>
        <w:divId w:val="1175458734"/>
        <w:rPr>
          <w:rFonts w:eastAsia="Times New Roman"/>
        </w:rPr>
      </w:pPr>
      <w:r>
        <w:rPr>
          <w:rFonts w:eastAsia="Times New Roman"/>
          <w:b/>
          <w:bCs/>
          <w:color w:val="000000"/>
          <w:sz w:val="20"/>
          <w:szCs w:val="20"/>
        </w:rPr>
        <w:t>EQUITABLE HOLDINGS, INC.</w:t>
      </w:r>
    </w:p>
    <w:p w:rsidR="00000000" w:rsidRDefault="00897B14">
      <w:pPr>
        <w:jc w:val="center"/>
        <w:divId w:val="1175458734"/>
        <w:rPr>
          <w:rFonts w:eastAsia="Times New Roman"/>
        </w:rPr>
      </w:pPr>
      <w:r>
        <w:rPr>
          <w:rFonts w:eastAsia="Times New Roman"/>
          <w:b/>
          <w:bCs/>
          <w:color w:val="000000"/>
          <w:sz w:val="20"/>
          <w:szCs w:val="20"/>
        </w:rPr>
        <w:t>Notes to Consolidated Financial Statements (Unaudited), Continued</w:t>
      </w:r>
    </w:p>
    <w:p w:rsidR="00000000" w:rsidRDefault="00897B14">
      <w:pPr>
        <w:divId w:val="1422869000"/>
        <w:rPr>
          <w:rFonts w:eastAsia="Times New Roman"/>
        </w:rPr>
      </w:pPr>
    </w:p>
    <w:p w:rsidR="00000000" w:rsidRDefault="00897B14">
      <w:pPr>
        <w:divId w:val="317609892"/>
        <w:rPr>
          <w:rFonts w:eastAsia="Times New Roman"/>
        </w:rPr>
      </w:pPr>
      <w:r>
        <w:rPr>
          <w:rFonts w:eastAsia="Times New Roman"/>
          <w:color w:val="000000"/>
          <w:sz w:val="20"/>
          <w:szCs w:val="20"/>
        </w:rPr>
        <w:t>As a result of demutualization, the Company’s Closed Block was established in 1992 for the benefit of certain</w:t>
      </w:r>
      <w:r>
        <w:rPr>
          <w:rFonts w:eastAsia="Times New Roman"/>
          <w:color w:val="000000"/>
          <w:sz w:val="20"/>
          <w:szCs w:val="20"/>
        </w:rPr>
        <w:t xml:space="preserve"> individual participating policies that were in force on that date. Assets, liabilities and earnings of the Closed Block are specifically identified to support its participating policyholders.</w:t>
      </w:r>
    </w:p>
    <w:p w:rsidR="00000000" w:rsidRDefault="00897B14">
      <w:pPr>
        <w:divId w:val="1422721110"/>
        <w:rPr>
          <w:rFonts w:eastAsia="Times New Roman"/>
        </w:rPr>
      </w:pPr>
      <w:r>
        <w:rPr>
          <w:rFonts w:eastAsia="Times New Roman"/>
          <w:color w:val="000000"/>
          <w:sz w:val="20"/>
          <w:szCs w:val="20"/>
        </w:rPr>
        <w:t>Assets allocated to the Closed Block inure solely to the benefi</w:t>
      </w:r>
      <w:r>
        <w:rPr>
          <w:rFonts w:eastAsia="Times New Roman"/>
          <w:color w:val="000000"/>
          <w:sz w:val="20"/>
          <w:szCs w:val="20"/>
        </w:rPr>
        <w:t>t of the Closed Block policyholders and will not revert to the benefit of the Company. No reallocation, transfer, borrowing or lending of assets can be made between the Closed Block and other portions of the Company’s General Account, any of its Separate A</w:t>
      </w:r>
      <w:r>
        <w:rPr>
          <w:rFonts w:eastAsia="Times New Roman"/>
          <w:color w:val="000000"/>
          <w:sz w:val="20"/>
          <w:szCs w:val="20"/>
        </w:rPr>
        <w:t>ccounts or any affiliate of the Company without the approval of the New York State Department of Financial Services (the “NYDFS”). Closed Block assets and liabilities are carried on the same basis as similar assets and liabilities held in the General Accou</w:t>
      </w:r>
      <w:r>
        <w:rPr>
          <w:rFonts w:eastAsia="Times New Roman"/>
          <w:color w:val="000000"/>
          <w:sz w:val="20"/>
          <w:szCs w:val="20"/>
        </w:rPr>
        <w:t>nt. For more information on the Closed Block, see Note 6 to the Company’s consolidated financial statements included in the Annual Report on Form 10-K for the year ended December 31, 2020.</w:t>
      </w:r>
    </w:p>
    <w:p w:rsidR="00000000" w:rsidRDefault="00897B14">
      <w:pPr>
        <w:divId w:val="1993364627"/>
        <w:rPr>
          <w:rFonts w:eastAsia="Times New Roman"/>
        </w:rPr>
      </w:pPr>
      <w:r>
        <w:rPr>
          <w:rFonts w:eastAsia="Times New Roman"/>
          <w:color w:val="000000"/>
          <w:sz w:val="20"/>
          <w:szCs w:val="20"/>
        </w:rPr>
        <w:t xml:space="preserve">Summarized financial information for the Company’s Closed Block is </w:t>
      </w:r>
      <w:r>
        <w:rPr>
          <w:rFonts w:eastAsia="Times New Roman"/>
          <w:color w:val="000000"/>
          <w:sz w:val="20"/>
          <w:szCs w:val="20"/>
        </w:rPr>
        <w:t>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7"/>
        <w:gridCol w:w="120"/>
        <w:gridCol w:w="1079"/>
        <w:gridCol w:w="36"/>
        <w:gridCol w:w="36"/>
        <w:gridCol w:w="36"/>
        <w:gridCol w:w="36"/>
        <w:gridCol w:w="121"/>
        <w:gridCol w:w="1046"/>
        <w:gridCol w:w="36"/>
      </w:tblGrid>
      <w:tr w:rsidR="00000000">
        <w:trPr>
          <w:divId w:val="1559434242"/>
        </w:trPr>
        <w:tc>
          <w:tcPr>
            <w:tcW w:w="50" w:type="pct"/>
            <w:vAlign w:val="center"/>
            <w:hideMark/>
          </w:tcPr>
          <w:p w:rsidR="00000000" w:rsidRDefault="00897B14">
            <w:pPr>
              <w:rPr>
                <w:rFonts w:eastAsia="Times New Roman"/>
              </w:rPr>
            </w:pPr>
          </w:p>
        </w:tc>
        <w:tc>
          <w:tcPr>
            <w:tcW w:w="344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7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559434242"/>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559434242"/>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r>
      <w:tr w:rsidR="00000000">
        <w:trPr>
          <w:divId w:val="1559434242"/>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559434242"/>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5943424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6,201 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Closed Block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6,207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6,400 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5943424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555774613"/>
              <w:rPr>
                <w:rFonts w:eastAsia="Times New Roman"/>
              </w:rPr>
            </w:pPr>
            <w:r>
              <w:rPr>
                <w:rFonts w:eastAsia="Times New Roman"/>
                <w:color w:val="000000"/>
                <w:sz w:val="20"/>
                <w:szCs w:val="20"/>
              </w:rPr>
              <w:t>Fixed maturities AFS, at fair value (amortized cost of $3,350 and $3,359) (allowance for credit losses of $0)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1463815580"/>
              <w:rPr>
                <w:rFonts w:eastAsia="Times New Roman"/>
              </w:rPr>
            </w:pPr>
            <w:r>
              <w:rPr>
                <w:rFonts w:eastAsia="Times New Roman"/>
                <w:color w:val="000000"/>
                <w:sz w:val="20"/>
                <w:szCs w:val="20"/>
              </w:rPr>
              <w:t>Mortgage loans on real estate (net of allowance for credit losses of $5 and $6)</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1,773 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assets designated to the Closed Block</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6,151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594342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795412618"/>
              <w:rPr>
                <w:rFonts w:eastAsia="Times New Roman"/>
              </w:rPr>
            </w:pPr>
            <w:r>
              <w:rPr>
                <w:rFonts w:eastAsia="Times New Roman"/>
                <w:color w:val="000000"/>
                <w:sz w:val="20"/>
                <w:szCs w:val="20"/>
              </w:rPr>
              <w:t>Net unrealized investment gains (losses), net of policyholders’ dividend obligation: $72 and $160; and net of income tax: $(44) and $(42)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5943424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303390245"/>
        <w:rPr>
          <w:rFonts w:eastAsia="Times New Roman"/>
        </w:rPr>
      </w:pPr>
    </w:p>
    <w:p w:rsidR="00000000" w:rsidRDefault="00897B14">
      <w:pPr>
        <w:jc w:val="center"/>
        <w:divId w:val="1659335521"/>
        <w:rPr>
          <w:rFonts w:eastAsia="Times New Roman"/>
        </w:rPr>
      </w:pPr>
    </w:p>
    <w:p w:rsidR="00000000" w:rsidRDefault="00897B14">
      <w:pPr>
        <w:jc w:val="center"/>
        <w:divId w:val="1659335521"/>
        <w:rPr>
          <w:rFonts w:eastAsia="Times New Roman"/>
        </w:rPr>
      </w:pPr>
      <w:r>
        <w:rPr>
          <w:rFonts w:eastAsia="Times New Roman"/>
          <w:color w:val="000000"/>
          <w:sz w:val="20"/>
          <w:szCs w:val="20"/>
        </w:rPr>
        <w:t>36</w:t>
      </w:r>
    </w:p>
    <w:p w:rsidR="00000000" w:rsidRDefault="00897B14">
      <w:pPr>
        <w:rPr>
          <w:rFonts w:eastAsia="Times New Roman"/>
        </w:rPr>
      </w:pPr>
      <w:r>
        <w:rPr>
          <w:rFonts w:eastAsia="Times New Roman"/>
        </w:rPr>
        <w:pict>
          <v:rect id="_x0000_i1062" style="width:0;height:1.5pt" o:hralign="center" o:hrstd="t" o:hr="t" fillcolor="#a0a0a0" stroked="f"/>
        </w:pict>
      </w:r>
    </w:p>
    <w:p w:rsidR="00000000" w:rsidRDefault="00897B14">
      <w:pPr>
        <w:divId w:val="1871651463"/>
        <w:rPr>
          <w:rFonts w:eastAsia="Times New Roman"/>
        </w:rPr>
      </w:pPr>
      <w:r>
        <w:rPr>
          <w:rFonts w:eastAsia="Times New Roman"/>
          <w:b/>
          <w:bCs/>
          <w:color w:val="0000FF"/>
          <w:sz w:val="20"/>
          <w:szCs w:val="20"/>
          <w:u w:val="single"/>
        </w:rPr>
        <w:t>Table of Contents</w:t>
      </w:r>
    </w:p>
    <w:p w:rsidR="00000000" w:rsidRDefault="00897B14">
      <w:pPr>
        <w:jc w:val="center"/>
        <w:divId w:val="825631378"/>
        <w:rPr>
          <w:rFonts w:eastAsia="Times New Roman"/>
        </w:rPr>
      </w:pPr>
      <w:r>
        <w:rPr>
          <w:rFonts w:eastAsia="Times New Roman"/>
          <w:b/>
          <w:bCs/>
          <w:color w:val="000000"/>
          <w:sz w:val="20"/>
          <w:szCs w:val="20"/>
        </w:rPr>
        <w:t>EQUITABLE HOLDINGS, INC.</w:t>
      </w:r>
    </w:p>
    <w:p w:rsidR="00000000" w:rsidRDefault="00897B14">
      <w:pPr>
        <w:jc w:val="center"/>
        <w:divId w:val="825631378"/>
        <w:rPr>
          <w:rFonts w:eastAsia="Times New Roman"/>
        </w:rPr>
      </w:pPr>
      <w:r>
        <w:rPr>
          <w:rFonts w:eastAsia="Times New Roman"/>
          <w:b/>
          <w:bCs/>
          <w:color w:val="000000"/>
          <w:sz w:val="20"/>
          <w:szCs w:val="20"/>
        </w:rPr>
        <w:t>Notes to Consolidated Financial Statements (Unaudited), Continued</w:t>
      </w:r>
    </w:p>
    <w:p w:rsidR="00000000" w:rsidRDefault="00897B14">
      <w:pPr>
        <w:divId w:val="481391692"/>
        <w:rPr>
          <w:rFonts w:eastAsia="Times New Roman"/>
        </w:rPr>
      </w:pPr>
    </w:p>
    <w:p w:rsidR="00000000" w:rsidRDefault="00897B14">
      <w:pPr>
        <w:divId w:val="1418818347"/>
        <w:rPr>
          <w:rFonts w:eastAsia="Times New Roman"/>
        </w:rPr>
      </w:pPr>
      <w:r>
        <w:rPr>
          <w:rFonts w:eastAsia="Times New Roman"/>
          <w:color w:val="000000"/>
          <w:sz w:val="20"/>
          <w:szCs w:val="20"/>
        </w:rPr>
        <w:t>The Company’</w:t>
      </w:r>
      <w:r>
        <w:rPr>
          <w:rFonts w:eastAsia="Times New Roman"/>
          <w:color w:val="000000"/>
          <w:sz w:val="20"/>
          <w:szCs w:val="20"/>
        </w:rPr>
        <w:t>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085"/>
        <w:gridCol w:w="39"/>
        <w:gridCol w:w="120"/>
        <w:gridCol w:w="683"/>
        <w:gridCol w:w="36"/>
        <w:gridCol w:w="36"/>
        <w:gridCol w:w="36"/>
        <w:gridCol w:w="36"/>
        <w:gridCol w:w="120"/>
        <w:gridCol w:w="683"/>
        <w:gridCol w:w="36"/>
        <w:gridCol w:w="36"/>
        <w:gridCol w:w="36"/>
        <w:gridCol w:w="36"/>
        <w:gridCol w:w="120"/>
        <w:gridCol w:w="837"/>
        <w:gridCol w:w="36"/>
        <w:gridCol w:w="36"/>
        <w:gridCol w:w="36"/>
        <w:gridCol w:w="36"/>
        <w:gridCol w:w="120"/>
        <w:gridCol w:w="775"/>
        <w:gridCol w:w="36"/>
        <w:gridCol w:w="36"/>
        <w:gridCol w:w="36"/>
        <w:gridCol w:w="36"/>
        <w:gridCol w:w="36"/>
        <w:gridCol w:w="36"/>
        <w:gridCol w:w="36"/>
      </w:tblGrid>
      <w:tr w:rsidR="00000000">
        <w:trPr>
          <w:divId w:val="2127918387"/>
        </w:trPr>
        <w:tc>
          <w:tcPr>
            <w:tcW w:w="50" w:type="pct"/>
            <w:vAlign w:val="center"/>
            <w:hideMark/>
          </w:tcPr>
          <w:p w:rsidR="00000000" w:rsidRDefault="00897B14">
            <w:pPr>
              <w:rPr>
                <w:rFonts w:eastAsia="Times New Roman"/>
              </w:rPr>
            </w:pPr>
          </w:p>
        </w:tc>
        <w:tc>
          <w:tcPr>
            <w:tcW w:w="25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Premiums and other income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Policyholders’ benefits and dividends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12791838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Net income (loss)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321272318"/>
        <w:rPr>
          <w:rFonts w:eastAsia="Times New Roman"/>
        </w:rPr>
      </w:pPr>
    </w:p>
    <w:p w:rsidR="00000000" w:rsidRDefault="00897B14">
      <w:pPr>
        <w:divId w:val="1099302522"/>
        <w:rPr>
          <w:rFonts w:eastAsia="Times New Roman"/>
        </w:rPr>
      </w:pPr>
      <w:r>
        <w:rPr>
          <w:rFonts w:eastAsia="Times New Roman"/>
          <w:color w:val="000000"/>
          <w:sz w:val="20"/>
          <w:szCs w:val="20"/>
        </w:rPr>
        <w:t>A reconciliation of the Company’s policyholder dividend obligation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780"/>
        <w:gridCol w:w="36"/>
        <w:gridCol w:w="120"/>
        <w:gridCol w:w="836"/>
        <w:gridCol w:w="36"/>
        <w:gridCol w:w="36"/>
        <w:gridCol w:w="36"/>
        <w:gridCol w:w="36"/>
        <w:gridCol w:w="121"/>
        <w:gridCol w:w="837"/>
        <w:gridCol w:w="37"/>
        <w:gridCol w:w="36"/>
        <w:gridCol w:w="36"/>
        <w:gridCol w:w="36"/>
        <w:gridCol w:w="120"/>
        <w:gridCol w:w="837"/>
        <w:gridCol w:w="36"/>
        <w:gridCol w:w="36"/>
        <w:gridCol w:w="36"/>
        <w:gridCol w:w="36"/>
        <w:gridCol w:w="121"/>
        <w:gridCol w:w="775"/>
        <w:gridCol w:w="37"/>
        <w:gridCol w:w="36"/>
        <w:gridCol w:w="36"/>
        <w:gridCol w:w="36"/>
        <w:gridCol w:w="36"/>
        <w:gridCol w:w="36"/>
        <w:gridCol w:w="36"/>
      </w:tblGrid>
      <w:tr w:rsidR="00000000">
        <w:trPr>
          <w:jc w:val="center"/>
        </w:trPr>
        <w:tc>
          <w:tcPr>
            <w:tcW w:w="50" w:type="pct"/>
            <w:vAlign w:val="center"/>
            <w:hideMark/>
          </w:tcPr>
          <w:p w:rsidR="00000000" w:rsidRDefault="00897B14">
            <w:pPr>
              <w:rPr>
                <w:rFonts w:eastAsia="Times New Roman"/>
              </w:rPr>
            </w:pPr>
          </w:p>
        </w:tc>
        <w:tc>
          <w:tcPr>
            <w:tcW w:w="23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ascii="Calibri" w:eastAsia="Times New Roman" w:hAnsi="Calibri" w:cs="Calibri"/>
                <w:color w:val="000000"/>
                <w:sz w:val="18"/>
                <w:szCs w:val="18"/>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ascii="Calibri" w:eastAsia="Times New Roman" w:hAnsi="Calibri" w:cs="Calibri"/>
                <w:color w:val="000000"/>
                <w:sz w:val="18"/>
                <w:szCs w:val="18"/>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704788740"/>
        <w:rPr>
          <w:rFonts w:eastAsia="Times New Roman"/>
        </w:rPr>
      </w:pPr>
    </w:p>
    <w:p w:rsidR="00000000" w:rsidRDefault="00897B14">
      <w:pPr>
        <w:divId w:val="820662198"/>
        <w:rPr>
          <w:rFonts w:eastAsia="Times New Roman"/>
        </w:rPr>
      </w:pPr>
      <w:r>
        <w:rPr>
          <w:rFonts w:eastAsia="Times New Roman"/>
          <w:b/>
          <w:bCs/>
          <w:color w:val="000000"/>
          <w:sz w:val="20"/>
          <w:szCs w:val="20"/>
        </w:rPr>
        <w:t xml:space="preserve">6)    INSURANCE LIABILITIES </w:t>
      </w:r>
    </w:p>
    <w:p w:rsidR="00000000" w:rsidRDefault="00897B14">
      <w:pPr>
        <w:divId w:val="508329475"/>
        <w:rPr>
          <w:rFonts w:eastAsia="Times New Roman"/>
        </w:rPr>
      </w:pPr>
      <w:r>
        <w:rPr>
          <w:rFonts w:eastAsia="Times New Roman"/>
          <w:color w:val="000000"/>
          <w:sz w:val="20"/>
          <w:szCs w:val="20"/>
          <w:u w:val="single"/>
        </w:rPr>
        <w:t>Variable Annuity Contracts – GMDB, GMIB, GIB and GWBL and Other Features</w:t>
      </w:r>
    </w:p>
    <w:p w:rsidR="00000000" w:rsidRDefault="00897B14">
      <w:pPr>
        <w:divId w:val="1711760518"/>
        <w:rPr>
          <w:rFonts w:eastAsia="Times New Roman"/>
        </w:rPr>
      </w:pPr>
      <w:r>
        <w:rPr>
          <w:rFonts w:eastAsia="Times New Roman"/>
          <w:color w:val="000000"/>
          <w:sz w:val="20"/>
          <w:szCs w:val="20"/>
        </w:rPr>
        <w:t>The Company has certain variable annuity contra</w:t>
      </w:r>
      <w:r>
        <w:rPr>
          <w:rFonts w:eastAsia="Times New Roman"/>
          <w:color w:val="000000"/>
          <w:sz w:val="20"/>
          <w:szCs w:val="20"/>
        </w:rPr>
        <w:t>cts with GMDB, GMIB, GIB and GWBL and other features in-force that guarantee one of the following:</w:t>
      </w:r>
    </w:p>
    <w:p w:rsidR="00000000" w:rsidRDefault="00897B14">
      <w:pPr>
        <w:ind w:hanging="360"/>
        <w:jc w:val="both"/>
        <w:divId w:val="332340134"/>
        <w:rPr>
          <w:rFonts w:eastAsia="Times New Roman"/>
        </w:rPr>
      </w:pPr>
      <w:r>
        <w:rPr>
          <w:rFonts w:eastAsia="Times New Roman"/>
          <w:color w:val="000000"/>
          <w:sz w:val="20"/>
          <w:szCs w:val="20"/>
        </w:rPr>
        <w:t>•</w:t>
      </w:r>
      <w:r>
        <w:rPr>
          <w:rFonts w:eastAsia="Times New Roman"/>
          <w:color w:val="000000"/>
          <w:sz w:val="20"/>
          <w:szCs w:val="20"/>
        </w:rPr>
        <w:t>Return of Premium: the benefit is the greater of current account value or premiums paid (adjusted for withdrawals);</w:t>
      </w:r>
    </w:p>
    <w:p w:rsidR="00000000" w:rsidRDefault="00897B14">
      <w:pPr>
        <w:ind w:hanging="360"/>
        <w:jc w:val="both"/>
        <w:divId w:val="1165975962"/>
        <w:rPr>
          <w:rFonts w:eastAsia="Times New Roman"/>
        </w:rPr>
      </w:pPr>
      <w:r>
        <w:rPr>
          <w:rFonts w:eastAsia="Times New Roman"/>
          <w:color w:val="000000"/>
          <w:sz w:val="20"/>
          <w:szCs w:val="20"/>
        </w:rPr>
        <w:t>•Ratchet: the benefit is the greatest of current account value, premiums paid (adjusted for withdrawals), or the highest account value on an</w:t>
      </w:r>
      <w:r>
        <w:rPr>
          <w:rFonts w:eastAsia="Times New Roman"/>
          <w:color w:val="000000"/>
          <w:sz w:val="20"/>
          <w:szCs w:val="20"/>
        </w:rPr>
        <w:t>y anniversary up to contractually specified ages (adjusted for withdrawals);</w:t>
      </w:r>
    </w:p>
    <w:p w:rsidR="00000000" w:rsidRDefault="00897B14">
      <w:pPr>
        <w:ind w:hanging="360"/>
        <w:jc w:val="both"/>
        <w:divId w:val="1704213549"/>
        <w:rPr>
          <w:rFonts w:eastAsia="Times New Roman"/>
        </w:rPr>
      </w:pPr>
      <w:r>
        <w:rPr>
          <w:rFonts w:eastAsia="Times New Roman"/>
          <w:color w:val="000000"/>
          <w:sz w:val="20"/>
          <w:szCs w:val="20"/>
        </w:rPr>
        <w:t>•Roll-Up: the benefit is the greater of current account value or premiums paid (adjusted for withdrawals) accumulated at contractually specified interest rates up to specified age</w:t>
      </w:r>
      <w:r>
        <w:rPr>
          <w:rFonts w:eastAsia="Times New Roman"/>
          <w:color w:val="000000"/>
          <w:sz w:val="20"/>
          <w:szCs w:val="20"/>
        </w:rPr>
        <w:t>s;</w:t>
      </w:r>
    </w:p>
    <w:p w:rsidR="00000000" w:rsidRDefault="00897B14">
      <w:pPr>
        <w:ind w:hanging="360"/>
        <w:jc w:val="both"/>
        <w:divId w:val="828596018"/>
        <w:rPr>
          <w:rFonts w:eastAsia="Times New Roman"/>
        </w:rPr>
      </w:pPr>
      <w:r>
        <w:rPr>
          <w:rFonts w:eastAsia="Times New Roman"/>
          <w:color w:val="000000"/>
          <w:sz w:val="20"/>
          <w:szCs w:val="20"/>
        </w:rPr>
        <w:t>•Combo: the benefit is the greater of the ratchet benefit or the roll-up benefit, which may include either a five year or an annual reset; or</w:t>
      </w:r>
    </w:p>
    <w:p w:rsidR="00000000" w:rsidRDefault="00897B14">
      <w:pPr>
        <w:ind w:hanging="360"/>
        <w:divId w:val="901596703"/>
        <w:rPr>
          <w:rFonts w:eastAsia="Times New Roman"/>
        </w:rPr>
      </w:pPr>
      <w:r>
        <w:rPr>
          <w:rFonts w:eastAsia="Times New Roman"/>
          <w:color w:val="000000"/>
          <w:sz w:val="20"/>
          <w:szCs w:val="20"/>
        </w:rPr>
        <w:t xml:space="preserve">•Withdrawal: the withdrawal is guaranteed up to a maximum amount per year for life. </w:t>
      </w:r>
    </w:p>
    <w:p w:rsidR="00000000" w:rsidRDefault="00897B14">
      <w:pPr>
        <w:jc w:val="both"/>
        <w:divId w:val="957950830"/>
        <w:rPr>
          <w:rFonts w:eastAsia="Times New Roman"/>
        </w:rPr>
      </w:pPr>
      <w:r>
        <w:rPr>
          <w:rFonts w:eastAsia="Times New Roman"/>
          <w:b/>
          <w:bCs/>
          <w:i/>
          <w:iCs/>
          <w:color w:val="000000"/>
          <w:sz w:val="20"/>
          <w:szCs w:val="20"/>
        </w:rPr>
        <w:t>Liabilities for Variable A</w:t>
      </w:r>
      <w:r>
        <w:rPr>
          <w:rFonts w:eastAsia="Times New Roman"/>
          <w:b/>
          <w:bCs/>
          <w:i/>
          <w:iCs/>
          <w:color w:val="000000"/>
          <w:sz w:val="20"/>
          <w:szCs w:val="20"/>
        </w:rPr>
        <w:t>nnuity Contracts with GMDB and GMIB Features without NLG Rider Feature</w:t>
      </w:r>
    </w:p>
    <w:p w:rsidR="00000000" w:rsidRDefault="00897B14">
      <w:pPr>
        <w:divId w:val="900825031"/>
        <w:rPr>
          <w:rFonts w:eastAsia="Times New Roman"/>
        </w:rPr>
      </w:pPr>
      <w:r>
        <w:rPr>
          <w:rFonts w:eastAsia="Times New Roman"/>
          <w:color w:val="000000"/>
          <w:sz w:val="20"/>
          <w:szCs w:val="20"/>
        </w:rPr>
        <w:t>The change in the liabilities for variable annuity contracts with GMDB and GMIB features and without a NLG feature are summarized in the tables below. The amounts for the direct contrac</w:t>
      </w:r>
      <w:r>
        <w:rPr>
          <w:rFonts w:eastAsia="Times New Roman"/>
          <w:color w:val="000000"/>
          <w:sz w:val="20"/>
          <w:szCs w:val="20"/>
        </w:rPr>
        <w:t>ts (before reinsurance ceded) and assumed contracts are reflected in the consolidated balance sheets in future policy benefits and other policyholders’ liabilities. The amounts for the ceded contracts are reflected in the consolidated balance sheets in amo</w:t>
      </w:r>
      <w:r>
        <w:rPr>
          <w:rFonts w:eastAsia="Times New Roman"/>
          <w:color w:val="000000"/>
          <w:sz w:val="20"/>
          <w:szCs w:val="20"/>
        </w:rPr>
        <w:t>unts due from reinsurers. The amounts for the ceded IB are reflected in the consolidated balance sheets in GMIB reinsurance contract asset, at fair value.</w:t>
      </w:r>
    </w:p>
    <w:p w:rsidR="00000000" w:rsidRDefault="00897B14">
      <w:pPr>
        <w:jc w:val="center"/>
        <w:divId w:val="721826565"/>
        <w:rPr>
          <w:rFonts w:eastAsia="Times New Roman"/>
        </w:rPr>
      </w:pPr>
    </w:p>
    <w:p w:rsidR="00000000" w:rsidRDefault="00897B14">
      <w:pPr>
        <w:jc w:val="center"/>
        <w:divId w:val="721826565"/>
        <w:rPr>
          <w:rFonts w:eastAsia="Times New Roman"/>
        </w:rPr>
      </w:pPr>
      <w:r>
        <w:rPr>
          <w:rFonts w:eastAsia="Times New Roman"/>
          <w:color w:val="000000"/>
          <w:sz w:val="20"/>
          <w:szCs w:val="20"/>
        </w:rPr>
        <w:t>37</w:t>
      </w:r>
    </w:p>
    <w:p w:rsidR="00000000" w:rsidRDefault="00897B14">
      <w:pPr>
        <w:rPr>
          <w:rFonts w:eastAsia="Times New Roman"/>
        </w:rPr>
      </w:pPr>
      <w:r>
        <w:rPr>
          <w:rFonts w:eastAsia="Times New Roman"/>
        </w:rPr>
        <w:pict>
          <v:rect id="_x0000_i1063" style="width:0;height:1.5pt" o:hralign="center" o:hrstd="t" o:hr="t" fillcolor="#a0a0a0" stroked="f"/>
        </w:pict>
      </w:r>
    </w:p>
    <w:p w:rsidR="00000000" w:rsidRDefault="00897B14">
      <w:pPr>
        <w:divId w:val="1444110565"/>
        <w:rPr>
          <w:rFonts w:eastAsia="Times New Roman"/>
        </w:rPr>
      </w:pPr>
      <w:r>
        <w:rPr>
          <w:rFonts w:eastAsia="Times New Roman"/>
          <w:b/>
          <w:bCs/>
          <w:color w:val="0000FF"/>
          <w:sz w:val="20"/>
          <w:szCs w:val="20"/>
          <w:u w:val="single"/>
        </w:rPr>
        <w:t>Table of Contents</w:t>
      </w:r>
    </w:p>
    <w:p w:rsidR="00000000" w:rsidRDefault="00897B14">
      <w:pPr>
        <w:jc w:val="center"/>
        <w:divId w:val="1482230456"/>
        <w:rPr>
          <w:rFonts w:eastAsia="Times New Roman"/>
        </w:rPr>
      </w:pPr>
      <w:r>
        <w:rPr>
          <w:rFonts w:eastAsia="Times New Roman"/>
          <w:b/>
          <w:bCs/>
          <w:color w:val="000000"/>
          <w:sz w:val="20"/>
          <w:szCs w:val="20"/>
        </w:rPr>
        <w:t>EQUITABLE HOLDINGS, INC.</w:t>
      </w:r>
    </w:p>
    <w:p w:rsidR="00000000" w:rsidRDefault="00897B14">
      <w:pPr>
        <w:jc w:val="center"/>
        <w:divId w:val="1482230456"/>
        <w:rPr>
          <w:rFonts w:eastAsia="Times New Roman"/>
        </w:rPr>
      </w:pPr>
      <w:r>
        <w:rPr>
          <w:rFonts w:eastAsia="Times New Roman"/>
          <w:b/>
          <w:bCs/>
          <w:color w:val="000000"/>
          <w:sz w:val="20"/>
          <w:szCs w:val="20"/>
        </w:rPr>
        <w:t>Notes to Consolid</w:t>
      </w:r>
      <w:r>
        <w:rPr>
          <w:rFonts w:eastAsia="Times New Roman"/>
          <w:b/>
          <w:bCs/>
          <w:color w:val="000000"/>
          <w:sz w:val="20"/>
          <w:szCs w:val="20"/>
        </w:rPr>
        <w:t>ated Financial Statements (Unaudited), Continued</w:t>
      </w:r>
    </w:p>
    <w:p w:rsidR="00000000" w:rsidRDefault="00897B14">
      <w:pPr>
        <w:divId w:val="1237671114"/>
        <w:rPr>
          <w:rFonts w:eastAsia="Times New Roman"/>
        </w:rPr>
      </w:pPr>
    </w:p>
    <w:p w:rsidR="00000000" w:rsidRDefault="00897B14">
      <w:pPr>
        <w:jc w:val="center"/>
        <w:rPr>
          <w:rFonts w:eastAsia="Times New Roman"/>
        </w:rPr>
      </w:pPr>
      <w:r>
        <w:rPr>
          <w:rFonts w:eastAsia="Times New Roman"/>
          <w:b/>
          <w:bCs/>
          <w:color w:val="000000"/>
          <w:sz w:val="20"/>
          <w:szCs w:val="20"/>
        </w:rPr>
        <w:t>Change in Liability for Variable Annuity Contracts with GMDB and GMIB Features and No NLG Feature</w:t>
      </w:r>
    </w:p>
    <w:p w:rsidR="00000000" w:rsidRDefault="00897B14">
      <w:pPr>
        <w:jc w:val="center"/>
        <w:rPr>
          <w:rFonts w:eastAsia="Times New Roman"/>
        </w:rPr>
      </w:pPr>
      <w:r>
        <w:rPr>
          <w:rFonts w:eastAsia="Times New Roman"/>
          <w:b/>
          <w:bCs/>
          <w:color w:val="000000"/>
          <w:sz w:val="20"/>
          <w:szCs w:val="20"/>
        </w:rPr>
        <w:t>Three and Six Months Ended June 30, 2021 and 2020</w:t>
      </w:r>
    </w:p>
    <w:p w:rsidR="00000000" w:rsidRDefault="00897B14">
      <w:pPr>
        <w:divId w:val="827091991"/>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897B14">
            <w:pPr>
              <w:rPr>
                <w:rFonts w:eastAsia="Times New Roman"/>
              </w:rPr>
            </w:pPr>
          </w:p>
        </w:tc>
        <w:tc>
          <w:tcPr>
            <w:tcW w:w="213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April 1, 2021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(1,907)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Impact of the Venerable transaction (1) (2)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(2,176)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(2,141)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(2,262)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5,905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(4,168)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April 1, 2020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5,046 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(2,825)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5,004 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6,122 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w:t>
            </w:r>
            <w:r>
              <w:rPr>
                <w:rFonts w:eastAsia="Times New Roman"/>
                <w:color w:val="000000"/>
                <w:sz w:val="20"/>
                <w:szCs w:val="20"/>
              </w:rPr>
              <w:t>2,931)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897B14">
            <w:pPr>
              <w:jc w:val="center"/>
              <w:rPr>
                <w:rFonts w:eastAsia="Times New Roman"/>
              </w:rPr>
            </w:pPr>
          </w:p>
        </w:tc>
        <w:tc>
          <w:tcPr>
            <w:tcW w:w="213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(2,488)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Impact of the Venerable transaction (1) (2)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(2,176)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(2,141)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(2,262)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5,905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(4,168)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4,780 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4,673 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(2,139)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5,004 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6,122 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(2,931)</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122895586"/>
        <w:rPr>
          <w:rFonts w:eastAsia="Times New Roman"/>
        </w:rPr>
      </w:pPr>
      <w:r>
        <w:rPr>
          <w:rFonts w:eastAsia="Times New Roman"/>
          <w:color w:val="000000"/>
          <w:sz w:val="18"/>
          <w:szCs w:val="18"/>
        </w:rPr>
        <w:t>_____________</w:t>
      </w:r>
    </w:p>
    <w:p w:rsidR="00000000" w:rsidRDefault="00897B14">
      <w:pPr>
        <w:ind w:hanging="360"/>
        <w:divId w:val="1440223596"/>
        <w:rPr>
          <w:rFonts w:eastAsia="Times New Roman"/>
        </w:rPr>
      </w:pPr>
      <w:r>
        <w:rPr>
          <w:rFonts w:eastAsia="Times New Roman"/>
          <w:color w:val="000000"/>
          <w:sz w:val="18"/>
          <w:szCs w:val="18"/>
        </w:rPr>
        <w:t xml:space="preserve">(1)Change in Assumed is driven by the sale of </w:t>
      </w:r>
      <w:r>
        <w:rPr>
          <w:rFonts w:eastAsia="Times New Roman"/>
          <w:color w:val="000000"/>
          <w:sz w:val="20"/>
          <w:szCs w:val="20"/>
        </w:rPr>
        <w:t xml:space="preserve">CSLRC </w:t>
      </w:r>
      <w:r>
        <w:rPr>
          <w:rFonts w:eastAsia="Times New Roman"/>
          <w:color w:val="000000"/>
          <w:sz w:val="18"/>
          <w:szCs w:val="18"/>
        </w:rPr>
        <w:t>to Venerable.</w:t>
      </w:r>
    </w:p>
    <w:p w:rsidR="00000000" w:rsidRDefault="00897B14">
      <w:pPr>
        <w:ind w:hanging="360"/>
        <w:divId w:val="1656831936"/>
        <w:rPr>
          <w:rFonts w:eastAsia="Times New Roman"/>
        </w:rPr>
      </w:pPr>
      <w:r>
        <w:rPr>
          <w:rFonts w:eastAsia="Times New Roman"/>
          <w:color w:val="000000"/>
          <w:sz w:val="18"/>
          <w:szCs w:val="18"/>
        </w:rPr>
        <w:t>(2)Includes the impact as of June 1, 2021 on the ceded reserves to Venerable. See Note 1- Organization for details of the Venerable transaction.</w:t>
      </w:r>
    </w:p>
    <w:p w:rsidR="00000000" w:rsidRDefault="00897B14">
      <w:pPr>
        <w:jc w:val="both"/>
        <w:divId w:val="1342202006"/>
        <w:rPr>
          <w:rFonts w:eastAsia="Times New Roman"/>
        </w:rPr>
      </w:pPr>
      <w:r>
        <w:rPr>
          <w:rFonts w:eastAsia="Times New Roman"/>
          <w:b/>
          <w:bCs/>
          <w:i/>
          <w:iCs/>
          <w:color w:val="000000"/>
          <w:sz w:val="20"/>
          <w:szCs w:val="20"/>
        </w:rPr>
        <w:t>Liabilities for Embedded and Fr</w:t>
      </w:r>
      <w:r>
        <w:rPr>
          <w:rFonts w:eastAsia="Times New Roman"/>
          <w:b/>
          <w:bCs/>
          <w:i/>
          <w:iCs/>
          <w:color w:val="000000"/>
          <w:sz w:val="20"/>
          <w:szCs w:val="20"/>
        </w:rPr>
        <w:t>eestanding Insurance Related Derivatives</w:t>
      </w:r>
    </w:p>
    <w:p w:rsidR="00000000" w:rsidRDefault="00897B14">
      <w:pPr>
        <w:divId w:val="1921062816"/>
        <w:rPr>
          <w:rFonts w:eastAsia="Times New Roman"/>
        </w:rPr>
      </w:pPr>
      <w:r>
        <w:rPr>
          <w:rFonts w:eastAsia="Times New Roman"/>
          <w:color w:val="000000"/>
          <w:sz w:val="20"/>
          <w:szCs w:val="20"/>
        </w:rPr>
        <w:t>The liability for the GMxB derivative features, the liability for SCS, SIO, MSO and IUL indexed features and the asset and liability for the GMIB reinsurance contracts and amounts due from reinsurers related to GMIB</w:t>
      </w:r>
      <w:r>
        <w:rPr>
          <w:rFonts w:eastAsia="Times New Roman"/>
          <w:color w:val="000000"/>
          <w:sz w:val="20"/>
          <w:szCs w:val="20"/>
        </w:rPr>
        <w:t xml:space="preserve"> NLG product features (GMIB NLG Reinsurance) are considered embedded or freestanding insurance derivatives and are reported at fair value. For the fair value of the assets and liabilities associated with these embedded or freestanding insurance derivatives</w:t>
      </w:r>
      <w:r>
        <w:rPr>
          <w:rFonts w:eastAsia="Times New Roman"/>
          <w:color w:val="000000"/>
          <w:sz w:val="20"/>
          <w:szCs w:val="20"/>
        </w:rPr>
        <w:t>, see Note 7 Fair Value Disclosures.</w:t>
      </w:r>
    </w:p>
    <w:p w:rsidR="00000000" w:rsidRDefault="00897B14">
      <w:pPr>
        <w:jc w:val="both"/>
        <w:divId w:val="1502811004"/>
        <w:rPr>
          <w:rFonts w:eastAsia="Times New Roman"/>
        </w:rPr>
      </w:pPr>
      <w:r>
        <w:rPr>
          <w:rFonts w:eastAsia="Times New Roman"/>
          <w:b/>
          <w:bCs/>
          <w:i/>
          <w:iCs/>
          <w:color w:val="000000"/>
          <w:sz w:val="20"/>
          <w:szCs w:val="20"/>
        </w:rPr>
        <w:t>Account Values and Net Amount at Risk</w:t>
      </w:r>
    </w:p>
    <w:p w:rsidR="00000000" w:rsidRDefault="00897B14">
      <w:pPr>
        <w:divId w:val="40373854"/>
        <w:rPr>
          <w:rFonts w:eastAsia="Times New Roman"/>
        </w:rPr>
      </w:pPr>
      <w:r>
        <w:rPr>
          <w:rFonts w:eastAsia="Times New Roman"/>
          <w:color w:val="000000"/>
          <w:sz w:val="20"/>
          <w:szCs w:val="20"/>
        </w:rPr>
        <w:t>Account Values and NAR for direct variable annuity contracts in force with GMDB and GMIB features as of June 30, 2021 are presented in the following tables by guarantee type. For co</w:t>
      </w:r>
      <w:r>
        <w:rPr>
          <w:rFonts w:eastAsia="Times New Roman"/>
          <w:color w:val="000000"/>
          <w:sz w:val="20"/>
          <w:szCs w:val="20"/>
        </w:rPr>
        <w:t xml:space="preserve">ntracts with the GMDB feature, the NAR in the event of death is the amount by which the GMDB feature exceeds the related Account Values. For contracts with the GMIB feature, the NAR in the event of annuitization is the amount by which the present value of </w:t>
      </w:r>
      <w:r>
        <w:rPr>
          <w:rFonts w:eastAsia="Times New Roman"/>
          <w:color w:val="000000"/>
          <w:sz w:val="20"/>
          <w:szCs w:val="20"/>
        </w:rPr>
        <w:t>the GMIB benefits exceed the related Account Values, taking into account the relationship between current annuity purchase rates and the GMIB guaranteed annuity purchase rates. Since variable annuity contracts with GMDB features may also offer GMIB guarant</w:t>
      </w:r>
      <w:r>
        <w:rPr>
          <w:rFonts w:eastAsia="Times New Roman"/>
          <w:color w:val="000000"/>
          <w:sz w:val="20"/>
          <w:szCs w:val="20"/>
        </w:rPr>
        <w:t>ees in the same contract, the GMDB and GMIB amounts listed are not mutually exclusive.</w:t>
      </w:r>
    </w:p>
    <w:p w:rsidR="00000000" w:rsidRDefault="00897B14">
      <w:pPr>
        <w:divId w:val="1105231137"/>
        <w:rPr>
          <w:rFonts w:eastAsia="Times New Roman"/>
        </w:rPr>
      </w:pPr>
    </w:p>
    <w:p w:rsidR="00000000" w:rsidRDefault="00897B14">
      <w:pPr>
        <w:jc w:val="center"/>
        <w:divId w:val="417293633"/>
        <w:rPr>
          <w:rFonts w:eastAsia="Times New Roman"/>
        </w:rPr>
      </w:pPr>
    </w:p>
    <w:p w:rsidR="00000000" w:rsidRDefault="00897B14">
      <w:pPr>
        <w:jc w:val="center"/>
        <w:divId w:val="417293633"/>
        <w:rPr>
          <w:rFonts w:eastAsia="Times New Roman"/>
        </w:rPr>
      </w:pPr>
      <w:r>
        <w:rPr>
          <w:rFonts w:eastAsia="Times New Roman"/>
          <w:color w:val="000000"/>
          <w:sz w:val="20"/>
          <w:szCs w:val="20"/>
        </w:rPr>
        <w:t>38</w:t>
      </w:r>
    </w:p>
    <w:p w:rsidR="00000000" w:rsidRDefault="00897B14">
      <w:pPr>
        <w:rPr>
          <w:rFonts w:eastAsia="Times New Roman"/>
        </w:rPr>
      </w:pPr>
      <w:r>
        <w:rPr>
          <w:rFonts w:eastAsia="Times New Roman"/>
        </w:rPr>
        <w:pict>
          <v:rect id="_x0000_i1064" style="width:0;height:1.5pt" o:hralign="center" o:hrstd="t" o:hr="t" fillcolor="#a0a0a0" stroked="f"/>
        </w:pict>
      </w:r>
    </w:p>
    <w:p w:rsidR="00000000" w:rsidRDefault="00897B14">
      <w:pPr>
        <w:divId w:val="639071097"/>
        <w:rPr>
          <w:rFonts w:eastAsia="Times New Roman"/>
        </w:rPr>
      </w:pPr>
      <w:r>
        <w:rPr>
          <w:rFonts w:eastAsia="Times New Roman"/>
          <w:b/>
          <w:bCs/>
          <w:color w:val="0000FF"/>
          <w:sz w:val="20"/>
          <w:szCs w:val="20"/>
          <w:u w:val="single"/>
        </w:rPr>
        <w:t>Table of Contents</w:t>
      </w:r>
    </w:p>
    <w:p w:rsidR="00000000" w:rsidRDefault="00897B14">
      <w:pPr>
        <w:jc w:val="center"/>
        <w:divId w:val="2091655349"/>
        <w:rPr>
          <w:rFonts w:eastAsia="Times New Roman"/>
        </w:rPr>
      </w:pPr>
      <w:r>
        <w:rPr>
          <w:rFonts w:eastAsia="Times New Roman"/>
          <w:b/>
          <w:bCs/>
          <w:color w:val="000000"/>
          <w:sz w:val="20"/>
          <w:szCs w:val="20"/>
        </w:rPr>
        <w:t>EQUITABLE HOLDINGS, INC.</w:t>
      </w:r>
    </w:p>
    <w:p w:rsidR="00000000" w:rsidRDefault="00897B14">
      <w:pPr>
        <w:jc w:val="center"/>
        <w:divId w:val="2091655349"/>
        <w:rPr>
          <w:rFonts w:eastAsia="Times New Roman"/>
        </w:rPr>
      </w:pPr>
      <w:r>
        <w:rPr>
          <w:rFonts w:eastAsia="Times New Roman"/>
          <w:b/>
          <w:bCs/>
          <w:color w:val="000000"/>
          <w:sz w:val="20"/>
          <w:szCs w:val="20"/>
        </w:rPr>
        <w:t>Notes to Consolidated Financial Statements (Unaudited), Continued</w:t>
      </w:r>
    </w:p>
    <w:p w:rsidR="00000000" w:rsidRDefault="00897B14">
      <w:pPr>
        <w:divId w:val="292488032"/>
        <w:rPr>
          <w:rFonts w:eastAsia="Times New Roman"/>
        </w:rPr>
      </w:pPr>
    </w:p>
    <w:p w:rsidR="00000000" w:rsidRDefault="00897B14">
      <w:pPr>
        <w:divId w:val="1292058258"/>
        <w:rPr>
          <w:rFonts w:eastAsia="Times New Roman"/>
        </w:rPr>
      </w:pPr>
    </w:p>
    <w:p w:rsidR="00000000" w:rsidRDefault="00897B14">
      <w:pPr>
        <w:jc w:val="center"/>
        <w:rPr>
          <w:rFonts w:eastAsia="Times New Roman"/>
        </w:rPr>
      </w:pPr>
      <w:r>
        <w:rPr>
          <w:rFonts w:eastAsia="Times New Roman"/>
          <w:b/>
          <w:bCs/>
          <w:color w:val="000000"/>
          <w:sz w:val="20"/>
          <w:szCs w:val="20"/>
        </w:rPr>
        <w:t>Direct Variab</w:t>
      </w:r>
      <w:r>
        <w:rPr>
          <w:rFonts w:eastAsia="Times New Roman"/>
          <w:b/>
          <w:bCs/>
          <w:color w:val="000000"/>
          <w:sz w:val="20"/>
          <w:szCs w:val="20"/>
        </w:rPr>
        <w:t>le Annuity Contracts with GMDB and GMIB Features</w:t>
      </w:r>
    </w:p>
    <w:p w:rsidR="00000000" w:rsidRDefault="00897B14">
      <w:pPr>
        <w:jc w:val="center"/>
        <w:rPr>
          <w:rFonts w:eastAsia="Times New Roman"/>
        </w:rPr>
      </w:pPr>
      <w:r>
        <w:rPr>
          <w:rFonts w:eastAsia="Times New Roman"/>
          <w:b/>
          <w:bCs/>
          <w:color w:val="000000"/>
          <w:sz w:val="20"/>
          <w:szCs w:val="20"/>
        </w:rPr>
        <w:t>as of June 30,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988"/>
        <w:gridCol w:w="37"/>
        <w:gridCol w:w="120"/>
        <w:gridCol w:w="600"/>
        <w:gridCol w:w="220"/>
        <w:gridCol w:w="36"/>
        <w:gridCol w:w="36"/>
        <w:gridCol w:w="36"/>
        <w:gridCol w:w="120"/>
        <w:gridCol w:w="600"/>
        <w:gridCol w:w="220"/>
        <w:gridCol w:w="36"/>
        <w:gridCol w:w="36"/>
        <w:gridCol w:w="36"/>
        <w:gridCol w:w="120"/>
        <w:gridCol w:w="600"/>
        <w:gridCol w:w="220"/>
        <w:gridCol w:w="36"/>
        <w:gridCol w:w="36"/>
        <w:gridCol w:w="36"/>
        <w:gridCol w:w="120"/>
        <w:gridCol w:w="600"/>
        <w:gridCol w:w="220"/>
        <w:gridCol w:w="36"/>
        <w:gridCol w:w="36"/>
        <w:gridCol w:w="36"/>
        <w:gridCol w:w="120"/>
        <w:gridCol w:w="700"/>
        <w:gridCol w:w="220"/>
      </w:tblGrid>
      <w:tr w:rsidR="00000000">
        <w:trPr>
          <w:divId w:val="609318271"/>
          <w:jc w:val="center"/>
        </w:trPr>
        <w:tc>
          <w:tcPr>
            <w:tcW w:w="50" w:type="pct"/>
            <w:vAlign w:val="center"/>
            <w:hideMark/>
          </w:tcPr>
          <w:p w:rsidR="00000000" w:rsidRDefault="00897B14">
            <w:pPr>
              <w:jc w:val="center"/>
              <w:rPr>
                <w:rFonts w:eastAsia="Times New Roman"/>
              </w:rPr>
            </w:pPr>
          </w:p>
        </w:tc>
        <w:tc>
          <w:tcPr>
            <w:tcW w:w="232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Guarantee Type</w:t>
            </w:r>
          </w:p>
        </w:tc>
      </w:tr>
      <w:tr w:rsidR="00000000">
        <w:trPr>
          <w:divId w:val="609318271"/>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Return of Premium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Ratchet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Roll-Up</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Combo</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609318271"/>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 except age and interest rate)</w:t>
            </w:r>
          </w:p>
        </w:tc>
      </w:tr>
      <w:tr w:rsidR="00000000">
        <w:trPr>
          <w:divId w:val="609318271"/>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Account Values invested in:</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15,874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58,296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9,952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35,088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106,786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74,170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10,037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3,503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35,249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122,959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983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7,918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9,013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609318271"/>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3% - 6.5%</w:t>
            </w:r>
          </w:p>
        </w:tc>
      </w:tr>
      <w:tr w:rsidR="00000000">
        <w:trPr>
          <w:divId w:val="60931827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26,213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37,582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63,795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26,229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37,793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64,022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8,793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9,462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3,605</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3,820</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09318271"/>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09318271"/>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3% - 6.5%</w:t>
            </w:r>
          </w:p>
        </w:tc>
      </w:tr>
    </w:tbl>
    <w:p w:rsidR="00000000" w:rsidRDefault="00897B14">
      <w:pPr>
        <w:ind w:hanging="360"/>
        <w:divId w:val="111000387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3871"/>
        <w:gridCol w:w="36"/>
        <w:gridCol w:w="58"/>
        <w:gridCol w:w="623"/>
        <w:gridCol w:w="36"/>
        <w:gridCol w:w="36"/>
        <w:gridCol w:w="36"/>
        <w:gridCol w:w="36"/>
        <w:gridCol w:w="42"/>
        <w:gridCol w:w="624"/>
        <w:gridCol w:w="36"/>
        <w:gridCol w:w="36"/>
        <w:gridCol w:w="36"/>
        <w:gridCol w:w="36"/>
        <w:gridCol w:w="42"/>
        <w:gridCol w:w="772"/>
        <w:gridCol w:w="36"/>
        <w:gridCol w:w="36"/>
        <w:gridCol w:w="36"/>
        <w:gridCol w:w="36"/>
        <w:gridCol w:w="42"/>
        <w:gridCol w:w="712"/>
        <w:gridCol w:w="36"/>
        <w:gridCol w:w="36"/>
        <w:gridCol w:w="36"/>
        <w:gridCol w:w="36"/>
        <w:gridCol w:w="42"/>
        <w:gridCol w:w="772"/>
        <w:gridCol w:w="36"/>
      </w:tblGrid>
      <w:tr w:rsidR="00000000">
        <w:trPr>
          <w:jc w:val="center"/>
        </w:trPr>
        <w:tc>
          <w:tcPr>
            <w:tcW w:w="50" w:type="pct"/>
            <w:vAlign w:val="center"/>
            <w:hideMark/>
          </w:tcPr>
          <w:p w:rsidR="00000000" w:rsidRDefault="00897B14">
            <w:pPr>
              <w:ind w:hanging="360"/>
              <w:rPr>
                <w:rFonts w:eastAsia="Times New Roman"/>
              </w:rPr>
            </w:pPr>
          </w:p>
        </w:tc>
        <w:tc>
          <w:tcPr>
            <w:tcW w:w="23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241254146"/>
        <w:rPr>
          <w:rFonts w:eastAsia="Times New Roman"/>
        </w:rPr>
      </w:pPr>
      <w:r>
        <w:rPr>
          <w:rFonts w:eastAsia="Times New Roman"/>
          <w:color w:val="000000"/>
          <w:sz w:val="20"/>
          <w:szCs w:val="20"/>
        </w:rPr>
        <w:t>For more information about the reinsurance programs of the Company’s GMDB and GMIB exposure, see “Reinsurance” in Note 11 of the 2020 Form 10-K.</w:t>
      </w:r>
    </w:p>
    <w:p w:rsidR="00000000" w:rsidRDefault="00897B14">
      <w:pPr>
        <w:divId w:val="709257372"/>
        <w:rPr>
          <w:rFonts w:eastAsia="Times New Roman"/>
        </w:rPr>
      </w:pPr>
      <w:r>
        <w:rPr>
          <w:rFonts w:eastAsia="Times New Roman"/>
          <w:color w:val="000000"/>
          <w:sz w:val="20"/>
          <w:szCs w:val="20"/>
          <w:u w:val="single"/>
        </w:rPr>
        <w:t>Separate Accounts Investments by Investment Category Underlying Variable Annuity Contracts with GMDB and GMIB F</w:t>
      </w:r>
      <w:r>
        <w:rPr>
          <w:rFonts w:eastAsia="Times New Roman"/>
          <w:color w:val="000000"/>
          <w:sz w:val="20"/>
          <w:szCs w:val="20"/>
          <w:u w:val="single"/>
        </w:rPr>
        <w:t>eatures</w:t>
      </w:r>
    </w:p>
    <w:p w:rsidR="00000000" w:rsidRDefault="00897B14">
      <w:pPr>
        <w:divId w:val="1435515880"/>
        <w:rPr>
          <w:rFonts w:eastAsia="Times New Roman"/>
        </w:rPr>
      </w:pPr>
      <w:r>
        <w:rPr>
          <w:rFonts w:eastAsia="Times New Roman"/>
          <w:color w:val="000000"/>
          <w:sz w:val="20"/>
          <w:szCs w:val="20"/>
        </w:rPr>
        <w:t>The total Account Values of variable annuity contracts with GMDB and GMIB features include amounts allocated to the guaranteed interest option, which is part of the General Account and variable investment options that invest through Separate Accoun</w:t>
      </w:r>
      <w:r>
        <w:rPr>
          <w:rFonts w:eastAsia="Times New Roman"/>
          <w:color w:val="000000"/>
          <w:sz w:val="20"/>
          <w:szCs w:val="20"/>
        </w:rPr>
        <w:t>ts in variable insurance trusts. The following table presents the aggregate fair value of assets, by major investment category, held by Separate Accounts that support variable annuity contracts with GMDB and GMIB features. The investment performance of the</w:t>
      </w:r>
      <w:r>
        <w:rPr>
          <w:rFonts w:eastAsia="Times New Roman"/>
          <w:color w:val="000000"/>
          <w:sz w:val="20"/>
          <w:szCs w:val="20"/>
        </w:rPr>
        <w:t xml:space="preserve"> assets impacts the related Account Values and, consequently, the NAR associated with the GMDB and GMIB benefits and guarantees. Because the Company’s variable annuity contracts offer both GMDB and GMIB features, GMDB and GMIB amounts are not mutually excl</w:t>
      </w:r>
      <w:r>
        <w:rPr>
          <w:rFonts w:eastAsia="Times New Roman"/>
          <w:color w:val="000000"/>
          <w:sz w:val="20"/>
          <w:szCs w:val="20"/>
        </w:rPr>
        <w:t>usive.</w:t>
      </w:r>
    </w:p>
    <w:p w:rsidR="00000000" w:rsidRDefault="00897B14">
      <w:pPr>
        <w:jc w:val="center"/>
        <w:rPr>
          <w:rFonts w:eastAsia="Times New Roman"/>
        </w:rPr>
      </w:pPr>
      <w:r>
        <w:rPr>
          <w:rFonts w:eastAsia="Times New Roman"/>
          <w:b/>
          <w:bCs/>
          <w:color w:val="000000"/>
          <w:sz w:val="20"/>
          <w:szCs w:val="20"/>
        </w:rPr>
        <w:t>Investment in Variable Insurance Trust Mutual Funds</w:t>
      </w:r>
    </w:p>
    <w:p w:rsidR="00000000" w:rsidRDefault="00897B14">
      <w:pPr>
        <w:jc w:val="center"/>
        <w:divId w:val="1255091329"/>
        <w:rPr>
          <w:rFonts w:eastAsia="Times New Roman"/>
        </w:rPr>
      </w:pPr>
    </w:p>
    <w:p w:rsidR="00000000" w:rsidRDefault="00897B14">
      <w:pPr>
        <w:jc w:val="center"/>
        <w:divId w:val="1255091329"/>
        <w:rPr>
          <w:rFonts w:eastAsia="Times New Roman"/>
        </w:rPr>
      </w:pPr>
      <w:r>
        <w:rPr>
          <w:rFonts w:eastAsia="Times New Roman"/>
          <w:color w:val="000000"/>
          <w:sz w:val="20"/>
          <w:szCs w:val="20"/>
        </w:rPr>
        <w:t>39</w:t>
      </w:r>
    </w:p>
    <w:p w:rsidR="00000000" w:rsidRDefault="00897B14">
      <w:pPr>
        <w:rPr>
          <w:rFonts w:eastAsia="Times New Roman"/>
        </w:rPr>
      </w:pPr>
      <w:r>
        <w:rPr>
          <w:rFonts w:eastAsia="Times New Roman"/>
        </w:rPr>
        <w:pict>
          <v:rect id="_x0000_i1065" style="width:0;height:1.5pt" o:hralign="center" o:hrstd="t" o:hr="t" fillcolor="#a0a0a0" stroked="f"/>
        </w:pict>
      </w:r>
    </w:p>
    <w:p w:rsidR="00000000" w:rsidRDefault="00897B14">
      <w:pPr>
        <w:divId w:val="671030112"/>
        <w:rPr>
          <w:rFonts w:eastAsia="Times New Roman"/>
        </w:rPr>
      </w:pPr>
      <w:r>
        <w:rPr>
          <w:rFonts w:eastAsia="Times New Roman"/>
          <w:b/>
          <w:bCs/>
          <w:color w:val="0000FF"/>
          <w:sz w:val="20"/>
          <w:szCs w:val="20"/>
          <w:u w:val="single"/>
        </w:rPr>
        <w:t>Table of Contents</w:t>
      </w:r>
    </w:p>
    <w:p w:rsidR="00000000" w:rsidRDefault="00897B14">
      <w:pPr>
        <w:jc w:val="center"/>
        <w:divId w:val="2090342630"/>
        <w:rPr>
          <w:rFonts w:eastAsia="Times New Roman"/>
        </w:rPr>
      </w:pPr>
      <w:r>
        <w:rPr>
          <w:rFonts w:eastAsia="Times New Roman"/>
          <w:b/>
          <w:bCs/>
          <w:color w:val="000000"/>
          <w:sz w:val="20"/>
          <w:szCs w:val="20"/>
        </w:rPr>
        <w:t>EQUITABLE HOLDINGS, INC.</w:t>
      </w:r>
    </w:p>
    <w:p w:rsidR="00000000" w:rsidRDefault="00897B14">
      <w:pPr>
        <w:jc w:val="center"/>
        <w:divId w:val="2090342630"/>
        <w:rPr>
          <w:rFonts w:eastAsia="Times New Roman"/>
        </w:rPr>
      </w:pPr>
      <w:r>
        <w:rPr>
          <w:rFonts w:eastAsia="Times New Roman"/>
          <w:b/>
          <w:bCs/>
          <w:color w:val="000000"/>
          <w:sz w:val="20"/>
          <w:szCs w:val="20"/>
        </w:rPr>
        <w:t>Notes to Consolidated Financial Statements (Unaudited), Continued</w:t>
      </w:r>
    </w:p>
    <w:p w:rsidR="00000000" w:rsidRDefault="00897B14">
      <w:pPr>
        <w:divId w:val="904993360"/>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1491604104"/>
          <w:jc w:val="center"/>
        </w:trPr>
        <w:tc>
          <w:tcPr>
            <w:tcW w:w="50" w:type="pct"/>
            <w:vAlign w:val="center"/>
            <w:hideMark/>
          </w:tcPr>
          <w:p w:rsidR="00000000" w:rsidRDefault="00897B14">
            <w:pPr>
              <w:rPr>
                <w:rFonts w:eastAsia="Times New Roman"/>
              </w:rPr>
            </w:pPr>
          </w:p>
        </w:tc>
        <w:tc>
          <w:tcPr>
            <w:tcW w:w="26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491604104"/>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491604104"/>
          <w:jc w:val="center"/>
        </w:trPr>
        <w:tc>
          <w:tcPr>
            <w:tcW w:w="0" w:type="auto"/>
            <w:gridSpan w:val="3"/>
            <w:tcMar>
              <w:top w:w="30" w:type="dxa"/>
              <w:left w:w="20" w:type="dxa"/>
              <w:bottom w:w="30" w:type="dxa"/>
              <w:right w:w="20" w:type="dxa"/>
            </w:tcMar>
            <w:vAlign w:val="bottom"/>
            <w:hideMark/>
          </w:tcPr>
          <w:p w:rsidR="00000000" w:rsidRDefault="00897B14">
            <w:pPr>
              <w:spacing w:after="100"/>
              <w:divId w:val="1164590084"/>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r>
      <w:tr w:rsidR="00000000">
        <w:trPr>
          <w:divId w:val="1491604104"/>
          <w:jc w:val="center"/>
        </w:trPr>
        <w:tc>
          <w:tcPr>
            <w:tcW w:w="0" w:type="auto"/>
            <w:gridSpan w:val="3"/>
            <w:tcMar>
              <w:top w:w="30" w:type="dxa"/>
              <w:left w:w="20" w:type="dxa"/>
              <w:bottom w:w="30" w:type="dxa"/>
              <w:right w:w="20" w:type="dxa"/>
            </w:tcMar>
            <w:vAlign w:val="bottom"/>
            <w:hideMark/>
          </w:tcPr>
          <w:p w:rsidR="00000000" w:rsidRDefault="00897B14">
            <w:pPr>
              <w:spacing w:after="100"/>
              <w:divId w:val="275799667"/>
              <w:rPr>
                <w:rFonts w:eastAsia="Times New Roman"/>
              </w:rPr>
            </w:pPr>
            <w:r>
              <w:rPr>
                <w:rFonts w:eastAsia="Times New Roman"/>
                <w:b/>
                <w:bCs/>
                <w:color w:val="000000"/>
                <w:sz w:val="16"/>
                <w:szCs w:val="16"/>
              </w:rPr>
              <w:t>Mutual Fund Type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GMIB</w:t>
            </w:r>
          </w:p>
        </w:tc>
      </w:tr>
      <w:tr w:rsidR="00000000">
        <w:trPr>
          <w:divId w:val="1491604104"/>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divId w:val="15236333"/>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491604104"/>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51,374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20,040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46,850 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18,771 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91604104"/>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5,506 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2,701 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91604104"/>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40,881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47,053 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39,439 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91604104"/>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91604104"/>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106,786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63,795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100,520 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61,186 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2051832302"/>
        <w:rPr>
          <w:rFonts w:eastAsia="Times New Roman"/>
        </w:rPr>
      </w:pPr>
    </w:p>
    <w:p w:rsidR="00000000" w:rsidRDefault="00897B14">
      <w:pPr>
        <w:divId w:val="1161506376"/>
        <w:rPr>
          <w:rFonts w:eastAsia="Times New Roman"/>
        </w:rPr>
      </w:pPr>
      <w:r>
        <w:rPr>
          <w:rFonts w:eastAsia="Times New Roman"/>
          <w:color w:val="000000"/>
          <w:sz w:val="20"/>
          <w:szCs w:val="20"/>
          <w:u w:val="single"/>
        </w:rPr>
        <w:t>Hedging Programs for GMDB, GMIB, GIB and Other Features</w:t>
      </w:r>
    </w:p>
    <w:p w:rsidR="00000000" w:rsidRDefault="00897B14">
      <w:pPr>
        <w:divId w:val="171072697"/>
        <w:rPr>
          <w:rFonts w:eastAsia="Times New Roman"/>
        </w:rPr>
      </w:pPr>
      <w:r>
        <w:rPr>
          <w:rFonts w:eastAsia="Times New Roman"/>
          <w:color w:val="000000"/>
          <w:sz w:val="20"/>
          <w:szCs w:val="20"/>
        </w:rPr>
        <w:t xml:space="preserve">The Company </w:t>
      </w:r>
      <w:r>
        <w:rPr>
          <w:rFonts w:eastAsia="Times New Roman"/>
          <w:color w:val="000000"/>
          <w:sz w:val="20"/>
          <w:szCs w:val="20"/>
        </w:rPr>
        <w:t>has a program intended to hedge certain risks associated first with the GMDB feature and with the GMIB feature of the Accumulator series of variable annuity products. The program has also been extended to cover other guaranteed benefits as they have been m</w:t>
      </w:r>
      <w:r>
        <w:rPr>
          <w:rFonts w:eastAsia="Times New Roman"/>
          <w:color w:val="000000"/>
          <w:sz w:val="20"/>
          <w:szCs w:val="20"/>
        </w:rPr>
        <w:t>ade available. This program utilizes derivative contracts, such as exchange-traded equity, currency and interest rate futures contracts, total return and/or equity swaps, interest rate swap and floor contracts, swaptions, variance swaps as well as equity o</w:t>
      </w:r>
      <w:r>
        <w:rPr>
          <w:rFonts w:eastAsia="Times New Roman"/>
          <w:color w:val="000000"/>
          <w:sz w:val="20"/>
          <w:szCs w:val="20"/>
        </w:rPr>
        <w:t>ptions, that collectively are managed in an effort to reduce the economic impact of unfavorable changes in guaranteed benefits’ exposures attributable to movements in the capital markets. At the present time, this program hedges certain economic risks on p</w:t>
      </w:r>
      <w:r>
        <w:rPr>
          <w:rFonts w:eastAsia="Times New Roman"/>
          <w:color w:val="000000"/>
          <w:sz w:val="20"/>
          <w:szCs w:val="20"/>
        </w:rPr>
        <w:t xml:space="preserve">roducts sold from 2001 forward, to the extent such risks are not externally reinsured. </w:t>
      </w:r>
    </w:p>
    <w:p w:rsidR="00000000" w:rsidRDefault="00897B14">
      <w:pPr>
        <w:divId w:val="1039360824"/>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w:t>
      </w:r>
      <w:r>
        <w:rPr>
          <w:rFonts w:eastAsia="Times New Roman"/>
          <w:color w:val="000000"/>
          <w:sz w:val="20"/>
          <w:szCs w:val="20"/>
        </w:rPr>
        <w:t>anges in fair value, are recognized in net derivative gains (losses) in the period in which they occur, and may contribute to income (loss) volatility.</w:t>
      </w:r>
    </w:p>
    <w:p w:rsidR="00000000" w:rsidRDefault="00897B14">
      <w:pPr>
        <w:divId w:val="2096628881"/>
        <w:rPr>
          <w:rFonts w:eastAsia="Times New Roman"/>
        </w:rPr>
      </w:pPr>
      <w:r>
        <w:rPr>
          <w:rFonts w:eastAsia="Times New Roman"/>
          <w:color w:val="000000"/>
          <w:sz w:val="20"/>
          <w:szCs w:val="20"/>
          <w:u w:val="single"/>
        </w:rPr>
        <w:t>Variable and Interest-Sensitive Life Insurance Policies – NLG</w:t>
      </w:r>
    </w:p>
    <w:p w:rsidR="00000000" w:rsidRDefault="00897B14">
      <w:pPr>
        <w:divId w:val="641158092"/>
        <w:rPr>
          <w:rFonts w:eastAsia="Times New Roman"/>
        </w:rPr>
      </w:pPr>
      <w:r>
        <w:rPr>
          <w:rFonts w:eastAsia="Times New Roman"/>
          <w:color w:val="000000"/>
          <w:sz w:val="20"/>
          <w:szCs w:val="20"/>
        </w:rPr>
        <w:t xml:space="preserve">The NLG feature contained in variable and </w:t>
      </w:r>
      <w:r>
        <w:rPr>
          <w:rFonts w:eastAsia="Times New Roman"/>
          <w:color w:val="000000"/>
          <w:sz w:val="20"/>
          <w:szCs w:val="20"/>
        </w:rPr>
        <w:t>interest-sensitive life insurance policies keeps them in force in situations where the policy value is not sufficient to cover monthly charges then due. The NLG remains in effect so long as the policy meets a contractually specified premium funding test an</w:t>
      </w:r>
      <w:r>
        <w:rPr>
          <w:rFonts w:eastAsia="Times New Roman"/>
          <w:color w:val="000000"/>
          <w:sz w:val="20"/>
          <w:szCs w:val="20"/>
        </w:rPr>
        <w:t>d certain other requirements.</w:t>
      </w:r>
    </w:p>
    <w:p w:rsidR="00000000" w:rsidRDefault="00897B14">
      <w:pPr>
        <w:divId w:val="1963993335"/>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716"/>
        <w:gridCol w:w="37"/>
        <w:gridCol w:w="120"/>
        <w:gridCol w:w="858"/>
        <w:gridCol w:w="36"/>
        <w:gridCol w:w="36"/>
        <w:gridCol w:w="36"/>
        <w:gridCol w:w="36"/>
        <w:gridCol w:w="120"/>
        <w:gridCol w:w="858"/>
        <w:gridCol w:w="36"/>
        <w:gridCol w:w="36"/>
        <w:gridCol w:w="36"/>
        <w:gridCol w:w="36"/>
        <w:gridCol w:w="120"/>
        <w:gridCol w:w="829"/>
        <w:gridCol w:w="36"/>
        <w:gridCol w:w="36"/>
        <w:gridCol w:w="36"/>
        <w:gridCol w:w="36"/>
        <w:gridCol w:w="120"/>
        <w:gridCol w:w="806"/>
        <w:gridCol w:w="36"/>
        <w:gridCol w:w="36"/>
        <w:gridCol w:w="36"/>
        <w:gridCol w:w="36"/>
        <w:gridCol w:w="36"/>
        <w:gridCol w:w="36"/>
        <w:gridCol w:w="36"/>
      </w:tblGrid>
      <w:tr w:rsidR="00000000">
        <w:trPr>
          <w:divId w:val="1733387238"/>
          <w:jc w:val="center"/>
        </w:trPr>
        <w:tc>
          <w:tcPr>
            <w:tcW w:w="50" w:type="pct"/>
            <w:vAlign w:val="center"/>
            <w:hideMark/>
          </w:tcPr>
          <w:p w:rsidR="00000000" w:rsidRDefault="00897B14">
            <w:pPr>
              <w:rPr>
                <w:rFonts w:eastAsia="Times New Roman"/>
              </w:rPr>
            </w:pPr>
          </w:p>
        </w:tc>
        <w:tc>
          <w:tcPr>
            <w:tcW w:w="23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Direct Liability (1)</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Beginning balance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changes in reserves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3338723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balance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948 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948 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538275509"/>
        <w:rPr>
          <w:rFonts w:eastAsia="Times New Roman"/>
        </w:rPr>
      </w:pPr>
      <w:r>
        <w:rPr>
          <w:rFonts w:eastAsia="Times New Roman"/>
          <w:color w:val="000000"/>
          <w:sz w:val="18"/>
          <w:szCs w:val="18"/>
        </w:rPr>
        <w:t>_____________</w:t>
      </w:r>
    </w:p>
    <w:p w:rsidR="00000000" w:rsidRDefault="00897B14">
      <w:pPr>
        <w:ind w:hanging="360"/>
        <w:divId w:val="805706593"/>
        <w:rPr>
          <w:rFonts w:eastAsia="Times New Roman"/>
        </w:rPr>
      </w:pPr>
      <w:r>
        <w:rPr>
          <w:rFonts w:eastAsia="Times New Roman"/>
          <w:color w:val="000000"/>
          <w:sz w:val="18"/>
          <w:szCs w:val="18"/>
        </w:rPr>
        <w:t>(1)There were no amounts of reinsurance ceded in any period presented.</w:t>
      </w:r>
    </w:p>
    <w:p w:rsidR="00000000" w:rsidRDefault="00897B14">
      <w:pPr>
        <w:ind w:firstLine="720"/>
        <w:divId w:val="1960717329"/>
        <w:rPr>
          <w:rFonts w:eastAsia="Times New Roman"/>
        </w:rPr>
      </w:pPr>
      <w:r>
        <w:rPr>
          <w:rFonts w:eastAsia="Times New Roman"/>
          <w:b/>
          <w:bCs/>
          <w:color w:val="000000"/>
          <w:sz w:val="20"/>
          <w:szCs w:val="20"/>
        </w:rPr>
        <w:t>7)    </w:t>
      </w:r>
      <w:r>
        <w:rPr>
          <w:rFonts w:eastAsia="Times New Roman"/>
          <w:b/>
          <w:bCs/>
          <w:color w:val="000000"/>
          <w:sz w:val="20"/>
          <w:szCs w:val="20"/>
        </w:rPr>
        <w:t xml:space="preserve">FAIR VALUE DISCLOSURES </w:t>
      </w:r>
    </w:p>
    <w:p w:rsidR="00000000" w:rsidRDefault="00897B14">
      <w:pPr>
        <w:divId w:val="667946312"/>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w:t>
      </w:r>
      <w:r>
        <w:rPr>
          <w:rFonts w:eastAsia="Times New Roman"/>
          <w:color w:val="000000"/>
          <w:sz w:val="20"/>
          <w:szCs w:val="20"/>
        </w:rPr>
        <w:t>sed to measure fair value:</w:t>
      </w:r>
    </w:p>
    <w:p w:rsidR="00000000" w:rsidRDefault="00897B14">
      <w:pPr>
        <w:ind w:hanging="360"/>
        <w:jc w:val="both"/>
        <w:divId w:val="56053185"/>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w:t>
      </w:r>
      <w:r>
        <w:rPr>
          <w:rFonts w:eastAsia="Times New Roman"/>
          <w:color w:val="000000"/>
          <w:sz w:val="20"/>
          <w:szCs w:val="20"/>
        </w:rPr>
        <w:t xml:space="preserve"> an ongoing basis.</w:t>
      </w:r>
    </w:p>
    <w:p w:rsidR="00000000" w:rsidRDefault="00897B14">
      <w:pPr>
        <w:ind w:hanging="360"/>
        <w:jc w:val="both"/>
        <w:divId w:val="127862747"/>
        <w:rPr>
          <w:rFonts w:eastAsia="Times New Roman"/>
        </w:rPr>
      </w:pPr>
      <w:r>
        <w:rPr>
          <w:rFonts w:eastAsia="Times New Roman"/>
          <w:color w:val="000000"/>
          <w:sz w:val="20"/>
          <w:szCs w:val="20"/>
        </w:rPr>
        <w:t>Level 2    Observable inputs other than Level 1 prices, such as quoted prices for similar instruments, quoted prices in markets that are not active, and inputs to model-derived valuations that are directly observable or can be corroborat</w:t>
      </w:r>
      <w:r>
        <w:rPr>
          <w:rFonts w:eastAsia="Times New Roman"/>
          <w:color w:val="000000"/>
          <w:sz w:val="20"/>
          <w:szCs w:val="20"/>
        </w:rPr>
        <w:t>ed by observable market data.</w:t>
      </w:r>
    </w:p>
    <w:p w:rsidR="00000000" w:rsidRDefault="00897B14">
      <w:pPr>
        <w:jc w:val="center"/>
        <w:divId w:val="1881819864"/>
        <w:rPr>
          <w:rFonts w:eastAsia="Times New Roman"/>
        </w:rPr>
      </w:pPr>
    </w:p>
    <w:p w:rsidR="00000000" w:rsidRDefault="00897B14">
      <w:pPr>
        <w:jc w:val="center"/>
        <w:divId w:val="1881819864"/>
        <w:rPr>
          <w:rFonts w:eastAsia="Times New Roman"/>
        </w:rPr>
      </w:pPr>
      <w:r>
        <w:rPr>
          <w:rFonts w:eastAsia="Times New Roman"/>
          <w:color w:val="000000"/>
          <w:sz w:val="20"/>
          <w:szCs w:val="20"/>
        </w:rPr>
        <w:t>40</w:t>
      </w:r>
    </w:p>
    <w:p w:rsidR="00000000" w:rsidRDefault="00897B14">
      <w:pPr>
        <w:rPr>
          <w:rFonts w:eastAsia="Times New Roman"/>
        </w:rPr>
      </w:pPr>
      <w:r>
        <w:rPr>
          <w:rFonts w:eastAsia="Times New Roman"/>
        </w:rPr>
        <w:pict>
          <v:rect id="_x0000_i1066" style="width:0;height:1.5pt" o:hralign="center" o:hrstd="t" o:hr="t" fillcolor="#a0a0a0" stroked="f"/>
        </w:pict>
      </w:r>
    </w:p>
    <w:p w:rsidR="00000000" w:rsidRDefault="00897B14">
      <w:pPr>
        <w:divId w:val="1750886811"/>
        <w:rPr>
          <w:rFonts w:eastAsia="Times New Roman"/>
        </w:rPr>
      </w:pPr>
      <w:r>
        <w:rPr>
          <w:rFonts w:eastAsia="Times New Roman"/>
          <w:b/>
          <w:bCs/>
          <w:color w:val="0000FF"/>
          <w:sz w:val="20"/>
          <w:szCs w:val="20"/>
          <w:u w:val="single"/>
        </w:rPr>
        <w:t>Table of Contents</w:t>
      </w:r>
    </w:p>
    <w:p w:rsidR="00000000" w:rsidRDefault="00897B14">
      <w:pPr>
        <w:jc w:val="center"/>
        <w:divId w:val="310715998"/>
        <w:rPr>
          <w:rFonts w:eastAsia="Times New Roman"/>
        </w:rPr>
      </w:pPr>
      <w:r>
        <w:rPr>
          <w:rFonts w:eastAsia="Times New Roman"/>
          <w:b/>
          <w:bCs/>
          <w:color w:val="000000"/>
          <w:sz w:val="20"/>
          <w:szCs w:val="20"/>
        </w:rPr>
        <w:t>EQUITABLE HOLDINGS, INC.</w:t>
      </w:r>
    </w:p>
    <w:p w:rsidR="00000000" w:rsidRDefault="00897B14">
      <w:pPr>
        <w:jc w:val="center"/>
        <w:divId w:val="310715998"/>
        <w:rPr>
          <w:rFonts w:eastAsia="Times New Roman"/>
        </w:rPr>
      </w:pPr>
      <w:r>
        <w:rPr>
          <w:rFonts w:eastAsia="Times New Roman"/>
          <w:b/>
          <w:bCs/>
          <w:color w:val="000000"/>
          <w:sz w:val="20"/>
          <w:szCs w:val="20"/>
        </w:rPr>
        <w:t>Notes to Consolidated Financial Statements (Unaudited), Continued</w:t>
      </w:r>
    </w:p>
    <w:p w:rsidR="00000000" w:rsidRDefault="00897B14">
      <w:pPr>
        <w:divId w:val="392001611"/>
        <w:rPr>
          <w:rFonts w:eastAsia="Times New Roman"/>
        </w:rPr>
      </w:pPr>
    </w:p>
    <w:p w:rsidR="00000000" w:rsidRDefault="00897B14">
      <w:pPr>
        <w:ind w:hanging="360"/>
        <w:jc w:val="both"/>
        <w:divId w:val="1933275026"/>
        <w:rPr>
          <w:rFonts w:eastAsia="Times New Roman"/>
        </w:rPr>
      </w:pPr>
      <w:r>
        <w:rPr>
          <w:rFonts w:eastAsia="Times New Roman"/>
          <w:color w:val="000000"/>
          <w:sz w:val="20"/>
          <w:szCs w:val="20"/>
        </w:rPr>
        <w:t xml:space="preserve">Level 3    Unobservable inputs supported by little or no market activity </w:t>
      </w:r>
      <w:r>
        <w:rPr>
          <w:rFonts w:eastAsia="Times New Roman"/>
          <w:color w:val="000000"/>
          <w:sz w:val="20"/>
          <w:szCs w:val="20"/>
        </w:rPr>
        <w:t>and often requiring significant management judgment or estimation, such as an entity’s own assumptions about the cash flows or other significant components of value that market participants would use in pricing the asset or liability.</w:t>
      </w:r>
    </w:p>
    <w:p w:rsidR="00000000" w:rsidRDefault="00897B14">
      <w:pPr>
        <w:divId w:val="1812136198"/>
        <w:rPr>
          <w:rFonts w:eastAsia="Times New Roman"/>
        </w:rPr>
      </w:pPr>
      <w:r>
        <w:rPr>
          <w:rFonts w:eastAsia="Times New Roman"/>
          <w:color w:val="000000"/>
          <w:sz w:val="20"/>
          <w:szCs w:val="20"/>
        </w:rPr>
        <w:t>The Company uses unad</w:t>
      </w:r>
      <w:r>
        <w:rPr>
          <w:rFonts w:eastAsia="Times New Roman"/>
          <w:color w:val="000000"/>
          <w:sz w:val="20"/>
          <w:szCs w:val="20"/>
        </w:rPr>
        <w:t>justed quoted market prices to measure fair value for those instruments that are actively traded in financial markets. In cases where quoted market prices are not available, fair values are measured using present value or other valuation techniques. The fa</w:t>
      </w:r>
      <w:r>
        <w:rPr>
          <w:rFonts w:eastAsia="Times New Roman"/>
          <w:color w:val="000000"/>
          <w:sz w:val="20"/>
          <w:szCs w:val="20"/>
        </w:rPr>
        <w:t>ir value determinations are made at a specific point in time, based on available market information and judgments about the financial instrument, including estimates of the timing and amount of expected future cash flows and the credit standing of counterp</w:t>
      </w:r>
      <w:r>
        <w:rPr>
          <w:rFonts w:eastAsia="Times New Roman"/>
          <w:color w:val="000000"/>
          <w:sz w:val="20"/>
          <w:szCs w:val="20"/>
        </w:rPr>
        <w:t>arties. Such adjustments do not reflect any premium or discount that could result from offering for sale at one time the Company’s entire holdings of a particular financial instrument, nor do they consider the tax impact of the realization of unrealized ga</w:t>
      </w:r>
      <w:r>
        <w:rPr>
          <w:rFonts w:eastAsia="Times New Roman"/>
          <w:color w:val="000000"/>
          <w:sz w:val="20"/>
          <w:szCs w:val="20"/>
        </w:rPr>
        <w:t>ins or losses. In many cases, the fair value cannot be substantiated by direct comparison to independent markets, nor can the disclosed value be realized in immediate settlement of the instrument.</w:t>
      </w:r>
    </w:p>
    <w:p w:rsidR="00000000" w:rsidRDefault="00897B14">
      <w:pPr>
        <w:divId w:val="1339311116"/>
        <w:rPr>
          <w:rFonts w:eastAsia="Times New Roman"/>
        </w:rPr>
      </w:pPr>
      <w:r>
        <w:rPr>
          <w:rFonts w:eastAsia="Times New Roman"/>
          <w:color w:val="000000"/>
          <w:sz w:val="20"/>
          <w:szCs w:val="20"/>
        </w:rPr>
        <w:t>Management is responsible for the determination of the valu</w:t>
      </w:r>
      <w:r>
        <w:rPr>
          <w:rFonts w:eastAsia="Times New Roman"/>
          <w:color w:val="000000"/>
          <w:sz w:val="20"/>
          <w:szCs w:val="20"/>
        </w:rPr>
        <w:t xml:space="preserve">e of investments carried at fair value and the supporting methodologies and assumptions. Under the terms of various service agreements, the Company often utilizes independent valuation service providers to gather, analyze, and interpret market information </w:t>
      </w:r>
      <w:r>
        <w:rPr>
          <w:rFonts w:eastAsia="Times New Roman"/>
          <w:color w:val="000000"/>
          <w:sz w:val="20"/>
          <w:szCs w:val="20"/>
        </w:rPr>
        <w:t>and derive fair values based upon relevant methodologies and assumptions for individual securities. These independent valuation service providers typically obtain data about market transactions and other key valuation model inputs from multiple sources and</w:t>
      </w:r>
      <w:r>
        <w:rPr>
          <w:rFonts w:eastAsia="Times New Roman"/>
          <w:color w:val="000000"/>
          <w:sz w:val="20"/>
          <w:szCs w:val="20"/>
        </w:rPr>
        <w:t>, through the use of widely accepted valuation models, provide a single fair value measurement for individual securities for which a fair value has been requested. As further described below with respect to specific asset classes, these inputs include, but</w:t>
      </w:r>
      <w:r>
        <w:rPr>
          <w:rFonts w:eastAsia="Times New Roman"/>
          <w:color w:val="000000"/>
          <w:sz w:val="20"/>
          <w:szCs w:val="20"/>
        </w:rPr>
        <w:t xml:space="preserve"> are not limited to, market prices for recent trades and transactions in comparable securities, benchmark yields, interest rate yield curves, credit spreads, quoted prices for similar securities, and other market-observable information, as applicable. Spec</w:t>
      </w:r>
      <w:r>
        <w:rPr>
          <w:rFonts w:eastAsia="Times New Roman"/>
          <w:color w:val="000000"/>
          <w:sz w:val="20"/>
          <w:szCs w:val="20"/>
        </w:rPr>
        <w:t>ific attributes of the security being valued also are considered, including its term, interest rate, credit rating, industry sector, and when applicable, collateral quality and other security- or issuer-specific information. When insufficient market observ</w:t>
      </w:r>
      <w:r>
        <w:rPr>
          <w:rFonts w:eastAsia="Times New Roman"/>
          <w:color w:val="000000"/>
          <w:sz w:val="20"/>
          <w:szCs w:val="20"/>
        </w:rPr>
        <w:t>able information is available upon which to measure fair value, the Company either will request brokers knowledgeable about these securities to provide a non-binding quote or will employ internal valuation models. Fair values received from independent valu</w:t>
      </w:r>
      <w:r>
        <w:rPr>
          <w:rFonts w:eastAsia="Times New Roman"/>
          <w:color w:val="000000"/>
          <w:sz w:val="20"/>
          <w:szCs w:val="20"/>
        </w:rPr>
        <w:t>ation service providers and brokers and those internally modeled or otherwise estimated are assessed for reasonableness.</w:t>
      </w:r>
    </w:p>
    <w:p w:rsidR="00000000" w:rsidRDefault="00897B14">
      <w:pPr>
        <w:divId w:val="398021489"/>
        <w:rPr>
          <w:rFonts w:eastAsia="Times New Roman"/>
        </w:rPr>
      </w:pPr>
      <w:r>
        <w:rPr>
          <w:rFonts w:eastAsia="Times New Roman"/>
          <w:color w:val="000000"/>
          <w:sz w:val="20"/>
          <w:szCs w:val="20"/>
          <w:u w:val="single"/>
        </w:rPr>
        <w:t>Assets and Liabilities Measured at Fair Value on a Nonrecurring Basis</w:t>
      </w:r>
    </w:p>
    <w:p w:rsidR="00000000" w:rsidRDefault="00897B14">
      <w:pPr>
        <w:divId w:val="630403000"/>
        <w:rPr>
          <w:rFonts w:eastAsia="Times New Roman"/>
        </w:rPr>
      </w:pPr>
      <w:r>
        <w:rPr>
          <w:rFonts w:eastAsia="Times New Roman"/>
          <w:color w:val="000000"/>
          <w:sz w:val="20"/>
          <w:szCs w:val="20"/>
        </w:rPr>
        <w:t>Fair value measurements are required on a non-recurring basis for</w:t>
      </w:r>
      <w:r>
        <w:rPr>
          <w:rFonts w:eastAsia="Times New Roman"/>
          <w:color w:val="000000"/>
          <w:sz w:val="20"/>
          <w:szCs w:val="20"/>
        </w:rPr>
        <w:t xml:space="preserve"> certain assets only when an impairment or other events occur. For the periods ended June 30, 2021 and December 31, 2020, the Company recognized impairment adjustments and impairment losses, respectively, to adjust the carrying value of held-for-sale asset</w:t>
      </w:r>
      <w:r>
        <w:rPr>
          <w:rFonts w:eastAsia="Times New Roman"/>
          <w:color w:val="000000"/>
          <w:sz w:val="20"/>
          <w:szCs w:val="20"/>
        </w:rPr>
        <w:t xml:space="preserve"> and liabilities to their fair value less cost to sell. The value is measured on a nonrecurring basis and categorized within Level 3 of the fair value hierarchy. The fair value was determined using a market approach, estimated based on the negotiated value</w:t>
      </w:r>
      <w:r>
        <w:rPr>
          <w:rFonts w:eastAsia="Times New Roman"/>
          <w:color w:val="000000"/>
          <w:sz w:val="20"/>
          <w:szCs w:val="20"/>
        </w:rPr>
        <w:t xml:space="preserve"> of the asset and liabilities. See Note 15 of the Notes to Consolidated Financial Statements for additional details of the Held-for-Sale assets and liabilities. </w:t>
      </w:r>
    </w:p>
    <w:p w:rsidR="00000000" w:rsidRDefault="00897B14">
      <w:pPr>
        <w:divId w:val="1010447792"/>
        <w:rPr>
          <w:rFonts w:eastAsia="Times New Roman"/>
        </w:rPr>
      </w:pPr>
      <w:r>
        <w:rPr>
          <w:rFonts w:eastAsia="Times New Roman"/>
          <w:color w:val="000000"/>
          <w:sz w:val="20"/>
          <w:szCs w:val="20"/>
          <w:u w:val="single"/>
        </w:rPr>
        <w:t>Assets and Liabilities Measured at Fair Value on a Recurring Basis</w:t>
      </w:r>
    </w:p>
    <w:p w:rsidR="00000000" w:rsidRDefault="00897B14">
      <w:pPr>
        <w:divId w:val="827555806"/>
        <w:rPr>
          <w:rFonts w:eastAsia="Times New Roman"/>
        </w:rPr>
      </w:pPr>
      <w:r>
        <w:rPr>
          <w:rFonts w:eastAsia="Times New Roman"/>
          <w:color w:val="000000"/>
          <w:sz w:val="20"/>
          <w:szCs w:val="20"/>
        </w:rPr>
        <w:t>Assets and liabilities meas</w:t>
      </w:r>
      <w:r>
        <w:rPr>
          <w:rFonts w:eastAsia="Times New Roman"/>
          <w:color w:val="000000"/>
          <w:sz w:val="20"/>
          <w:szCs w:val="20"/>
        </w:rPr>
        <w:t xml:space="preserve">ured at fair value on a recurring basis are summarized below. </w:t>
      </w:r>
    </w:p>
    <w:p w:rsidR="00000000" w:rsidRDefault="00897B14">
      <w:pPr>
        <w:jc w:val="center"/>
        <w:rPr>
          <w:rFonts w:eastAsia="Times New Roman"/>
        </w:rPr>
      </w:pPr>
      <w:r>
        <w:rPr>
          <w:rFonts w:eastAsia="Times New Roman"/>
          <w:b/>
          <w:bCs/>
          <w:color w:val="000000"/>
          <w:sz w:val="20"/>
          <w:szCs w:val="20"/>
        </w:rPr>
        <w:t>Fair Value Measurements as of June 30, 2021</w:t>
      </w:r>
    </w:p>
    <w:p w:rsidR="00000000" w:rsidRDefault="00897B14">
      <w:pPr>
        <w:jc w:val="center"/>
        <w:divId w:val="315886554"/>
        <w:rPr>
          <w:rFonts w:eastAsia="Times New Roman"/>
        </w:rPr>
      </w:pPr>
    </w:p>
    <w:p w:rsidR="00000000" w:rsidRDefault="00897B14">
      <w:pPr>
        <w:jc w:val="center"/>
        <w:divId w:val="315886554"/>
        <w:rPr>
          <w:rFonts w:eastAsia="Times New Roman"/>
        </w:rPr>
      </w:pPr>
      <w:r>
        <w:rPr>
          <w:rFonts w:eastAsia="Times New Roman"/>
          <w:color w:val="000000"/>
          <w:sz w:val="20"/>
          <w:szCs w:val="20"/>
        </w:rPr>
        <w:t>41</w:t>
      </w:r>
    </w:p>
    <w:p w:rsidR="00000000" w:rsidRDefault="00897B14">
      <w:pPr>
        <w:rPr>
          <w:rFonts w:eastAsia="Times New Roman"/>
        </w:rPr>
      </w:pPr>
      <w:r>
        <w:rPr>
          <w:rFonts w:eastAsia="Times New Roman"/>
        </w:rPr>
        <w:pict>
          <v:rect id="_x0000_i1067" style="width:0;height:1.5pt" o:hralign="center" o:hrstd="t" o:hr="t" fillcolor="#a0a0a0" stroked="f"/>
        </w:pict>
      </w:r>
    </w:p>
    <w:p w:rsidR="00000000" w:rsidRDefault="00897B14">
      <w:pPr>
        <w:divId w:val="888033861"/>
        <w:rPr>
          <w:rFonts w:eastAsia="Times New Roman"/>
        </w:rPr>
      </w:pPr>
      <w:r>
        <w:rPr>
          <w:rFonts w:eastAsia="Times New Roman"/>
          <w:b/>
          <w:bCs/>
          <w:color w:val="0000FF"/>
          <w:sz w:val="20"/>
          <w:szCs w:val="20"/>
          <w:u w:val="single"/>
        </w:rPr>
        <w:t>Table of Contents</w:t>
      </w:r>
    </w:p>
    <w:p w:rsidR="00000000" w:rsidRDefault="00897B14">
      <w:pPr>
        <w:jc w:val="center"/>
        <w:divId w:val="906064827"/>
        <w:rPr>
          <w:rFonts w:eastAsia="Times New Roman"/>
        </w:rPr>
      </w:pPr>
      <w:r>
        <w:rPr>
          <w:rFonts w:eastAsia="Times New Roman"/>
          <w:b/>
          <w:bCs/>
          <w:color w:val="000000"/>
          <w:sz w:val="20"/>
          <w:szCs w:val="20"/>
        </w:rPr>
        <w:t>EQUITABLE HOLDINGS, INC.</w:t>
      </w:r>
    </w:p>
    <w:p w:rsidR="00000000" w:rsidRDefault="00897B14">
      <w:pPr>
        <w:jc w:val="center"/>
        <w:divId w:val="906064827"/>
        <w:rPr>
          <w:rFonts w:eastAsia="Times New Roman"/>
        </w:rPr>
      </w:pPr>
      <w:r>
        <w:rPr>
          <w:rFonts w:eastAsia="Times New Roman"/>
          <w:b/>
          <w:bCs/>
          <w:color w:val="000000"/>
          <w:sz w:val="20"/>
          <w:szCs w:val="20"/>
        </w:rPr>
        <w:t>Notes to Consolidated Financial Statements (Unaudited), Continued</w:t>
      </w:r>
    </w:p>
    <w:p w:rsidR="00000000" w:rsidRDefault="00897B14">
      <w:pPr>
        <w:divId w:val="108137324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160320700"/>
        </w:trPr>
        <w:tc>
          <w:tcPr>
            <w:tcW w:w="50" w:type="pct"/>
            <w:vAlign w:val="center"/>
            <w:hideMark/>
          </w:tcPr>
          <w:p w:rsidR="00000000" w:rsidRDefault="00897B14">
            <w:pPr>
              <w:rPr>
                <w:rFonts w:eastAsia="Times New Roman"/>
              </w:rPr>
            </w:pPr>
          </w:p>
        </w:tc>
        <w:tc>
          <w:tcPr>
            <w:tcW w:w="237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16032070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6032070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46439919"/>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49,734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50,995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947354172"/>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194499707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74,319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75,755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307172205"/>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6,085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Amounts due from reinsurer (6)</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Separate Accounts assets (4)</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142,387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144,980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50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146,980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86,049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9,263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242,282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508639396"/>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60320700"/>
        </w:trPr>
        <w:tc>
          <w:tcPr>
            <w:tcW w:w="0" w:type="auto"/>
            <w:gridSpan w:val="3"/>
            <w:shd w:val="clear" w:color="auto" w:fill="FFFFFF"/>
            <w:tcMar>
              <w:top w:w="30" w:type="dxa"/>
              <w:left w:w="50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6,912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8,492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15,407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933246782"/>
        <w:rPr>
          <w:rFonts w:eastAsia="Times New Roman"/>
        </w:rPr>
      </w:pPr>
      <w:r>
        <w:rPr>
          <w:rFonts w:eastAsia="Times New Roman"/>
          <w:color w:val="000000"/>
          <w:sz w:val="20"/>
          <w:szCs w:val="20"/>
        </w:rPr>
        <w:t>______________</w:t>
      </w:r>
    </w:p>
    <w:p w:rsidR="00000000" w:rsidRDefault="00897B14">
      <w:pPr>
        <w:ind w:hanging="360"/>
        <w:divId w:val="1028409084"/>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rsidR="00000000" w:rsidRDefault="00897B14">
      <w:pPr>
        <w:ind w:hanging="360"/>
        <w:divId w:val="1299997212"/>
        <w:rPr>
          <w:rFonts w:eastAsia="Times New Roman"/>
        </w:rPr>
      </w:pPr>
      <w:r>
        <w:rPr>
          <w:rFonts w:eastAsia="Times New Roman"/>
          <w:color w:val="000000"/>
          <w:sz w:val="18"/>
          <w:szCs w:val="18"/>
        </w:rPr>
        <w:t>(2)Includes publicly traded agency pass-through securities and collateralized obligations.</w:t>
      </w:r>
    </w:p>
    <w:p w:rsidR="00000000" w:rsidRDefault="00897B14">
      <w:pPr>
        <w:ind w:hanging="360"/>
        <w:divId w:val="1649288684"/>
        <w:rPr>
          <w:rFonts w:eastAsia="Times New Roman"/>
        </w:rPr>
      </w:pPr>
      <w:r>
        <w:rPr>
          <w:rFonts w:eastAsia="Times New Roman"/>
          <w:color w:val="000000"/>
          <w:sz w:val="18"/>
          <w:szCs w:val="18"/>
        </w:rPr>
        <w:t xml:space="preserve">(3)Includes credit-tranched securities collateralized by sub-prime mortgages, credit risk transfer securities and other asset </w:t>
      </w:r>
      <w:r>
        <w:rPr>
          <w:rFonts w:eastAsia="Times New Roman"/>
          <w:color w:val="000000"/>
          <w:sz w:val="18"/>
          <w:szCs w:val="18"/>
        </w:rPr>
        <w:t>types.</w:t>
      </w:r>
    </w:p>
    <w:p w:rsidR="00000000" w:rsidRDefault="00897B14">
      <w:pPr>
        <w:ind w:hanging="360"/>
        <w:divId w:val="1847094505"/>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As of June 30, 2021, the fair value of such investments was $379 million.</w:t>
      </w:r>
    </w:p>
    <w:p w:rsidR="00000000" w:rsidRDefault="00897B14">
      <w:pPr>
        <w:ind w:hanging="360"/>
        <w:divId w:val="1066336555"/>
        <w:rPr>
          <w:rFonts w:eastAsia="Times New Roman"/>
        </w:rPr>
      </w:pPr>
      <w:r>
        <w:rPr>
          <w:rFonts w:eastAsia="Times New Roman"/>
          <w:color w:val="000000"/>
          <w:sz w:val="18"/>
          <w:szCs w:val="18"/>
        </w:rPr>
        <w:t>(5)Includes CLO short-term debt of $82 million, which is inclusive as fair valued within Notes issued by consolidated VIE’s, at fair value using the fair value option Accrued in</w:t>
      </w:r>
      <w:r>
        <w:rPr>
          <w:rFonts w:eastAsia="Times New Roman"/>
          <w:color w:val="000000"/>
          <w:sz w:val="18"/>
          <w:szCs w:val="18"/>
        </w:rPr>
        <w:t>terest payable of $6 million is reported in Notes issued by consolidated VIE’s, at fair value using the fair value option in the consolidated balance sheets, which is not required to be measured at fair value on a recurring basis.</w:t>
      </w:r>
    </w:p>
    <w:p w:rsidR="00000000" w:rsidRDefault="00897B14">
      <w:pPr>
        <w:ind w:hanging="360"/>
        <w:divId w:val="1470517271"/>
        <w:rPr>
          <w:rFonts w:eastAsia="Times New Roman"/>
        </w:rPr>
      </w:pPr>
      <w:r>
        <w:rPr>
          <w:rFonts w:eastAsia="Times New Roman"/>
          <w:color w:val="000000"/>
          <w:sz w:val="18"/>
          <w:szCs w:val="18"/>
        </w:rPr>
        <w:t>(6)This represents GMIB N</w:t>
      </w:r>
      <w:r>
        <w:rPr>
          <w:rFonts w:eastAsia="Times New Roman"/>
          <w:color w:val="000000"/>
          <w:sz w:val="18"/>
          <w:szCs w:val="18"/>
        </w:rPr>
        <w:t>LG ceded reserves related to the Venerable transaction. See Note 1- Organization for details of the Venerable transaction.</w:t>
      </w:r>
    </w:p>
    <w:p w:rsidR="00000000" w:rsidRDefault="00897B14">
      <w:pPr>
        <w:jc w:val="center"/>
        <w:divId w:val="256989935"/>
        <w:rPr>
          <w:rFonts w:eastAsia="Times New Roman"/>
        </w:rPr>
      </w:pPr>
    </w:p>
    <w:p w:rsidR="00000000" w:rsidRDefault="00897B14">
      <w:pPr>
        <w:jc w:val="center"/>
        <w:divId w:val="256989935"/>
        <w:rPr>
          <w:rFonts w:eastAsia="Times New Roman"/>
        </w:rPr>
      </w:pPr>
      <w:r>
        <w:rPr>
          <w:rFonts w:eastAsia="Times New Roman"/>
          <w:color w:val="000000"/>
          <w:sz w:val="20"/>
          <w:szCs w:val="20"/>
        </w:rPr>
        <w:t>42</w:t>
      </w:r>
    </w:p>
    <w:p w:rsidR="00000000" w:rsidRDefault="00897B14">
      <w:pPr>
        <w:rPr>
          <w:rFonts w:eastAsia="Times New Roman"/>
        </w:rPr>
      </w:pPr>
      <w:r>
        <w:rPr>
          <w:rFonts w:eastAsia="Times New Roman"/>
        </w:rPr>
        <w:pict>
          <v:rect id="_x0000_i1068" style="width:0;height:1.5pt" o:hralign="center" o:hrstd="t" o:hr="t" fillcolor="#a0a0a0" stroked="f"/>
        </w:pict>
      </w:r>
    </w:p>
    <w:p w:rsidR="00000000" w:rsidRDefault="00897B14">
      <w:pPr>
        <w:divId w:val="58868557"/>
        <w:rPr>
          <w:rFonts w:eastAsia="Times New Roman"/>
        </w:rPr>
      </w:pPr>
      <w:r>
        <w:rPr>
          <w:rFonts w:eastAsia="Times New Roman"/>
          <w:b/>
          <w:bCs/>
          <w:color w:val="0000FF"/>
          <w:sz w:val="20"/>
          <w:szCs w:val="20"/>
          <w:u w:val="single"/>
        </w:rPr>
        <w:t>Table of Contents</w:t>
      </w:r>
    </w:p>
    <w:p w:rsidR="00000000" w:rsidRDefault="00897B14">
      <w:pPr>
        <w:jc w:val="center"/>
        <w:divId w:val="62988180"/>
        <w:rPr>
          <w:rFonts w:eastAsia="Times New Roman"/>
        </w:rPr>
      </w:pPr>
      <w:r>
        <w:rPr>
          <w:rFonts w:eastAsia="Times New Roman"/>
          <w:b/>
          <w:bCs/>
          <w:color w:val="000000"/>
          <w:sz w:val="20"/>
          <w:szCs w:val="20"/>
        </w:rPr>
        <w:t>EQUITABLE HOLDINGS, INC.</w:t>
      </w:r>
    </w:p>
    <w:p w:rsidR="00000000" w:rsidRDefault="00897B14">
      <w:pPr>
        <w:jc w:val="center"/>
        <w:divId w:val="62988180"/>
        <w:rPr>
          <w:rFonts w:eastAsia="Times New Roman"/>
        </w:rPr>
      </w:pPr>
      <w:r>
        <w:rPr>
          <w:rFonts w:eastAsia="Times New Roman"/>
          <w:b/>
          <w:bCs/>
          <w:color w:val="000000"/>
          <w:sz w:val="20"/>
          <w:szCs w:val="20"/>
        </w:rPr>
        <w:t>Notes to Consolidated Financial Statements (Unaudited), Continued</w:t>
      </w:r>
    </w:p>
    <w:p w:rsidR="00000000" w:rsidRDefault="00897B14">
      <w:pPr>
        <w:divId w:val="2086174656"/>
        <w:rPr>
          <w:rFonts w:eastAsia="Times New Roman"/>
        </w:rPr>
      </w:pPr>
    </w:p>
    <w:p w:rsidR="00000000" w:rsidRDefault="00897B14">
      <w:pPr>
        <w:ind w:firstLine="360"/>
        <w:divId w:val="44793187"/>
        <w:rPr>
          <w:rFonts w:eastAsia="Times New Roman"/>
        </w:rPr>
      </w:pPr>
    </w:p>
    <w:p w:rsidR="00000000" w:rsidRDefault="00897B14">
      <w:pPr>
        <w:ind w:firstLine="360"/>
        <w:jc w:val="both"/>
        <w:divId w:val="1606231041"/>
        <w:rPr>
          <w:rFonts w:eastAsia="Times New Roman"/>
        </w:rPr>
      </w:pPr>
    </w:p>
    <w:p w:rsidR="00000000" w:rsidRDefault="00897B14">
      <w:pPr>
        <w:jc w:val="center"/>
        <w:rPr>
          <w:rFonts w:eastAsia="Times New Roman"/>
        </w:rPr>
      </w:pPr>
      <w:r>
        <w:rPr>
          <w:rFonts w:eastAsia="Times New Roman"/>
          <w:b/>
          <w:bCs/>
          <w:color w:val="000000"/>
          <w:sz w:val="20"/>
          <w:szCs w:val="20"/>
        </w:rPr>
        <w:t>Fair Value Measurements as of December 31, 2020 (1)</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1105661569"/>
        </w:trPr>
        <w:tc>
          <w:tcPr>
            <w:tcW w:w="50" w:type="pct"/>
            <w:vAlign w:val="center"/>
            <w:hideMark/>
          </w:tcPr>
          <w:p w:rsidR="00000000" w:rsidRDefault="00897B14">
            <w:pPr>
              <w:jc w:val="center"/>
              <w:rPr>
                <w:rFonts w:eastAsia="Times New Roman"/>
              </w:rPr>
            </w:pPr>
          </w:p>
        </w:tc>
        <w:tc>
          <w:tcPr>
            <w:tcW w:w="237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10566156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Total</w:t>
            </w:r>
          </w:p>
        </w:tc>
      </w:tr>
      <w:tr w:rsidR="00000000">
        <w:trPr>
          <w:divId w:val="1105661569"/>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(in millions)</w:t>
            </w:r>
          </w:p>
        </w:tc>
      </w:tr>
      <w:tr w:rsidR="00000000">
        <w:trPr>
          <w:divId w:val="1105661569"/>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05661569"/>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56,457 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58,159 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3,591 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Commercial mortgage-backed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79,473 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5,073 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553422254"/>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other invested assets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4,908 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4,994 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4,309 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4,606 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Separate Accounts assets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132,698 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135,373 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137,937 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94,487 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4,454 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236,878 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509061829"/>
              <w:rPr>
                <w:rFonts w:eastAsia="Times New Roman"/>
              </w:rPr>
            </w:pPr>
            <w:r>
              <w:rPr>
                <w:rFonts w:eastAsia="Times New Roman"/>
                <w:color w:val="000000"/>
                <w:sz w:val="20"/>
                <w:szCs w:val="20"/>
              </w:rPr>
              <w:t>Notes issued by consolidated VIE’</w:t>
            </w:r>
            <w:r>
              <w:rPr>
                <w:rFonts w:eastAsia="Times New Roman"/>
                <w:color w:val="000000"/>
                <w:sz w:val="20"/>
                <w:szCs w:val="20"/>
              </w:rPr>
              <w:t>s, at fair value using the fair value option (6)</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105661569"/>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4,827 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11,159 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15,988 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35756926"/>
        <w:rPr>
          <w:rFonts w:eastAsia="Times New Roman"/>
        </w:rPr>
      </w:pPr>
      <w:r>
        <w:rPr>
          <w:rFonts w:eastAsia="Times New Roman"/>
          <w:color w:val="000000"/>
          <w:sz w:val="20"/>
          <w:szCs w:val="20"/>
        </w:rPr>
        <w:t>______________</w:t>
      </w:r>
    </w:p>
    <w:p w:rsidR="00000000" w:rsidRDefault="00897B14">
      <w:pPr>
        <w:ind w:hanging="360"/>
        <w:divId w:val="495340286"/>
        <w:rPr>
          <w:rFonts w:eastAsia="Times New Roman"/>
        </w:rPr>
      </w:pPr>
      <w:r>
        <w:rPr>
          <w:rFonts w:eastAsia="Times New Roman"/>
          <w:color w:val="000000"/>
          <w:sz w:val="18"/>
          <w:szCs w:val="18"/>
        </w:rPr>
        <w:t>(1)Excludes amounts reclassified</w:t>
      </w:r>
      <w:r>
        <w:rPr>
          <w:rFonts w:eastAsia="Times New Roman"/>
          <w:color w:val="000000"/>
          <w:sz w:val="18"/>
          <w:szCs w:val="18"/>
        </w:rPr>
        <w:t xml:space="preserve"> as HFS.</w:t>
      </w:r>
    </w:p>
    <w:p w:rsidR="00000000" w:rsidRDefault="00897B14">
      <w:pPr>
        <w:ind w:hanging="360"/>
        <w:divId w:val="298849658"/>
        <w:rPr>
          <w:rFonts w:eastAsia="Times New Roman"/>
        </w:rPr>
      </w:pPr>
      <w:r>
        <w:rPr>
          <w:rFonts w:eastAsia="Times New Roman"/>
          <w:color w:val="000000"/>
          <w:sz w:val="18"/>
          <w:szCs w:val="18"/>
        </w:rPr>
        <w:t>(2)Corporate fixed maturities includes both public and private issues.</w:t>
      </w:r>
    </w:p>
    <w:p w:rsidR="00000000" w:rsidRDefault="00897B14">
      <w:pPr>
        <w:ind w:hanging="360"/>
        <w:divId w:val="102767024"/>
        <w:rPr>
          <w:rFonts w:eastAsia="Times New Roman"/>
        </w:rPr>
      </w:pPr>
      <w:r>
        <w:rPr>
          <w:rFonts w:eastAsia="Times New Roman"/>
          <w:color w:val="000000"/>
          <w:sz w:val="18"/>
          <w:szCs w:val="18"/>
        </w:rPr>
        <w:t>(3)Includes publicly traded agency pass-through securities and collateralized obligations.</w:t>
      </w:r>
    </w:p>
    <w:p w:rsidR="00000000" w:rsidRDefault="00897B14">
      <w:pPr>
        <w:ind w:hanging="360"/>
        <w:divId w:val="1959098818"/>
        <w:rPr>
          <w:rFonts w:eastAsia="Times New Roman"/>
        </w:rPr>
      </w:pPr>
      <w:r>
        <w:rPr>
          <w:rFonts w:eastAsia="Times New Roman"/>
          <w:color w:val="000000"/>
          <w:sz w:val="18"/>
          <w:szCs w:val="18"/>
        </w:rPr>
        <w:t>(4)</w:t>
      </w:r>
      <w:r>
        <w:rPr>
          <w:rFonts w:eastAsia="Times New Roman"/>
          <w:color w:val="000000"/>
          <w:sz w:val="18"/>
          <w:szCs w:val="18"/>
        </w:rPr>
        <w:t>Includes credit-tranched securities collateralized by sub-prime mortgages and other asset types and credit tenant loans.</w:t>
      </w:r>
    </w:p>
    <w:p w:rsidR="00000000" w:rsidRDefault="00897B14">
      <w:pPr>
        <w:ind w:hanging="360"/>
        <w:divId w:val="954021004"/>
        <w:rPr>
          <w:rFonts w:eastAsia="Times New Roman"/>
        </w:rPr>
      </w:pPr>
      <w:r>
        <w:rPr>
          <w:rFonts w:eastAsia="Times New Roman"/>
          <w:color w:val="000000"/>
          <w:sz w:val="18"/>
          <w:szCs w:val="18"/>
        </w:rPr>
        <w:t>(5)Separate Accounts assets included in the fair value hierarchy exclude investments in entities that calculate NAV per share (or its e</w:t>
      </w:r>
      <w:r>
        <w:rPr>
          <w:rFonts w:eastAsia="Times New Roman"/>
          <w:color w:val="000000"/>
          <w:sz w:val="18"/>
          <w:szCs w:val="18"/>
        </w:rPr>
        <w:t>quivalent) as a practical expedient. Such investments excluded from the fair value hierarchy include investments in real estate and commercial mortgages. As of December 31, 2020, the fair value of such investments was $356 million.</w:t>
      </w:r>
    </w:p>
    <w:p w:rsidR="00000000" w:rsidRDefault="00897B14">
      <w:pPr>
        <w:jc w:val="center"/>
        <w:divId w:val="2069568057"/>
        <w:rPr>
          <w:rFonts w:eastAsia="Times New Roman"/>
        </w:rPr>
      </w:pPr>
    </w:p>
    <w:p w:rsidR="00000000" w:rsidRDefault="00897B14">
      <w:pPr>
        <w:jc w:val="center"/>
        <w:divId w:val="2069568057"/>
        <w:rPr>
          <w:rFonts w:eastAsia="Times New Roman"/>
        </w:rPr>
      </w:pPr>
      <w:r>
        <w:rPr>
          <w:rFonts w:eastAsia="Times New Roman"/>
          <w:color w:val="000000"/>
          <w:sz w:val="20"/>
          <w:szCs w:val="20"/>
        </w:rPr>
        <w:t>43</w:t>
      </w:r>
    </w:p>
    <w:p w:rsidR="00000000" w:rsidRDefault="00897B14">
      <w:pPr>
        <w:rPr>
          <w:rFonts w:eastAsia="Times New Roman"/>
        </w:rPr>
      </w:pPr>
      <w:r>
        <w:rPr>
          <w:rFonts w:eastAsia="Times New Roman"/>
        </w:rPr>
        <w:pict>
          <v:rect id="_x0000_i1069" style="width:0;height:1.5pt" o:hralign="center" o:hrstd="t" o:hr="t" fillcolor="#a0a0a0" stroked="f"/>
        </w:pict>
      </w:r>
    </w:p>
    <w:p w:rsidR="00000000" w:rsidRDefault="00897B14">
      <w:pPr>
        <w:divId w:val="554313949"/>
        <w:rPr>
          <w:rFonts w:eastAsia="Times New Roman"/>
        </w:rPr>
      </w:pPr>
      <w:r>
        <w:rPr>
          <w:rFonts w:eastAsia="Times New Roman"/>
          <w:b/>
          <w:bCs/>
          <w:color w:val="0000FF"/>
          <w:sz w:val="20"/>
          <w:szCs w:val="20"/>
          <w:u w:val="single"/>
        </w:rPr>
        <w:t>Table of Contents</w:t>
      </w:r>
    </w:p>
    <w:p w:rsidR="00000000" w:rsidRDefault="00897B14">
      <w:pPr>
        <w:jc w:val="center"/>
        <w:divId w:val="1858811519"/>
        <w:rPr>
          <w:rFonts w:eastAsia="Times New Roman"/>
        </w:rPr>
      </w:pPr>
      <w:r>
        <w:rPr>
          <w:rFonts w:eastAsia="Times New Roman"/>
          <w:b/>
          <w:bCs/>
          <w:color w:val="000000"/>
          <w:sz w:val="20"/>
          <w:szCs w:val="20"/>
        </w:rPr>
        <w:t>EQUITABLE HOLDINGS, INC.</w:t>
      </w:r>
    </w:p>
    <w:p w:rsidR="00000000" w:rsidRDefault="00897B14">
      <w:pPr>
        <w:jc w:val="center"/>
        <w:divId w:val="1858811519"/>
        <w:rPr>
          <w:rFonts w:eastAsia="Times New Roman"/>
        </w:rPr>
      </w:pPr>
      <w:r>
        <w:rPr>
          <w:rFonts w:eastAsia="Times New Roman"/>
          <w:b/>
          <w:bCs/>
          <w:color w:val="000000"/>
          <w:sz w:val="20"/>
          <w:szCs w:val="20"/>
        </w:rPr>
        <w:t>Notes to Consolidated Financial Statements (Unaudited), Continued</w:t>
      </w:r>
    </w:p>
    <w:p w:rsidR="00000000" w:rsidRDefault="00897B14">
      <w:pPr>
        <w:divId w:val="704524631"/>
        <w:rPr>
          <w:rFonts w:eastAsia="Times New Roman"/>
        </w:rPr>
      </w:pPr>
    </w:p>
    <w:p w:rsidR="00000000" w:rsidRDefault="00897B14">
      <w:pPr>
        <w:ind w:hanging="360"/>
        <w:divId w:val="1203982194"/>
        <w:rPr>
          <w:rFonts w:eastAsia="Times New Roman"/>
        </w:rPr>
      </w:pPr>
      <w:r>
        <w:rPr>
          <w:rFonts w:eastAsia="Times New Roman"/>
          <w:color w:val="000000"/>
          <w:sz w:val="18"/>
          <w:szCs w:val="18"/>
        </w:rPr>
        <w:t>(6)Accrued interest payable of $1 million is reported in Notes issued by consolidated VIE’s, at fair value using the fair value</w:t>
      </w:r>
      <w:r>
        <w:rPr>
          <w:rFonts w:eastAsia="Times New Roman"/>
          <w:color w:val="000000"/>
          <w:sz w:val="18"/>
          <w:szCs w:val="18"/>
        </w:rPr>
        <w:t xml:space="preserve"> option in the consolidated balance sheets, which is not required to be measured at fair value on a recurring basis. </w:t>
      </w:r>
    </w:p>
    <w:p w:rsidR="00000000" w:rsidRDefault="00897B14">
      <w:pPr>
        <w:ind w:firstLine="360"/>
        <w:divId w:val="1719013565"/>
        <w:rPr>
          <w:rFonts w:eastAsia="Times New Roman"/>
        </w:rPr>
      </w:pPr>
    </w:p>
    <w:p w:rsidR="00000000" w:rsidRDefault="00897B14">
      <w:pPr>
        <w:jc w:val="both"/>
        <w:divId w:val="693000637"/>
        <w:rPr>
          <w:rFonts w:eastAsia="Times New Roman"/>
        </w:rPr>
      </w:pPr>
      <w:r>
        <w:rPr>
          <w:rFonts w:eastAsia="Times New Roman"/>
          <w:b/>
          <w:bCs/>
          <w:i/>
          <w:iCs/>
          <w:color w:val="000000"/>
          <w:sz w:val="20"/>
          <w:szCs w:val="20"/>
        </w:rPr>
        <w:t>Public Fixed Maturities</w:t>
      </w:r>
    </w:p>
    <w:p w:rsidR="00000000" w:rsidRDefault="00897B14">
      <w:pPr>
        <w:divId w:val="1345670152"/>
        <w:rPr>
          <w:rFonts w:eastAsia="Times New Roman"/>
        </w:rPr>
      </w:pPr>
      <w:r>
        <w:rPr>
          <w:rFonts w:eastAsia="Times New Roman"/>
          <w:color w:val="000000"/>
          <w:sz w:val="20"/>
          <w:szCs w:val="20"/>
        </w:rPr>
        <w:t>The fair values of the Company’s public fixed maturities, including those accounted for using the fair value opt</w:t>
      </w:r>
      <w:r>
        <w:rPr>
          <w:rFonts w:eastAsia="Times New Roman"/>
          <w:color w:val="000000"/>
          <w:sz w:val="20"/>
          <w:szCs w:val="20"/>
        </w:rPr>
        <w:t>ion are generally based on prices obtained from independent valuation service providers and for which the Company maintains a vendor hierarchy by asset type based on historical pricing experience and vendor expertise. Although each security generally is pr</w:t>
      </w:r>
      <w:r>
        <w:rPr>
          <w:rFonts w:eastAsia="Times New Roman"/>
          <w:color w:val="000000"/>
          <w:sz w:val="20"/>
          <w:szCs w:val="20"/>
        </w:rPr>
        <w:t>iced by multiple independent valuation service providers, the Company ultimately uses the price received from the independent valuation service provider highest in the vendor hierarchy based on the respective asset type, with limited exception. To validate</w:t>
      </w:r>
      <w:r>
        <w:rPr>
          <w:rFonts w:eastAsia="Times New Roman"/>
          <w:color w:val="000000"/>
          <w:sz w:val="20"/>
          <w:szCs w:val="20"/>
        </w:rPr>
        <w:t xml:space="preserve"> reasonableness, prices also are internally reviewed by those with relevant expertise through comparison with directly observed recent market trades. Consistent with the fair value hierarchy, public fixed maturities validated in this manner generally are r</w:t>
      </w:r>
      <w:r>
        <w:rPr>
          <w:rFonts w:eastAsia="Times New Roman"/>
          <w:color w:val="000000"/>
          <w:sz w:val="20"/>
          <w:szCs w:val="20"/>
        </w:rPr>
        <w:t xml:space="preserve">eflected within Level 2, as they are primarily based on observable pricing for similar assets and/or other market observable inputs. </w:t>
      </w:r>
    </w:p>
    <w:p w:rsidR="00000000" w:rsidRDefault="00897B14">
      <w:pPr>
        <w:jc w:val="both"/>
        <w:divId w:val="1714454221"/>
        <w:rPr>
          <w:rFonts w:eastAsia="Times New Roman"/>
        </w:rPr>
      </w:pPr>
      <w:r>
        <w:rPr>
          <w:rFonts w:eastAsia="Times New Roman"/>
          <w:b/>
          <w:bCs/>
          <w:i/>
          <w:iCs/>
          <w:color w:val="000000"/>
          <w:sz w:val="20"/>
          <w:szCs w:val="20"/>
        </w:rPr>
        <w:t>Private Fixed Maturities</w:t>
      </w:r>
    </w:p>
    <w:p w:rsidR="00000000" w:rsidRDefault="00897B14">
      <w:pPr>
        <w:divId w:val="469787837"/>
        <w:rPr>
          <w:rFonts w:eastAsia="Times New Roman"/>
        </w:rPr>
      </w:pPr>
      <w:r>
        <w:rPr>
          <w:rFonts w:eastAsia="Times New Roman"/>
          <w:color w:val="000000"/>
          <w:sz w:val="20"/>
          <w:szCs w:val="20"/>
        </w:rPr>
        <w:t>The fair values of the Company’s private fixed maturities, including those accounted for using th</w:t>
      </w:r>
      <w:r>
        <w:rPr>
          <w:rFonts w:eastAsia="Times New Roman"/>
          <w:color w:val="000000"/>
          <w:sz w:val="20"/>
          <w:szCs w:val="20"/>
        </w:rPr>
        <w:t>e fair value option are determined from prices obtained from independent valuation service providers. Prices not obtained from an independent valuation service provider are determined by using a discounted cash flow model or a market comparable company val</w:t>
      </w:r>
      <w:r>
        <w:rPr>
          <w:rFonts w:eastAsia="Times New Roman"/>
          <w:color w:val="000000"/>
          <w:sz w:val="20"/>
          <w:szCs w:val="20"/>
        </w:rPr>
        <w:t>uation technique. In certain cases, these models use observable inputs with a discount rate based upon the average of spread surveys collected from private market intermediaries who are active in both primary and secondary transactions, taking into account</w:t>
      </w:r>
      <w:r>
        <w:rPr>
          <w:rFonts w:eastAsia="Times New Roman"/>
          <w:color w:val="000000"/>
          <w:sz w:val="20"/>
          <w:szCs w:val="20"/>
        </w:rPr>
        <w:t>, among other factors, the credit quality and industry sector of the issuer and the reduced liquidity associated with private placements. Generally, these securities have been reflected within Level 2. For certain private fixed maturities, the discounted c</w:t>
      </w:r>
      <w:r>
        <w:rPr>
          <w:rFonts w:eastAsia="Times New Roman"/>
          <w:color w:val="000000"/>
          <w:sz w:val="20"/>
          <w:szCs w:val="20"/>
        </w:rPr>
        <w:t>ash flow model or a market comparable company valuation technique may also incorporate unobservable inputs, which reflect the Company’s own assumptions about the inputs market participants would use in pricing the asset. To the extent management determines</w:t>
      </w:r>
      <w:r>
        <w:rPr>
          <w:rFonts w:eastAsia="Times New Roman"/>
          <w:color w:val="000000"/>
          <w:sz w:val="20"/>
          <w:szCs w:val="20"/>
        </w:rPr>
        <w:t xml:space="preserve"> that such unobservable inputs are significant to the fair value measurement of a security, a Level 3 classification generally is made.</w:t>
      </w:r>
    </w:p>
    <w:p w:rsidR="00000000" w:rsidRDefault="00897B14">
      <w:pPr>
        <w:jc w:val="both"/>
        <w:divId w:val="1260991392"/>
        <w:rPr>
          <w:rFonts w:eastAsia="Times New Roman"/>
        </w:rPr>
      </w:pPr>
      <w:r>
        <w:rPr>
          <w:rFonts w:eastAsia="Times New Roman"/>
          <w:b/>
          <w:bCs/>
          <w:i/>
          <w:iCs/>
          <w:color w:val="000000"/>
          <w:sz w:val="20"/>
          <w:szCs w:val="20"/>
        </w:rPr>
        <w:t>Notes issued by consolidated VIE’s, at fair value using the fair value option</w:t>
      </w:r>
    </w:p>
    <w:p w:rsidR="00000000" w:rsidRDefault="00897B14">
      <w:pPr>
        <w:divId w:val="109203547"/>
        <w:rPr>
          <w:rFonts w:eastAsia="Times New Roman"/>
        </w:rPr>
      </w:pPr>
      <w:r>
        <w:rPr>
          <w:rFonts w:eastAsia="Times New Roman"/>
          <w:color w:val="000000"/>
          <w:sz w:val="20"/>
          <w:szCs w:val="20"/>
        </w:rPr>
        <w:t>These notes are based on the fair values o</w:t>
      </w:r>
      <w:r>
        <w:rPr>
          <w:rFonts w:eastAsia="Times New Roman"/>
          <w:color w:val="000000"/>
          <w:sz w:val="20"/>
          <w:szCs w:val="20"/>
        </w:rPr>
        <w:t>f corresponding fixed maturity collateral. The CLO liabilities are also reduced by the fair value of the beneficial interests the Company retains in the CLO and the carrying value of any beneficial interests that represent compensation for services. As the</w:t>
      </w:r>
      <w:r>
        <w:rPr>
          <w:rFonts w:eastAsia="Times New Roman"/>
          <w:color w:val="000000"/>
          <w:sz w:val="20"/>
          <w:szCs w:val="20"/>
        </w:rPr>
        <w:t xml:space="preserve"> notes are valued based on the reference collateral, they are classified as Level 2 or 3. See “Fair Value Option” below for additional information.</w:t>
      </w:r>
    </w:p>
    <w:p w:rsidR="00000000" w:rsidRDefault="00897B14">
      <w:pPr>
        <w:jc w:val="both"/>
        <w:divId w:val="1497308597"/>
        <w:rPr>
          <w:rFonts w:eastAsia="Times New Roman"/>
        </w:rPr>
      </w:pPr>
      <w:r>
        <w:rPr>
          <w:rFonts w:eastAsia="Times New Roman"/>
          <w:b/>
          <w:bCs/>
          <w:i/>
          <w:iCs/>
          <w:color w:val="000000"/>
          <w:sz w:val="20"/>
          <w:szCs w:val="20"/>
        </w:rPr>
        <w:t>Freestanding Derivative Positions</w:t>
      </w:r>
    </w:p>
    <w:p w:rsidR="00000000" w:rsidRDefault="00897B14">
      <w:pPr>
        <w:divId w:val="1099645557"/>
        <w:rPr>
          <w:rFonts w:eastAsia="Times New Roman"/>
        </w:rPr>
      </w:pPr>
      <w:r>
        <w:rPr>
          <w:rFonts w:eastAsia="Times New Roman"/>
          <w:color w:val="000000"/>
          <w:sz w:val="20"/>
          <w:szCs w:val="20"/>
        </w:rPr>
        <w:t>The net fair value of the Company’s freestanding derivative positions as d</w:t>
      </w:r>
      <w:r>
        <w:rPr>
          <w:rFonts w:eastAsia="Times New Roman"/>
          <w:color w:val="000000"/>
          <w:sz w:val="20"/>
          <w:szCs w:val="20"/>
        </w:rPr>
        <w:t>isclosed in Note 4 are generally based on prices obtained either from independent valuation service providers or derived by applying market inputs from recognized vendors into industry standard pricing models. The majority of these derivative contracts are</w:t>
      </w:r>
      <w:r>
        <w:rPr>
          <w:rFonts w:eastAsia="Times New Roman"/>
          <w:color w:val="000000"/>
          <w:sz w:val="20"/>
          <w:szCs w:val="20"/>
        </w:rPr>
        <w:t xml:space="preserve"> traded in the OTC derivative market and are classified in Level 2. The fair values of derivative assets and liabilities traded in the OTC market are determined using quantitative models that require use of the contractual terms of the derivative instrumen</w:t>
      </w:r>
      <w:r>
        <w:rPr>
          <w:rFonts w:eastAsia="Times New Roman"/>
          <w:color w:val="000000"/>
          <w:sz w:val="20"/>
          <w:szCs w:val="20"/>
        </w:rPr>
        <w:t>ts and multiple market inputs, including interest rates, prices, and indices to generate continuous yield or pricing curves, including overnight index swap curves, and volatility factors, which then are applied to value the positions. The predominance of m</w:t>
      </w:r>
      <w:r>
        <w:rPr>
          <w:rFonts w:eastAsia="Times New Roman"/>
          <w:color w:val="000000"/>
          <w:sz w:val="20"/>
          <w:szCs w:val="20"/>
        </w:rPr>
        <w:t>arket inputs is actively quoted and can be validated through external sources or reliably interpolated if less observable.</w:t>
      </w:r>
    </w:p>
    <w:p w:rsidR="00000000" w:rsidRDefault="00897B14">
      <w:pPr>
        <w:divId w:val="601183533"/>
        <w:rPr>
          <w:rFonts w:eastAsia="Times New Roman"/>
        </w:rPr>
      </w:pPr>
      <w:r>
        <w:rPr>
          <w:rFonts w:eastAsia="Times New Roman"/>
          <w:color w:val="000000"/>
          <w:sz w:val="20"/>
          <w:szCs w:val="20"/>
          <w:u w:val="single"/>
        </w:rPr>
        <w:t>Level Classifications of the Company’s Financial Instruments</w:t>
      </w:r>
    </w:p>
    <w:p w:rsidR="00000000" w:rsidRDefault="00897B14">
      <w:pPr>
        <w:jc w:val="both"/>
        <w:divId w:val="1137381925"/>
        <w:rPr>
          <w:rFonts w:eastAsia="Times New Roman"/>
        </w:rPr>
      </w:pPr>
      <w:r>
        <w:rPr>
          <w:rFonts w:eastAsia="Times New Roman"/>
          <w:b/>
          <w:bCs/>
          <w:i/>
          <w:iCs/>
          <w:color w:val="000000"/>
          <w:sz w:val="20"/>
          <w:szCs w:val="20"/>
        </w:rPr>
        <w:t>Financial Instruments Classified as Level 1</w:t>
      </w:r>
    </w:p>
    <w:p w:rsidR="00000000" w:rsidRDefault="00897B14">
      <w:pPr>
        <w:divId w:val="404229681"/>
        <w:rPr>
          <w:rFonts w:eastAsia="Times New Roman"/>
        </w:rPr>
      </w:pPr>
      <w:r>
        <w:rPr>
          <w:rFonts w:eastAsia="Times New Roman"/>
          <w:color w:val="000000"/>
          <w:sz w:val="20"/>
          <w:szCs w:val="20"/>
        </w:rPr>
        <w:t>Investments classified as Le</w:t>
      </w:r>
      <w:r>
        <w:rPr>
          <w:rFonts w:eastAsia="Times New Roman"/>
          <w:color w:val="000000"/>
          <w:sz w:val="20"/>
          <w:szCs w:val="20"/>
        </w:rPr>
        <w:t>vel 1 primarily include redeemable preferred stock, trading securities, cash equivalents and Separate Accounts assets. Fair value measurements classified as Level 1 include exchange-traded prices of fixed maturities, equity securities and derivative contra</w:t>
      </w:r>
      <w:r>
        <w:rPr>
          <w:rFonts w:eastAsia="Times New Roman"/>
          <w:color w:val="000000"/>
          <w:sz w:val="20"/>
          <w:szCs w:val="20"/>
        </w:rPr>
        <w:t>cts, and net asset values for transacting subscriptions and redemptions of mutual fund shares held by Separate Accounts. Cash equivalents classified as Level 1 include money market accounts, overnight commercial paper and highly liquid debt instruments pur</w:t>
      </w:r>
      <w:r>
        <w:rPr>
          <w:rFonts w:eastAsia="Times New Roman"/>
          <w:color w:val="000000"/>
          <w:sz w:val="20"/>
          <w:szCs w:val="20"/>
        </w:rPr>
        <w:t>chased with an original maturity of three months or less and are carried at cost as a proxy for fair value measurement due to their short-term nature.</w:t>
      </w:r>
    </w:p>
    <w:p w:rsidR="00000000" w:rsidRDefault="00897B14">
      <w:pPr>
        <w:jc w:val="both"/>
        <w:divId w:val="1978022340"/>
        <w:rPr>
          <w:rFonts w:eastAsia="Times New Roman"/>
        </w:rPr>
      </w:pPr>
      <w:r>
        <w:rPr>
          <w:rFonts w:eastAsia="Times New Roman"/>
          <w:b/>
          <w:bCs/>
          <w:i/>
          <w:iCs/>
          <w:color w:val="000000"/>
          <w:sz w:val="20"/>
          <w:szCs w:val="20"/>
        </w:rPr>
        <w:t>Financial Instruments Classified as Level 2</w:t>
      </w:r>
    </w:p>
    <w:p w:rsidR="00000000" w:rsidRDefault="00897B14">
      <w:pPr>
        <w:jc w:val="center"/>
        <w:divId w:val="825127988"/>
        <w:rPr>
          <w:rFonts w:eastAsia="Times New Roman"/>
        </w:rPr>
      </w:pPr>
    </w:p>
    <w:p w:rsidR="00000000" w:rsidRDefault="00897B14">
      <w:pPr>
        <w:jc w:val="center"/>
        <w:divId w:val="825127988"/>
        <w:rPr>
          <w:rFonts w:eastAsia="Times New Roman"/>
        </w:rPr>
      </w:pPr>
      <w:r>
        <w:rPr>
          <w:rFonts w:eastAsia="Times New Roman"/>
          <w:color w:val="000000"/>
          <w:sz w:val="20"/>
          <w:szCs w:val="20"/>
        </w:rPr>
        <w:t>44</w:t>
      </w:r>
    </w:p>
    <w:p w:rsidR="00000000" w:rsidRDefault="00897B14">
      <w:pPr>
        <w:rPr>
          <w:rFonts w:eastAsia="Times New Roman"/>
        </w:rPr>
      </w:pPr>
      <w:r>
        <w:rPr>
          <w:rFonts w:eastAsia="Times New Roman"/>
        </w:rPr>
        <w:pict>
          <v:rect id="_x0000_i1070" style="width:0;height:1.5pt" o:hralign="center" o:hrstd="t" o:hr="t" fillcolor="#a0a0a0" stroked="f"/>
        </w:pict>
      </w:r>
    </w:p>
    <w:p w:rsidR="00000000" w:rsidRDefault="00897B14">
      <w:pPr>
        <w:divId w:val="1620840899"/>
        <w:rPr>
          <w:rFonts w:eastAsia="Times New Roman"/>
        </w:rPr>
      </w:pPr>
      <w:r>
        <w:rPr>
          <w:rFonts w:eastAsia="Times New Roman"/>
          <w:b/>
          <w:bCs/>
          <w:color w:val="0000FF"/>
          <w:sz w:val="20"/>
          <w:szCs w:val="20"/>
          <w:u w:val="single"/>
        </w:rPr>
        <w:t>Table of Contents</w:t>
      </w:r>
    </w:p>
    <w:p w:rsidR="00000000" w:rsidRDefault="00897B14">
      <w:pPr>
        <w:jc w:val="center"/>
        <w:divId w:val="1308052012"/>
        <w:rPr>
          <w:rFonts w:eastAsia="Times New Roman"/>
        </w:rPr>
      </w:pPr>
      <w:r>
        <w:rPr>
          <w:rFonts w:eastAsia="Times New Roman"/>
          <w:b/>
          <w:bCs/>
          <w:color w:val="000000"/>
          <w:sz w:val="20"/>
          <w:szCs w:val="20"/>
        </w:rPr>
        <w:t>EQUITABLE HOLDINGS, INC.</w:t>
      </w:r>
    </w:p>
    <w:p w:rsidR="00000000" w:rsidRDefault="00897B14">
      <w:pPr>
        <w:jc w:val="center"/>
        <w:divId w:val="1308052012"/>
        <w:rPr>
          <w:rFonts w:eastAsia="Times New Roman"/>
        </w:rPr>
      </w:pPr>
      <w:r>
        <w:rPr>
          <w:rFonts w:eastAsia="Times New Roman"/>
          <w:b/>
          <w:bCs/>
          <w:color w:val="000000"/>
          <w:sz w:val="20"/>
          <w:szCs w:val="20"/>
        </w:rPr>
        <w:t>Notes to Consolidated Financial Statements (Unaudited), Continued</w:t>
      </w:r>
    </w:p>
    <w:p w:rsidR="00000000" w:rsidRDefault="00897B14">
      <w:pPr>
        <w:divId w:val="1767385516"/>
        <w:rPr>
          <w:rFonts w:eastAsia="Times New Roman"/>
        </w:rPr>
      </w:pPr>
    </w:p>
    <w:p w:rsidR="00000000" w:rsidRDefault="00897B14">
      <w:pPr>
        <w:divId w:val="435059024"/>
        <w:rPr>
          <w:rFonts w:eastAsia="Times New Roman"/>
        </w:rPr>
      </w:pPr>
      <w:r>
        <w:rPr>
          <w:rFonts w:eastAsia="Times New Roman"/>
          <w:color w:val="000000"/>
          <w:sz w:val="20"/>
          <w:szCs w:val="20"/>
        </w:rPr>
        <w:t>Investments classified as Level 2 are measured at fair value on a recurring basis and primarily include U.S. government and agency securities, certain corporate debt securities and financial assets and liabilities accounted for using the fair value option,</w:t>
      </w:r>
      <w:r>
        <w:rPr>
          <w:rFonts w:eastAsia="Times New Roman"/>
          <w:color w:val="000000"/>
          <w:sz w:val="20"/>
          <w:szCs w:val="20"/>
        </w:rPr>
        <w:t xml:space="preserve"> such as public and private fixed maturities. As market quotes generally are not readily available or accessible for these securities, their fair value measures are determined utilizing relevant information generated by market transactions involving compar</w:t>
      </w:r>
      <w:r>
        <w:rPr>
          <w:rFonts w:eastAsia="Times New Roman"/>
          <w:color w:val="000000"/>
          <w:sz w:val="20"/>
          <w:szCs w:val="20"/>
        </w:rPr>
        <w:t>able securities and often are based on model pricing techniques that effectively discount prospective cash flows to present value using appropriate sector-adjusted credit spreads commensurate with the security’s duration, also taking into consideration iss</w:t>
      </w:r>
      <w:r>
        <w:rPr>
          <w:rFonts w:eastAsia="Times New Roman"/>
          <w:color w:val="000000"/>
          <w:sz w:val="20"/>
          <w:szCs w:val="20"/>
        </w:rPr>
        <w:t>uer-specific credit quality and liquidity. Segregated securities classified as Level 2 are U.S. Treasury bills segregated by AB in a special reserve bank custody account for the exclusive benefit of brokerage customers, as required by Rule 15c3-3 of the Ex</w:t>
      </w:r>
      <w:r>
        <w:rPr>
          <w:rFonts w:eastAsia="Times New Roman"/>
          <w:color w:val="000000"/>
          <w:sz w:val="20"/>
          <w:szCs w:val="20"/>
        </w:rPr>
        <w:t>change Act and for which fair values are based on quoted yields in secondary markets.</w:t>
      </w:r>
    </w:p>
    <w:p w:rsidR="00000000" w:rsidRDefault="00897B14">
      <w:pPr>
        <w:divId w:val="818424681"/>
        <w:rPr>
          <w:rFonts w:eastAsia="Times New Roman"/>
        </w:rPr>
      </w:pPr>
      <w:r>
        <w:rPr>
          <w:rFonts w:eastAsia="Times New Roman"/>
          <w:color w:val="000000"/>
          <w:sz w:val="20"/>
          <w:szCs w:val="20"/>
        </w:rPr>
        <w:t>Observable inputs generally used to measure the fair value of securities classified as Level 2 include benchmark yields, reported secondary trades, issuer spreads, benchm</w:t>
      </w:r>
      <w:r>
        <w:rPr>
          <w:rFonts w:eastAsia="Times New Roman"/>
          <w:color w:val="000000"/>
          <w:sz w:val="20"/>
          <w:szCs w:val="20"/>
        </w:rPr>
        <w:t>ark securities and other reference data. Additional observable inputs are used when available, and as may be appropriate, for certain security types, such as prepayment, default, and collateral information for the purpose of measuring the fair value of mor</w:t>
      </w:r>
      <w:r>
        <w:rPr>
          <w:rFonts w:eastAsia="Times New Roman"/>
          <w:color w:val="000000"/>
          <w:sz w:val="20"/>
          <w:szCs w:val="20"/>
        </w:rPr>
        <w:t>tgage- and asset-backed securities. The Company’s AAA-rated mortgage- and asset-backed securities are classified as Level 2 for which the observability of market inputs to their pricing models is supported by sufficient, albeit more recently contracted, ma</w:t>
      </w:r>
      <w:r>
        <w:rPr>
          <w:rFonts w:eastAsia="Times New Roman"/>
          <w:color w:val="000000"/>
          <w:sz w:val="20"/>
          <w:szCs w:val="20"/>
        </w:rPr>
        <w:t>rket activity in these sectors.</w:t>
      </w:r>
    </w:p>
    <w:p w:rsidR="00000000" w:rsidRDefault="00897B14">
      <w:pPr>
        <w:divId w:val="1911428892"/>
        <w:rPr>
          <w:rFonts w:eastAsia="Times New Roman"/>
        </w:rPr>
      </w:pPr>
      <w:r>
        <w:rPr>
          <w:rFonts w:eastAsia="Times New Roman"/>
          <w:color w:val="000000"/>
          <w:sz w:val="20"/>
          <w:szCs w:val="20"/>
        </w:rPr>
        <w:t>Certain Company products, such as the SCS, EQUI-VEST variable annuity products, IUL and the MSO fund available in some life contracts, offer investment options which permit the contract owner to participate in the performanc</w:t>
      </w:r>
      <w:r>
        <w:rPr>
          <w:rFonts w:eastAsia="Times New Roman"/>
          <w:color w:val="000000"/>
          <w:sz w:val="20"/>
          <w:szCs w:val="20"/>
        </w:rPr>
        <w:t>e of an index, ETF or commodity price. These investment options, which depending on the product and on the index selected, can currently have one, three, five or six year terms, provide for participation in the performance of specified indices, ETF or comm</w:t>
      </w:r>
      <w:r>
        <w:rPr>
          <w:rFonts w:eastAsia="Times New Roman"/>
          <w:color w:val="000000"/>
          <w:sz w:val="20"/>
          <w:szCs w:val="20"/>
        </w:rPr>
        <w:t>odity price movement up to a segment-specific declared maximum rate. Under certain conditions that vary by product, e.g., holding these segments for the full term, these segments also shield policyholders from some or all negative investment performance as</w:t>
      </w:r>
      <w:r>
        <w:rPr>
          <w:rFonts w:eastAsia="Times New Roman"/>
          <w:color w:val="000000"/>
          <w:sz w:val="20"/>
          <w:szCs w:val="20"/>
        </w:rPr>
        <w:t>sociated with these indices, ETF or commodity prices. These investment options have defined formulaic liability amounts, and the current values of the option component of these segment reserves are classified as Level 2 embedded derivatives. The fair value</w:t>
      </w:r>
      <w:r>
        <w:rPr>
          <w:rFonts w:eastAsia="Times New Roman"/>
          <w:color w:val="000000"/>
          <w:sz w:val="20"/>
          <w:szCs w:val="20"/>
        </w:rPr>
        <w:t>s of these embedded derivatives are based on data obtained from independent valuation service providers.</w:t>
      </w:r>
    </w:p>
    <w:p w:rsidR="00000000" w:rsidRDefault="00897B14">
      <w:pPr>
        <w:jc w:val="both"/>
        <w:divId w:val="635188358"/>
        <w:rPr>
          <w:rFonts w:eastAsia="Times New Roman"/>
        </w:rPr>
      </w:pPr>
      <w:r>
        <w:rPr>
          <w:rFonts w:eastAsia="Times New Roman"/>
          <w:b/>
          <w:bCs/>
          <w:i/>
          <w:iCs/>
          <w:color w:val="000000"/>
          <w:sz w:val="20"/>
          <w:szCs w:val="20"/>
        </w:rPr>
        <w:t>Financial Instruments Classified as Level 3</w:t>
      </w:r>
    </w:p>
    <w:p w:rsidR="00000000" w:rsidRDefault="00897B14">
      <w:pPr>
        <w:divId w:val="270355804"/>
        <w:rPr>
          <w:rFonts w:eastAsia="Times New Roman"/>
        </w:rPr>
      </w:pPr>
      <w:r>
        <w:rPr>
          <w:rFonts w:eastAsia="Times New Roman"/>
          <w:color w:val="000000"/>
          <w:sz w:val="20"/>
          <w:szCs w:val="20"/>
        </w:rPr>
        <w:t>The Company’s investments classified as Level 3 primarily include corporate debt securities and financial a</w:t>
      </w:r>
      <w:r>
        <w:rPr>
          <w:rFonts w:eastAsia="Times New Roman"/>
          <w:color w:val="000000"/>
          <w:sz w:val="20"/>
          <w:szCs w:val="20"/>
        </w:rPr>
        <w:t>ssets and liabilities accounted for using the fair value option, such as private fixed maturities and asset-backed securities. Determinations to classify fair value measures within Level 3 of the valuation hierarchy generally are based upon the significanc</w:t>
      </w:r>
      <w:r>
        <w:rPr>
          <w:rFonts w:eastAsia="Times New Roman"/>
          <w:color w:val="000000"/>
          <w:sz w:val="20"/>
          <w:szCs w:val="20"/>
        </w:rPr>
        <w:t>e of the unobservable factors to the overall fair value measurement. Included in the Level 3 classification are fixed maturities with indicative pricing obtained from brokers that otherwise could not be corroborated to market observable data.</w:t>
      </w:r>
    </w:p>
    <w:p w:rsidR="00000000" w:rsidRDefault="00897B14">
      <w:pPr>
        <w:divId w:val="1854413304"/>
        <w:rPr>
          <w:rFonts w:eastAsia="Times New Roman"/>
        </w:rPr>
      </w:pPr>
      <w:r>
        <w:rPr>
          <w:rFonts w:eastAsia="Times New Roman"/>
          <w:color w:val="000000"/>
          <w:sz w:val="20"/>
          <w:szCs w:val="20"/>
        </w:rPr>
        <w:t>The Company a</w:t>
      </w:r>
      <w:r>
        <w:rPr>
          <w:rFonts w:eastAsia="Times New Roman"/>
          <w:color w:val="000000"/>
          <w:sz w:val="20"/>
          <w:szCs w:val="20"/>
        </w:rPr>
        <w:t>lso issues certain benefits on its variable annuity products that are accounted for as derivatives and are also considered Level 3. The GMIBNLG feature allows the policyholder to receive guaranteed minimum lifetime annuity payments based on predetermined a</w:t>
      </w:r>
      <w:r>
        <w:rPr>
          <w:rFonts w:eastAsia="Times New Roman"/>
          <w:color w:val="000000"/>
          <w:sz w:val="20"/>
          <w:szCs w:val="20"/>
        </w:rPr>
        <w:t>nnuity purchase rates applied to the contract’s benefit base if and when the contract account value is depleted and the NLG feature is activated. The GMWB feature allows the policyholder to withdraw at minimum, over the life of the contract, an amount base</w:t>
      </w:r>
      <w:r>
        <w:rPr>
          <w:rFonts w:eastAsia="Times New Roman"/>
          <w:color w:val="000000"/>
          <w:sz w:val="20"/>
          <w:szCs w:val="20"/>
        </w:rPr>
        <w:t>d on the contract’s benefit base. The GWBL feature allows the policyholder to withdraw, each year for the life of the contract, a specified annual percentage of an amount based on the contract’s benefit base. The GMAB feature increases the contract account</w:t>
      </w:r>
      <w:r>
        <w:rPr>
          <w:rFonts w:eastAsia="Times New Roman"/>
          <w:color w:val="000000"/>
          <w:sz w:val="20"/>
          <w:szCs w:val="20"/>
        </w:rPr>
        <w:t xml:space="preserve"> value at the end of a specified period to a GMAB base. The GIB feature provides a lifetime annuity based on predetermined annuity purchase rates if and when the contract account value is depleted. This lifetime annuity is based on predetermined annuity pu</w:t>
      </w:r>
      <w:r>
        <w:rPr>
          <w:rFonts w:eastAsia="Times New Roman"/>
          <w:color w:val="000000"/>
          <w:sz w:val="20"/>
          <w:szCs w:val="20"/>
        </w:rPr>
        <w:t>rchase rates applied to a GIB base.</w:t>
      </w:r>
    </w:p>
    <w:p w:rsidR="00000000" w:rsidRDefault="00897B14">
      <w:pPr>
        <w:divId w:val="1617638494"/>
        <w:rPr>
          <w:rFonts w:eastAsia="Times New Roman"/>
        </w:rPr>
      </w:pPr>
      <w:r>
        <w:rPr>
          <w:rFonts w:eastAsia="Times New Roman"/>
          <w:color w:val="000000"/>
          <w:sz w:val="20"/>
          <w:szCs w:val="20"/>
        </w:rPr>
        <w:t>Level 3 also includes the GMIB reinsurance contract assets, which are accounted for as derivative contracts. The GMIB reinsurance contract asset and liabilities’ fair value reflects the present value of reinsurance premi</w:t>
      </w:r>
      <w:r>
        <w:rPr>
          <w:rFonts w:eastAsia="Times New Roman"/>
          <w:color w:val="000000"/>
          <w:sz w:val="20"/>
          <w:szCs w:val="20"/>
        </w:rPr>
        <w:t>ums, net of recoveries, and risk margins over a range of market consistent economic scenarios while GMxB derivative features liability reflects the present value of expected future payments (benefits) less fees, adjusted for risk margins and nonperformance</w:t>
      </w:r>
      <w:r>
        <w:rPr>
          <w:rFonts w:eastAsia="Times New Roman"/>
          <w:color w:val="000000"/>
          <w:sz w:val="20"/>
          <w:szCs w:val="20"/>
        </w:rPr>
        <w:t xml:space="preserve"> risk, attributable to GMxB derivative features’ liability over a range of market-consistent economic scenarios. </w:t>
      </w:r>
    </w:p>
    <w:p w:rsidR="00000000" w:rsidRDefault="00897B14">
      <w:pPr>
        <w:divId w:val="345836366"/>
        <w:rPr>
          <w:rFonts w:eastAsia="Times New Roman"/>
        </w:rPr>
      </w:pPr>
      <w:r>
        <w:rPr>
          <w:rFonts w:eastAsia="Times New Roman"/>
          <w:color w:val="000000"/>
          <w:sz w:val="20"/>
          <w:szCs w:val="20"/>
        </w:rPr>
        <w:t>Also included are the Amounts due from Reinsurers related to the GMIB NLG product features (GMIB NLG Reinsurance). The fair value reflects the</w:t>
      </w:r>
      <w:r>
        <w:rPr>
          <w:rFonts w:eastAsia="Times New Roman"/>
          <w:color w:val="000000"/>
          <w:sz w:val="20"/>
          <w:szCs w:val="20"/>
        </w:rPr>
        <w:t xml:space="preserve"> present value of reinsurance premiums, net of recoveries, adjusted for risk margins and nonperformance risk over a range of market consistent economic scenarios.</w:t>
      </w:r>
    </w:p>
    <w:p w:rsidR="00000000" w:rsidRDefault="00897B14">
      <w:pPr>
        <w:jc w:val="center"/>
        <w:divId w:val="1304386519"/>
        <w:rPr>
          <w:rFonts w:eastAsia="Times New Roman"/>
        </w:rPr>
      </w:pPr>
    </w:p>
    <w:p w:rsidR="00000000" w:rsidRDefault="00897B14">
      <w:pPr>
        <w:jc w:val="center"/>
        <w:divId w:val="1304386519"/>
        <w:rPr>
          <w:rFonts w:eastAsia="Times New Roman"/>
        </w:rPr>
      </w:pPr>
      <w:r>
        <w:rPr>
          <w:rFonts w:eastAsia="Times New Roman"/>
          <w:color w:val="000000"/>
          <w:sz w:val="20"/>
          <w:szCs w:val="20"/>
        </w:rPr>
        <w:t>45</w:t>
      </w:r>
    </w:p>
    <w:p w:rsidR="00000000" w:rsidRDefault="00897B14">
      <w:pPr>
        <w:rPr>
          <w:rFonts w:eastAsia="Times New Roman"/>
        </w:rPr>
      </w:pPr>
      <w:r>
        <w:rPr>
          <w:rFonts w:eastAsia="Times New Roman"/>
        </w:rPr>
        <w:pict>
          <v:rect id="_x0000_i1071" style="width:0;height:1.5pt" o:hralign="center" o:hrstd="t" o:hr="t" fillcolor="#a0a0a0" stroked="f"/>
        </w:pict>
      </w:r>
    </w:p>
    <w:p w:rsidR="00000000" w:rsidRDefault="00897B14">
      <w:pPr>
        <w:divId w:val="1652832773"/>
        <w:rPr>
          <w:rFonts w:eastAsia="Times New Roman"/>
        </w:rPr>
      </w:pPr>
      <w:r>
        <w:rPr>
          <w:rFonts w:eastAsia="Times New Roman"/>
          <w:b/>
          <w:bCs/>
          <w:color w:val="0000FF"/>
          <w:sz w:val="20"/>
          <w:szCs w:val="20"/>
          <w:u w:val="single"/>
        </w:rPr>
        <w:t>Table of Contents</w:t>
      </w:r>
    </w:p>
    <w:p w:rsidR="00000000" w:rsidRDefault="00897B14">
      <w:pPr>
        <w:jc w:val="center"/>
        <w:divId w:val="1050033868"/>
        <w:rPr>
          <w:rFonts w:eastAsia="Times New Roman"/>
        </w:rPr>
      </w:pPr>
      <w:r>
        <w:rPr>
          <w:rFonts w:eastAsia="Times New Roman"/>
          <w:b/>
          <w:bCs/>
          <w:color w:val="000000"/>
          <w:sz w:val="20"/>
          <w:szCs w:val="20"/>
        </w:rPr>
        <w:t>EQUITABLE HOLDINGS, INC.</w:t>
      </w:r>
    </w:p>
    <w:p w:rsidR="00000000" w:rsidRDefault="00897B14">
      <w:pPr>
        <w:jc w:val="center"/>
        <w:divId w:val="1050033868"/>
        <w:rPr>
          <w:rFonts w:eastAsia="Times New Roman"/>
        </w:rPr>
      </w:pPr>
      <w:r>
        <w:rPr>
          <w:rFonts w:eastAsia="Times New Roman"/>
          <w:b/>
          <w:bCs/>
          <w:color w:val="000000"/>
          <w:sz w:val="20"/>
          <w:szCs w:val="20"/>
        </w:rPr>
        <w:t xml:space="preserve">Notes to </w:t>
      </w:r>
      <w:r>
        <w:rPr>
          <w:rFonts w:eastAsia="Times New Roman"/>
          <w:b/>
          <w:bCs/>
          <w:color w:val="000000"/>
          <w:sz w:val="20"/>
          <w:szCs w:val="20"/>
        </w:rPr>
        <w:t>Consolidated Financial Statements (Unaudited), Continued</w:t>
      </w:r>
    </w:p>
    <w:p w:rsidR="00000000" w:rsidRDefault="00897B14">
      <w:pPr>
        <w:divId w:val="1981880096"/>
        <w:rPr>
          <w:rFonts w:eastAsia="Times New Roman"/>
        </w:rPr>
      </w:pPr>
    </w:p>
    <w:p w:rsidR="00000000" w:rsidRDefault="00897B14">
      <w:pPr>
        <w:divId w:val="561646969"/>
        <w:rPr>
          <w:rFonts w:eastAsia="Times New Roman"/>
        </w:rPr>
      </w:pPr>
      <w:r>
        <w:rPr>
          <w:rFonts w:eastAsia="Times New Roman"/>
          <w:color w:val="000000"/>
          <w:sz w:val="20"/>
          <w:szCs w:val="20"/>
        </w:rPr>
        <w:t>The valuations of the GMIB reinsurance contract asset, GMIB NLG Reinsurance and GMxB derivative features liability incorporate significant non-observable assumptions related to policyholder behavio</w:t>
      </w:r>
      <w:r>
        <w:rPr>
          <w:rFonts w:eastAsia="Times New Roman"/>
          <w:color w:val="000000"/>
          <w:sz w:val="20"/>
          <w:szCs w:val="20"/>
        </w:rPr>
        <w:t>r, risk margins and projections of equity Separate Accounts funds. The credit risks of the counterparty and of the Company are considered in determining the fair values of its GMIB reinsurance contract asset, GMIB NLG Reinsurance and GMxB derivative featur</w:t>
      </w:r>
      <w:r>
        <w:rPr>
          <w:rFonts w:eastAsia="Times New Roman"/>
          <w:color w:val="000000"/>
          <w:sz w:val="20"/>
          <w:szCs w:val="20"/>
        </w:rPr>
        <w:t>es liability positions, respectively, after taking into account the effects of collateral arrangements. Incremental adjustment to the swap curve for non-performance risk is made to the fair values of the GMIB reinsurance contract asset, GMIB NLG Reinsuranc</w:t>
      </w:r>
      <w:r>
        <w:rPr>
          <w:rFonts w:eastAsia="Times New Roman"/>
          <w:color w:val="000000"/>
          <w:sz w:val="20"/>
          <w:szCs w:val="20"/>
        </w:rPr>
        <w:t>e and GMIBNLG feature to reflect the claims-paying ratings of counterparties and the Company. Equity and fixed income volatilities were modeled to reflect current market volatilities. Due to the unique, long duration of the GMIBNLG feature and GMIB NLG Rei</w:t>
      </w:r>
      <w:r>
        <w:rPr>
          <w:rFonts w:eastAsia="Times New Roman"/>
          <w:color w:val="000000"/>
          <w:sz w:val="20"/>
          <w:szCs w:val="20"/>
        </w:rPr>
        <w:t>nsurance , adjustments were made to the equity volatilities to remove the illiquidity bias associated with the longer tenors and risk margins were applied to the non-capital markets inputs to the GMIBNLG valuations.</w:t>
      </w:r>
    </w:p>
    <w:p w:rsidR="00000000" w:rsidRDefault="00897B14">
      <w:pPr>
        <w:divId w:val="1442145888"/>
        <w:rPr>
          <w:rFonts w:eastAsia="Times New Roman"/>
        </w:rPr>
      </w:pPr>
      <w:r>
        <w:rPr>
          <w:rFonts w:eastAsia="Times New Roman"/>
          <w:color w:val="000000"/>
          <w:sz w:val="20"/>
          <w:szCs w:val="20"/>
        </w:rPr>
        <w:t>After giving consideration to collateral</w:t>
      </w:r>
      <w:r>
        <w:rPr>
          <w:rFonts w:eastAsia="Times New Roman"/>
          <w:color w:val="000000"/>
          <w:sz w:val="20"/>
          <w:szCs w:val="20"/>
        </w:rPr>
        <w:t xml:space="preserve"> arrangements, the Company reduced the fair value of its GMIB reinsurance contract asset by $83 million and $102 million as of June 30, 2021 and December 31, 2020, respectively, to recognize incremental counterparty non-performance risk and reduced the fai</w:t>
      </w:r>
      <w:r>
        <w:rPr>
          <w:rFonts w:eastAsia="Times New Roman"/>
          <w:color w:val="000000"/>
          <w:sz w:val="20"/>
          <w:szCs w:val="20"/>
        </w:rPr>
        <w:t>r value of its GMIB reinsurance contract liabilities by $0 million and $19 million as of June 30, 2021 and December 31, 2020, respectively, to recognize its own incremental non-performance risk.</w:t>
      </w:r>
    </w:p>
    <w:p w:rsidR="00000000" w:rsidRDefault="00897B14">
      <w:pPr>
        <w:divId w:val="100683254"/>
        <w:rPr>
          <w:rFonts w:eastAsia="Times New Roman"/>
        </w:rPr>
      </w:pPr>
      <w:r>
        <w:rPr>
          <w:rFonts w:eastAsia="Times New Roman"/>
          <w:color w:val="000000"/>
          <w:sz w:val="20"/>
          <w:szCs w:val="20"/>
        </w:rPr>
        <w:t>After giving consideration to collateral arrangements, the Co</w:t>
      </w:r>
      <w:r>
        <w:rPr>
          <w:rFonts w:eastAsia="Times New Roman"/>
          <w:color w:val="000000"/>
          <w:sz w:val="20"/>
          <w:szCs w:val="20"/>
        </w:rPr>
        <w:t xml:space="preserve">mpany reduced the fair value of its Amounts due from Reinsurers by $169 million at June 30, 2021 to recognize incremental counterparty non-performance risk. </w:t>
      </w:r>
    </w:p>
    <w:p w:rsidR="00000000" w:rsidRDefault="00897B14">
      <w:pPr>
        <w:divId w:val="2048723328"/>
        <w:rPr>
          <w:rFonts w:eastAsia="Times New Roman"/>
        </w:rPr>
      </w:pPr>
      <w:r>
        <w:rPr>
          <w:rFonts w:eastAsia="Times New Roman"/>
          <w:color w:val="000000"/>
          <w:sz w:val="20"/>
          <w:szCs w:val="20"/>
        </w:rPr>
        <w:t>Lapse rates are adjusted at the contract level based on a comparison of the actuarial calculated g</w:t>
      </w:r>
      <w:r>
        <w:rPr>
          <w:rFonts w:eastAsia="Times New Roman"/>
          <w:color w:val="000000"/>
          <w:sz w:val="20"/>
          <w:szCs w:val="20"/>
        </w:rPr>
        <w:t xml:space="preserve">uaranteed values and the current policyholder account value, which include other factors such as considering surrender charges. Generally, lapse rates are assumed to be lower in periods when a surrender charge applies. A dynamic lapse function reduces the </w:t>
      </w:r>
      <w:r>
        <w:rPr>
          <w:rFonts w:eastAsia="Times New Roman"/>
          <w:color w:val="000000"/>
          <w:sz w:val="20"/>
          <w:szCs w:val="20"/>
        </w:rPr>
        <w:t xml:space="preserve">base lapse rate when the guaranteed amount is greater than the account value as in-the-money contracts are less likely to lapse. For valuing the embedded derivative, lapse rates vary throughout the period over which cash flows are projected. </w:t>
      </w:r>
    </w:p>
    <w:p w:rsidR="00000000" w:rsidRDefault="00897B14">
      <w:pPr>
        <w:divId w:val="77948639"/>
        <w:rPr>
          <w:rFonts w:eastAsia="Times New Roman"/>
        </w:rPr>
      </w:pPr>
      <w:r>
        <w:rPr>
          <w:rFonts w:eastAsia="Times New Roman"/>
          <w:color w:val="000000"/>
          <w:sz w:val="20"/>
          <w:szCs w:val="20"/>
        </w:rPr>
        <w:t>The Company’s</w:t>
      </w:r>
      <w:r>
        <w:rPr>
          <w:rFonts w:eastAsia="Times New Roman"/>
          <w:color w:val="000000"/>
          <w:sz w:val="20"/>
          <w:szCs w:val="20"/>
        </w:rPr>
        <w:t xml:space="preserve"> Level 3 liabilities include contingent payment arrangements associated with acquisitions in 2016 and 2019 by AB. At each reporting date, AB estimates the fair values of the contingent consideration expected to be paid based upon revenue and discount rate </w:t>
      </w:r>
      <w:r>
        <w:rPr>
          <w:rFonts w:eastAsia="Times New Roman"/>
          <w:color w:val="000000"/>
          <w:sz w:val="20"/>
          <w:szCs w:val="20"/>
        </w:rPr>
        <w:t>projections, using unobservable market data inputs, which are included in Level 3 of the valuation hierarchy. The Company’s consolidated VIEs/VOEs hold investments that are classified as Level 3, primarily corporate bonds that are vendor priced with no rat</w:t>
      </w:r>
      <w:r>
        <w:rPr>
          <w:rFonts w:eastAsia="Times New Roman"/>
          <w:color w:val="000000"/>
          <w:sz w:val="20"/>
          <w:szCs w:val="20"/>
        </w:rPr>
        <w:t>ings available, bank loans, non-agency collateralized mortgage obligations and asset-backed securities.</w:t>
      </w:r>
    </w:p>
    <w:p w:rsidR="00000000" w:rsidRDefault="00897B14">
      <w:pPr>
        <w:divId w:val="589311453"/>
        <w:rPr>
          <w:rFonts w:eastAsia="Times New Roman"/>
        </w:rPr>
      </w:pPr>
      <w:r>
        <w:rPr>
          <w:rFonts w:eastAsia="Times New Roman"/>
          <w:color w:val="000000"/>
          <w:sz w:val="20"/>
          <w:szCs w:val="20"/>
          <w:u w:val="single"/>
        </w:rPr>
        <w:t>Transfers of Financial Instruments Between Levels 2 and 3</w:t>
      </w:r>
    </w:p>
    <w:p w:rsidR="00000000" w:rsidRDefault="00897B14">
      <w:pPr>
        <w:divId w:val="434138251"/>
        <w:rPr>
          <w:rFonts w:eastAsia="Times New Roman"/>
        </w:rPr>
      </w:pPr>
      <w:r>
        <w:rPr>
          <w:rFonts w:eastAsia="Times New Roman"/>
          <w:color w:val="000000"/>
          <w:sz w:val="20"/>
          <w:szCs w:val="20"/>
        </w:rPr>
        <w:t>During the six months ended June 30, 2021, fixed maturities with fair values of $792 million w</w:t>
      </w:r>
      <w:r>
        <w:rPr>
          <w:rFonts w:eastAsia="Times New Roman"/>
          <w:color w:val="000000"/>
          <w:sz w:val="20"/>
          <w:szCs w:val="20"/>
        </w:rPr>
        <w:t>ere transferred out of Level 3 and into Level 2 principally due to the availability of trading activity and/or market observable inputs to measure and validate their fair values. In addition, fixed maturities with fair value of $17 million were transferred</w:t>
      </w:r>
      <w:r>
        <w:rPr>
          <w:rFonts w:eastAsia="Times New Roman"/>
          <w:color w:val="000000"/>
          <w:sz w:val="20"/>
          <w:szCs w:val="20"/>
        </w:rPr>
        <w:t xml:space="preserve"> from Level 2 into the Level 3 classification. These transfers in the aggregate represent approximately 6.1% of total equity as of June 30, 2021.</w:t>
      </w:r>
    </w:p>
    <w:p w:rsidR="00000000" w:rsidRDefault="00897B14">
      <w:pPr>
        <w:divId w:val="731855814"/>
        <w:rPr>
          <w:rFonts w:eastAsia="Times New Roman"/>
        </w:rPr>
      </w:pPr>
      <w:r>
        <w:rPr>
          <w:rFonts w:eastAsia="Times New Roman"/>
          <w:color w:val="000000"/>
          <w:sz w:val="20"/>
          <w:szCs w:val="20"/>
        </w:rPr>
        <w:t xml:space="preserve">During the six months ended June 30, 2020, fixed maturities with fair values of $103 million were transferred </w:t>
      </w:r>
      <w:r>
        <w:rPr>
          <w:rFonts w:eastAsia="Times New Roman"/>
          <w:color w:val="000000"/>
          <w:sz w:val="20"/>
          <w:szCs w:val="20"/>
        </w:rPr>
        <w:t>out of Level 3 and into Level 2 principally due to the availability of trading activity and/or market observable inputs to measure and validate their fair values. In addition, fixed maturities with fair value of $224 million were transferred from Level 2 i</w:t>
      </w:r>
      <w:r>
        <w:rPr>
          <w:rFonts w:eastAsia="Times New Roman"/>
          <w:color w:val="000000"/>
          <w:sz w:val="20"/>
          <w:szCs w:val="20"/>
        </w:rPr>
        <w:t>nto the Level 3 classification. These transfers in the aggregate represent approximately 1.7% of total equity as of June 30, 2020.</w:t>
      </w:r>
    </w:p>
    <w:p w:rsidR="00000000" w:rsidRDefault="00897B14">
      <w:pPr>
        <w:divId w:val="906501584"/>
        <w:rPr>
          <w:rFonts w:eastAsia="Times New Roman"/>
        </w:rPr>
      </w:pPr>
      <w:r>
        <w:rPr>
          <w:rFonts w:eastAsia="Times New Roman"/>
          <w:color w:val="000000"/>
          <w:sz w:val="20"/>
          <w:szCs w:val="20"/>
        </w:rPr>
        <w:t>The tables below present reconciliations for all Level 3 assets and liabilities for the three months and six months ended Jun</w:t>
      </w:r>
      <w:r>
        <w:rPr>
          <w:rFonts w:eastAsia="Times New Roman"/>
          <w:color w:val="000000"/>
          <w:sz w:val="20"/>
          <w:szCs w:val="20"/>
        </w:rPr>
        <w:t>e 30, 2021 and 2020,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63"/>
        <w:gridCol w:w="37"/>
        <w:gridCol w:w="121"/>
        <w:gridCol w:w="667"/>
        <w:gridCol w:w="36"/>
        <w:gridCol w:w="36"/>
        <w:gridCol w:w="36"/>
        <w:gridCol w:w="36"/>
        <w:gridCol w:w="121"/>
        <w:gridCol w:w="803"/>
        <w:gridCol w:w="36"/>
        <w:gridCol w:w="36"/>
        <w:gridCol w:w="36"/>
        <w:gridCol w:w="36"/>
        <w:gridCol w:w="36"/>
        <w:gridCol w:w="36"/>
        <w:gridCol w:w="36"/>
        <w:gridCol w:w="46"/>
        <w:gridCol w:w="121"/>
        <w:gridCol w:w="469"/>
        <w:gridCol w:w="36"/>
        <w:gridCol w:w="36"/>
        <w:gridCol w:w="36"/>
        <w:gridCol w:w="36"/>
        <w:gridCol w:w="36"/>
        <w:gridCol w:w="36"/>
        <w:gridCol w:w="36"/>
        <w:gridCol w:w="36"/>
        <w:gridCol w:w="36"/>
        <w:gridCol w:w="36"/>
        <w:gridCol w:w="121"/>
        <w:gridCol w:w="446"/>
        <w:gridCol w:w="36"/>
        <w:gridCol w:w="36"/>
        <w:gridCol w:w="36"/>
        <w:gridCol w:w="36"/>
        <w:gridCol w:w="121"/>
        <w:gridCol w:w="696"/>
        <w:gridCol w:w="36"/>
      </w:tblGrid>
      <w:tr w:rsidR="00000000">
        <w:trPr>
          <w:jc w:val="center"/>
        </w:trPr>
        <w:tc>
          <w:tcPr>
            <w:tcW w:w="50" w:type="pct"/>
            <w:vAlign w:val="center"/>
            <w:hideMark/>
          </w:tcPr>
          <w:p w:rsidR="00000000" w:rsidRDefault="00897B14">
            <w:pPr>
              <w:rPr>
                <w:rFonts w:eastAsia="Times New Roman"/>
              </w:rPr>
            </w:pPr>
          </w:p>
        </w:tc>
        <w:tc>
          <w:tcPr>
            <w:tcW w:w="23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Asset- backed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Fixed maturities, at FVO</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4"/>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jc w:val="center"/>
              <w:rPr>
                <w:rFonts w:eastAsia="Times New Roman"/>
              </w:rPr>
            </w:pPr>
          </w:p>
        </w:tc>
        <w:tc>
          <w:tcPr>
            <w:tcW w:w="0" w:type="auto"/>
            <w:tcBorders>
              <w:top w:val="single" w:sz="4"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April 1, 2021</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1,255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142 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bl>
    <w:p w:rsidR="00000000" w:rsidRDefault="00897B14">
      <w:pPr>
        <w:jc w:val="center"/>
        <w:divId w:val="2112818363"/>
        <w:rPr>
          <w:rFonts w:eastAsia="Times New Roman"/>
        </w:rPr>
      </w:pPr>
    </w:p>
    <w:p w:rsidR="00000000" w:rsidRDefault="00897B14">
      <w:pPr>
        <w:jc w:val="center"/>
        <w:divId w:val="2112818363"/>
        <w:rPr>
          <w:rFonts w:eastAsia="Times New Roman"/>
        </w:rPr>
      </w:pPr>
      <w:r>
        <w:rPr>
          <w:rFonts w:eastAsia="Times New Roman"/>
          <w:color w:val="000000"/>
          <w:sz w:val="20"/>
          <w:szCs w:val="20"/>
        </w:rPr>
        <w:t>46</w:t>
      </w:r>
    </w:p>
    <w:p w:rsidR="00000000" w:rsidRDefault="00897B14">
      <w:pPr>
        <w:rPr>
          <w:rFonts w:eastAsia="Times New Roman"/>
        </w:rPr>
      </w:pPr>
      <w:r>
        <w:rPr>
          <w:rFonts w:eastAsia="Times New Roman"/>
        </w:rPr>
        <w:pict>
          <v:rect id="_x0000_i1072" style="width:0;height:1.5pt" o:hralign="center" o:hrstd="t" o:hr="t" fillcolor="#a0a0a0" stroked="f"/>
        </w:pict>
      </w:r>
    </w:p>
    <w:p w:rsidR="00000000" w:rsidRDefault="00897B14">
      <w:pPr>
        <w:divId w:val="330763122"/>
        <w:rPr>
          <w:rFonts w:eastAsia="Times New Roman"/>
        </w:rPr>
      </w:pPr>
      <w:r>
        <w:rPr>
          <w:rFonts w:eastAsia="Times New Roman"/>
          <w:b/>
          <w:bCs/>
          <w:color w:val="0000FF"/>
          <w:sz w:val="20"/>
          <w:szCs w:val="20"/>
          <w:u w:val="single"/>
        </w:rPr>
        <w:t>Table of Contents</w:t>
      </w:r>
    </w:p>
    <w:p w:rsidR="00000000" w:rsidRDefault="00897B14">
      <w:pPr>
        <w:jc w:val="center"/>
        <w:divId w:val="603852981"/>
        <w:rPr>
          <w:rFonts w:eastAsia="Times New Roman"/>
        </w:rPr>
      </w:pPr>
      <w:r>
        <w:rPr>
          <w:rFonts w:eastAsia="Times New Roman"/>
          <w:b/>
          <w:bCs/>
          <w:color w:val="000000"/>
          <w:sz w:val="20"/>
          <w:szCs w:val="20"/>
        </w:rPr>
        <w:t>EQUITABLE HOLDINGS, INC.</w:t>
      </w:r>
    </w:p>
    <w:p w:rsidR="00000000" w:rsidRDefault="00897B14">
      <w:pPr>
        <w:jc w:val="center"/>
        <w:divId w:val="603852981"/>
        <w:rPr>
          <w:rFonts w:eastAsia="Times New Roman"/>
        </w:rPr>
      </w:pPr>
      <w:r>
        <w:rPr>
          <w:rFonts w:eastAsia="Times New Roman"/>
          <w:b/>
          <w:bCs/>
          <w:color w:val="000000"/>
          <w:sz w:val="20"/>
          <w:szCs w:val="20"/>
        </w:rPr>
        <w:t>Notes to Consolidated Financial Statements (Unaudited), Continued</w:t>
      </w:r>
    </w:p>
    <w:p w:rsidR="00000000" w:rsidRDefault="00897B14">
      <w:pPr>
        <w:divId w:val="69265289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63"/>
        <w:gridCol w:w="37"/>
        <w:gridCol w:w="121"/>
        <w:gridCol w:w="667"/>
        <w:gridCol w:w="36"/>
        <w:gridCol w:w="36"/>
        <w:gridCol w:w="36"/>
        <w:gridCol w:w="36"/>
        <w:gridCol w:w="121"/>
        <w:gridCol w:w="803"/>
        <w:gridCol w:w="36"/>
        <w:gridCol w:w="36"/>
        <w:gridCol w:w="36"/>
        <w:gridCol w:w="36"/>
        <w:gridCol w:w="36"/>
        <w:gridCol w:w="36"/>
        <w:gridCol w:w="36"/>
        <w:gridCol w:w="46"/>
        <w:gridCol w:w="121"/>
        <w:gridCol w:w="469"/>
        <w:gridCol w:w="36"/>
        <w:gridCol w:w="36"/>
        <w:gridCol w:w="36"/>
        <w:gridCol w:w="36"/>
        <w:gridCol w:w="36"/>
        <w:gridCol w:w="36"/>
        <w:gridCol w:w="36"/>
        <w:gridCol w:w="36"/>
        <w:gridCol w:w="36"/>
        <w:gridCol w:w="36"/>
        <w:gridCol w:w="121"/>
        <w:gridCol w:w="446"/>
        <w:gridCol w:w="36"/>
        <w:gridCol w:w="36"/>
        <w:gridCol w:w="36"/>
        <w:gridCol w:w="36"/>
        <w:gridCol w:w="121"/>
        <w:gridCol w:w="696"/>
        <w:gridCol w:w="36"/>
      </w:tblGrid>
      <w:tr w:rsidR="00000000">
        <w:trPr>
          <w:jc w:val="center"/>
        </w:trPr>
        <w:tc>
          <w:tcPr>
            <w:tcW w:w="50" w:type="pct"/>
            <w:vAlign w:val="center"/>
            <w:hideMark/>
          </w:tcPr>
          <w:p w:rsidR="00000000" w:rsidRDefault="00897B14">
            <w:pPr>
              <w:rPr>
                <w:rFonts w:eastAsia="Times New Roman"/>
              </w:rPr>
            </w:pPr>
          </w:p>
        </w:tc>
        <w:tc>
          <w:tcPr>
            <w:tcW w:w="23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Asset- backed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Fixed maturities, at FVO</w:t>
            </w: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4"/>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jc w:val="center"/>
              <w:rPr>
                <w:rFonts w:eastAsia="Times New Roman"/>
              </w:rPr>
            </w:pPr>
          </w:p>
        </w:tc>
        <w:tc>
          <w:tcPr>
            <w:tcW w:w="0" w:type="auto"/>
            <w:tcBorders>
              <w:top w:val="single" w:sz="4"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60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Balance, April 1, 2020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1,185 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1,685 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384522208"/>
        <w:rPr>
          <w:rFonts w:eastAsia="Times New Roman"/>
        </w:rPr>
      </w:pPr>
    </w:p>
    <w:p w:rsidR="00000000" w:rsidRDefault="00897B14">
      <w:pPr>
        <w:divId w:val="440104801"/>
        <w:rPr>
          <w:rFonts w:eastAsia="Times New Roman"/>
        </w:rPr>
      </w:pPr>
    </w:p>
    <w:p w:rsidR="00000000" w:rsidRDefault="00897B14">
      <w:pPr>
        <w:jc w:val="center"/>
        <w:divId w:val="2087415733"/>
        <w:rPr>
          <w:rFonts w:eastAsia="Times New Roman"/>
        </w:rPr>
      </w:pPr>
    </w:p>
    <w:p w:rsidR="00000000" w:rsidRDefault="00897B14">
      <w:pPr>
        <w:jc w:val="center"/>
        <w:divId w:val="2087415733"/>
        <w:rPr>
          <w:rFonts w:eastAsia="Times New Roman"/>
        </w:rPr>
      </w:pPr>
      <w:r>
        <w:rPr>
          <w:rFonts w:eastAsia="Times New Roman"/>
          <w:color w:val="000000"/>
          <w:sz w:val="20"/>
          <w:szCs w:val="20"/>
        </w:rPr>
        <w:t>47</w:t>
      </w:r>
    </w:p>
    <w:p w:rsidR="00000000" w:rsidRDefault="00897B14">
      <w:pPr>
        <w:rPr>
          <w:rFonts w:eastAsia="Times New Roman"/>
        </w:rPr>
      </w:pPr>
      <w:r>
        <w:rPr>
          <w:rFonts w:eastAsia="Times New Roman"/>
        </w:rPr>
        <w:pict>
          <v:rect id="_x0000_i1073" style="width:0;height:1.5pt" o:hralign="center" o:hrstd="t" o:hr="t" fillcolor="#a0a0a0" stroked="f"/>
        </w:pict>
      </w:r>
    </w:p>
    <w:p w:rsidR="00000000" w:rsidRDefault="00897B14">
      <w:pPr>
        <w:divId w:val="1543130250"/>
        <w:rPr>
          <w:rFonts w:eastAsia="Times New Roman"/>
        </w:rPr>
      </w:pPr>
      <w:r>
        <w:rPr>
          <w:rFonts w:eastAsia="Times New Roman"/>
          <w:b/>
          <w:bCs/>
          <w:color w:val="0000FF"/>
          <w:sz w:val="20"/>
          <w:szCs w:val="20"/>
          <w:u w:val="single"/>
        </w:rPr>
        <w:t>Table of Contents</w:t>
      </w:r>
    </w:p>
    <w:p w:rsidR="00000000" w:rsidRDefault="00897B14">
      <w:pPr>
        <w:jc w:val="center"/>
        <w:divId w:val="2123378510"/>
        <w:rPr>
          <w:rFonts w:eastAsia="Times New Roman"/>
        </w:rPr>
      </w:pPr>
      <w:r>
        <w:rPr>
          <w:rFonts w:eastAsia="Times New Roman"/>
          <w:b/>
          <w:bCs/>
          <w:color w:val="000000"/>
          <w:sz w:val="20"/>
          <w:szCs w:val="20"/>
        </w:rPr>
        <w:t>EQUITABLE HOLDINGS, INC.</w:t>
      </w:r>
    </w:p>
    <w:p w:rsidR="00000000" w:rsidRDefault="00897B14">
      <w:pPr>
        <w:jc w:val="center"/>
        <w:divId w:val="2123378510"/>
        <w:rPr>
          <w:rFonts w:eastAsia="Times New Roman"/>
        </w:rPr>
      </w:pPr>
      <w:r>
        <w:rPr>
          <w:rFonts w:eastAsia="Times New Roman"/>
          <w:b/>
          <w:bCs/>
          <w:color w:val="000000"/>
          <w:sz w:val="20"/>
          <w:szCs w:val="20"/>
        </w:rPr>
        <w:t>Notes to Consolidated Financial Statements (Unaudited), Continued</w:t>
      </w:r>
    </w:p>
    <w:p w:rsidR="00000000" w:rsidRDefault="00897B14">
      <w:pPr>
        <w:divId w:val="1866940944"/>
        <w:rPr>
          <w:rFonts w:eastAsia="Times New Roman"/>
        </w:rPr>
      </w:pPr>
    </w:p>
    <w:p w:rsidR="00000000" w:rsidRDefault="00897B14">
      <w:pPr>
        <w:jc w:val="center"/>
        <w:rPr>
          <w:rFonts w:eastAsia="Times New Roman"/>
        </w:rPr>
      </w:pPr>
      <w:r>
        <w:rPr>
          <w:rFonts w:eastAsia="Times New Roman"/>
          <w:b/>
          <w:bCs/>
          <w:color w:val="000000"/>
          <w:sz w:val="20"/>
          <w:szCs w:val="20"/>
        </w:rPr>
        <w:t xml:space="preserve">Level 3 Instruments - Fair Value </w:t>
      </w:r>
      <w:r>
        <w:rPr>
          <w:rFonts w:eastAsia="Times New Roman"/>
          <w:b/>
          <w:bCs/>
          <w:color w:val="000000"/>
          <w:sz w:val="20"/>
          <w:szCs w:val="20"/>
        </w:rPr>
        <w:t>Measurements</w:t>
      </w:r>
    </w:p>
    <w:tbl>
      <w:tblPr>
        <w:tblW w:w="4985" w:type="pct"/>
        <w:tblCellMar>
          <w:top w:w="15" w:type="dxa"/>
          <w:left w:w="15" w:type="dxa"/>
          <w:bottom w:w="15" w:type="dxa"/>
          <w:right w:w="15" w:type="dxa"/>
        </w:tblCellMar>
        <w:tblLook w:val="04A0" w:firstRow="1" w:lastRow="0" w:firstColumn="1" w:lastColumn="0" w:noHBand="0" w:noVBand="1"/>
      </w:tblPr>
      <w:tblGrid>
        <w:gridCol w:w="40"/>
        <w:gridCol w:w="3543"/>
        <w:gridCol w:w="39"/>
        <w:gridCol w:w="121"/>
        <w:gridCol w:w="667"/>
        <w:gridCol w:w="36"/>
        <w:gridCol w:w="36"/>
        <w:gridCol w:w="36"/>
        <w:gridCol w:w="36"/>
        <w:gridCol w:w="121"/>
        <w:gridCol w:w="802"/>
        <w:gridCol w:w="36"/>
        <w:gridCol w:w="36"/>
        <w:gridCol w:w="36"/>
        <w:gridCol w:w="36"/>
        <w:gridCol w:w="36"/>
        <w:gridCol w:w="36"/>
        <w:gridCol w:w="36"/>
        <w:gridCol w:w="46"/>
        <w:gridCol w:w="121"/>
        <w:gridCol w:w="470"/>
        <w:gridCol w:w="36"/>
        <w:gridCol w:w="36"/>
        <w:gridCol w:w="36"/>
        <w:gridCol w:w="36"/>
        <w:gridCol w:w="36"/>
        <w:gridCol w:w="36"/>
        <w:gridCol w:w="36"/>
        <w:gridCol w:w="36"/>
        <w:gridCol w:w="36"/>
        <w:gridCol w:w="36"/>
        <w:gridCol w:w="121"/>
        <w:gridCol w:w="443"/>
        <w:gridCol w:w="36"/>
        <w:gridCol w:w="36"/>
        <w:gridCol w:w="36"/>
        <w:gridCol w:w="36"/>
        <w:gridCol w:w="121"/>
        <w:gridCol w:w="690"/>
        <w:gridCol w:w="36"/>
      </w:tblGrid>
      <w:tr w:rsidR="00000000">
        <w:trPr>
          <w:divId w:val="1770151375"/>
        </w:trPr>
        <w:tc>
          <w:tcPr>
            <w:tcW w:w="50" w:type="pct"/>
            <w:vAlign w:val="center"/>
            <w:hideMark/>
          </w:tcPr>
          <w:p w:rsidR="00000000" w:rsidRDefault="00897B14">
            <w:pPr>
              <w:jc w:val="center"/>
              <w:rPr>
                <w:rFonts w:eastAsia="Times New Roman"/>
              </w:rPr>
            </w:pPr>
          </w:p>
        </w:tc>
        <w:tc>
          <w:tcPr>
            <w:tcW w:w="240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State and</w:t>
            </w:r>
            <w:r>
              <w:rPr>
                <w:rFonts w:eastAsia="Times New Roman"/>
                <w:b/>
                <w:bCs/>
                <w:color w:val="000000"/>
                <w:sz w:val="16"/>
                <w:szCs w:val="16"/>
              </w:rPr>
              <w:br/>
              <w:t>Political</w:t>
            </w:r>
            <w:r>
              <w:rPr>
                <w:rFonts w:eastAsia="Times New Roman"/>
                <w:b/>
                <w:bCs/>
                <w:color w:val="000000"/>
                <w:sz w:val="16"/>
                <w:szCs w:val="16"/>
              </w:rPr>
              <w:br/>
              <w:t>Subdivisions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Fixed maturities, at FVO (2)</w:t>
            </w:r>
          </w:p>
        </w:tc>
      </w:tr>
      <w:tr w:rsidR="00000000">
        <w:trPr>
          <w:divId w:val="1770151375"/>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4"/>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jc w:val="center"/>
              <w:rPr>
                <w:rFonts w:eastAsia="Times New Roman"/>
              </w:rPr>
            </w:pPr>
          </w:p>
        </w:tc>
        <w:tc>
          <w:tcPr>
            <w:tcW w:w="0" w:type="auto"/>
            <w:tcBorders>
              <w:top w:val="single" w:sz="4"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60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(713)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1,257 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Purchases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Sales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1,685 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70151375"/>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70151375"/>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1636636521"/>
        <w:rPr>
          <w:rFonts w:eastAsia="Times New Roman"/>
        </w:rPr>
      </w:pPr>
      <w:r>
        <w:rPr>
          <w:rFonts w:eastAsia="Times New Roman"/>
          <w:color w:val="000000"/>
          <w:sz w:val="18"/>
          <w:szCs w:val="18"/>
        </w:rPr>
        <w:t>_____________</w:t>
      </w:r>
    </w:p>
    <w:p w:rsidR="00000000" w:rsidRDefault="00897B14">
      <w:pPr>
        <w:ind w:hanging="360"/>
        <w:divId w:val="805899232"/>
        <w:rPr>
          <w:rFonts w:eastAsia="Times New Roman"/>
        </w:rPr>
      </w:pPr>
      <w:r>
        <w:rPr>
          <w:rFonts w:eastAsia="Times New Roman"/>
          <w:color w:val="000000"/>
          <w:sz w:val="18"/>
          <w:szCs w:val="18"/>
        </w:rPr>
        <w:t>(1)</w:t>
      </w:r>
      <w:r>
        <w:rPr>
          <w:rFonts w:eastAsia="Times New Roman"/>
          <w:color w:val="000000"/>
          <w:sz w:val="18"/>
          <w:szCs w:val="18"/>
        </w:rPr>
        <w:t>Transfers into/out of the Level 3 classification are reflected at beginning-of-period fair values.</w:t>
      </w:r>
    </w:p>
    <w:p w:rsidR="00000000" w:rsidRDefault="00897B14">
      <w:pPr>
        <w:ind w:hanging="360"/>
        <w:divId w:val="605426579"/>
        <w:rPr>
          <w:rFonts w:eastAsia="Times New Roman"/>
        </w:rPr>
      </w:pPr>
      <w:r>
        <w:rPr>
          <w:rFonts w:eastAsia="Times New Roman"/>
          <w:color w:val="000000"/>
          <w:sz w:val="18"/>
          <w:szCs w:val="18"/>
        </w:rPr>
        <w:t>(2) Fixed maturities, at fair value using the fair value option.</w:t>
      </w:r>
    </w:p>
    <w:p w:rsidR="00000000" w:rsidRDefault="00897B14">
      <w:pPr>
        <w:jc w:val="center"/>
        <w:divId w:val="97065601"/>
        <w:rPr>
          <w:rFonts w:eastAsia="Times New Roman"/>
        </w:rPr>
      </w:pPr>
    </w:p>
    <w:p w:rsidR="00000000" w:rsidRDefault="00897B14">
      <w:pPr>
        <w:jc w:val="center"/>
        <w:divId w:val="97065601"/>
        <w:rPr>
          <w:rFonts w:eastAsia="Times New Roman"/>
        </w:rPr>
      </w:pPr>
      <w:r>
        <w:rPr>
          <w:rFonts w:eastAsia="Times New Roman"/>
          <w:color w:val="000000"/>
          <w:sz w:val="20"/>
          <w:szCs w:val="20"/>
        </w:rPr>
        <w:t>48</w:t>
      </w:r>
    </w:p>
    <w:p w:rsidR="00000000" w:rsidRDefault="00897B14">
      <w:pPr>
        <w:rPr>
          <w:rFonts w:eastAsia="Times New Roman"/>
        </w:rPr>
      </w:pPr>
      <w:r>
        <w:rPr>
          <w:rFonts w:eastAsia="Times New Roman"/>
        </w:rPr>
        <w:pict>
          <v:rect id="_x0000_i1074" style="width:0;height:1.5pt" o:hralign="center" o:hrstd="t" o:hr="t" fillcolor="#a0a0a0" stroked="f"/>
        </w:pict>
      </w:r>
    </w:p>
    <w:p w:rsidR="00000000" w:rsidRDefault="00897B14">
      <w:pPr>
        <w:divId w:val="1982154654"/>
        <w:rPr>
          <w:rFonts w:eastAsia="Times New Roman"/>
        </w:rPr>
      </w:pPr>
      <w:r>
        <w:rPr>
          <w:rFonts w:eastAsia="Times New Roman"/>
          <w:b/>
          <w:bCs/>
          <w:color w:val="0000FF"/>
          <w:sz w:val="20"/>
          <w:szCs w:val="20"/>
          <w:u w:val="single"/>
        </w:rPr>
        <w:t>Table of Contents</w:t>
      </w:r>
    </w:p>
    <w:p w:rsidR="00000000" w:rsidRDefault="00897B14">
      <w:pPr>
        <w:jc w:val="center"/>
        <w:divId w:val="1288394603"/>
        <w:rPr>
          <w:rFonts w:eastAsia="Times New Roman"/>
        </w:rPr>
      </w:pPr>
      <w:r>
        <w:rPr>
          <w:rFonts w:eastAsia="Times New Roman"/>
          <w:b/>
          <w:bCs/>
          <w:color w:val="000000"/>
          <w:sz w:val="20"/>
          <w:szCs w:val="20"/>
        </w:rPr>
        <w:t>EQUITABLE HOLDINGS, INC.</w:t>
      </w:r>
    </w:p>
    <w:p w:rsidR="00000000" w:rsidRDefault="00897B14">
      <w:pPr>
        <w:jc w:val="center"/>
        <w:divId w:val="1288394603"/>
        <w:rPr>
          <w:rFonts w:eastAsia="Times New Roman"/>
        </w:rPr>
      </w:pPr>
      <w:r>
        <w:rPr>
          <w:rFonts w:eastAsia="Times New Roman"/>
          <w:b/>
          <w:bCs/>
          <w:color w:val="000000"/>
          <w:sz w:val="20"/>
          <w:szCs w:val="20"/>
        </w:rPr>
        <w:t>Notes t</w:t>
      </w:r>
      <w:r>
        <w:rPr>
          <w:rFonts w:eastAsia="Times New Roman"/>
          <w:b/>
          <w:bCs/>
          <w:color w:val="000000"/>
          <w:sz w:val="20"/>
          <w:szCs w:val="20"/>
        </w:rPr>
        <w:t>o Consolidated Financial Statements (Unaudited), Continued</w:t>
      </w:r>
    </w:p>
    <w:p w:rsidR="00000000" w:rsidRDefault="00897B14">
      <w:pPr>
        <w:divId w:val="6091206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2346"/>
        <w:gridCol w:w="41"/>
        <w:gridCol w:w="121"/>
        <w:gridCol w:w="769"/>
        <w:gridCol w:w="36"/>
        <w:gridCol w:w="36"/>
        <w:gridCol w:w="36"/>
        <w:gridCol w:w="36"/>
        <w:gridCol w:w="121"/>
        <w:gridCol w:w="792"/>
        <w:gridCol w:w="36"/>
        <w:gridCol w:w="36"/>
        <w:gridCol w:w="36"/>
        <w:gridCol w:w="36"/>
        <w:gridCol w:w="121"/>
        <w:gridCol w:w="697"/>
        <w:gridCol w:w="36"/>
        <w:gridCol w:w="36"/>
        <w:gridCol w:w="36"/>
        <w:gridCol w:w="36"/>
        <w:gridCol w:w="121"/>
        <w:gridCol w:w="591"/>
        <w:gridCol w:w="36"/>
        <w:gridCol w:w="36"/>
        <w:gridCol w:w="36"/>
        <w:gridCol w:w="36"/>
        <w:gridCol w:w="120"/>
        <w:gridCol w:w="684"/>
        <w:gridCol w:w="36"/>
        <w:gridCol w:w="36"/>
        <w:gridCol w:w="36"/>
        <w:gridCol w:w="36"/>
        <w:gridCol w:w="121"/>
        <w:gridCol w:w="860"/>
        <w:gridCol w:w="36"/>
      </w:tblGrid>
      <w:tr w:rsidR="00000000">
        <w:trPr>
          <w:divId w:val="893540837"/>
        </w:trPr>
        <w:tc>
          <w:tcPr>
            <w:tcW w:w="50" w:type="pct"/>
            <w:vAlign w:val="center"/>
            <w:hideMark/>
          </w:tcPr>
          <w:p w:rsidR="00000000" w:rsidRDefault="00897B14">
            <w:pPr>
              <w:rPr>
                <w:rFonts w:eastAsia="Times New Roman"/>
              </w:rPr>
            </w:pPr>
          </w:p>
        </w:tc>
        <w:tc>
          <w:tcPr>
            <w:tcW w:w="175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7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7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GMIB Reinsurance Contract Asset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GMxB Derivative Features Liability</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Contingent Payment Arrangement</w:t>
            </w:r>
          </w:p>
        </w:tc>
      </w:tr>
      <w:tr w:rsidR="00000000">
        <w:trPr>
          <w:divId w:val="89354083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89354083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April 1, 2021</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1,907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(7,824)</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derivative gains (losses)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60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(7)</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5,259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into Level 3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out of Level 3 (5)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(8,455)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Balance, April 1, 2020</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(9,798)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(2,801)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60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(2,801)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w:t>
            </w:r>
            <w:r>
              <w:rPr>
                <w:rFonts w:eastAsia="Times New Roman"/>
                <w:color w:val="000000"/>
                <w:sz w:val="20"/>
                <w:szCs w:val="20"/>
              </w:rPr>
              <w:t>109)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into Level 3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out of Level 3 (5)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(12,689)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93540837"/>
          <w:trHeight w:val="6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9354083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firstLine="360"/>
        <w:divId w:val="1182739569"/>
        <w:rPr>
          <w:rFonts w:eastAsia="Times New Roman"/>
        </w:rPr>
      </w:pPr>
    </w:p>
    <w:p w:rsidR="00000000" w:rsidRDefault="00897B14">
      <w:pPr>
        <w:jc w:val="center"/>
        <w:divId w:val="52848575"/>
        <w:rPr>
          <w:rFonts w:eastAsia="Times New Roman"/>
        </w:rPr>
      </w:pPr>
    </w:p>
    <w:p w:rsidR="00000000" w:rsidRDefault="00897B14">
      <w:pPr>
        <w:jc w:val="center"/>
        <w:divId w:val="52848575"/>
        <w:rPr>
          <w:rFonts w:eastAsia="Times New Roman"/>
        </w:rPr>
      </w:pPr>
      <w:r>
        <w:rPr>
          <w:rFonts w:eastAsia="Times New Roman"/>
          <w:color w:val="000000"/>
          <w:sz w:val="20"/>
          <w:szCs w:val="20"/>
        </w:rPr>
        <w:t>49</w:t>
      </w:r>
    </w:p>
    <w:p w:rsidR="00000000" w:rsidRDefault="00897B14">
      <w:pPr>
        <w:rPr>
          <w:rFonts w:eastAsia="Times New Roman"/>
        </w:rPr>
      </w:pPr>
      <w:r>
        <w:rPr>
          <w:rFonts w:eastAsia="Times New Roman"/>
        </w:rPr>
        <w:pict>
          <v:rect id="_x0000_i1075" style="width:0;height:1.5pt" o:hralign="center" o:hrstd="t" o:hr="t" fillcolor="#a0a0a0" stroked="f"/>
        </w:pict>
      </w:r>
    </w:p>
    <w:p w:rsidR="00000000" w:rsidRDefault="00897B14">
      <w:pPr>
        <w:divId w:val="1773168044"/>
        <w:rPr>
          <w:rFonts w:eastAsia="Times New Roman"/>
        </w:rPr>
      </w:pPr>
      <w:r>
        <w:rPr>
          <w:rFonts w:eastAsia="Times New Roman"/>
          <w:b/>
          <w:bCs/>
          <w:color w:val="0000FF"/>
          <w:sz w:val="20"/>
          <w:szCs w:val="20"/>
          <w:u w:val="single"/>
        </w:rPr>
        <w:t>Table of Contents</w:t>
      </w:r>
    </w:p>
    <w:p w:rsidR="00000000" w:rsidRDefault="00897B14">
      <w:pPr>
        <w:jc w:val="center"/>
        <w:divId w:val="964694394"/>
        <w:rPr>
          <w:rFonts w:eastAsia="Times New Roman"/>
        </w:rPr>
      </w:pPr>
      <w:r>
        <w:rPr>
          <w:rFonts w:eastAsia="Times New Roman"/>
          <w:b/>
          <w:bCs/>
          <w:color w:val="000000"/>
          <w:sz w:val="20"/>
          <w:szCs w:val="20"/>
        </w:rPr>
        <w:t>EQUITABLE HOLDINGS, INC.</w:t>
      </w:r>
    </w:p>
    <w:p w:rsidR="00000000" w:rsidRDefault="00897B14">
      <w:pPr>
        <w:jc w:val="center"/>
        <w:divId w:val="964694394"/>
        <w:rPr>
          <w:rFonts w:eastAsia="Times New Roman"/>
        </w:rPr>
      </w:pPr>
      <w:r>
        <w:rPr>
          <w:rFonts w:eastAsia="Times New Roman"/>
          <w:b/>
          <w:bCs/>
          <w:color w:val="000000"/>
          <w:sz w:val="20"/>
          <w:szCs w:val="20"/>
        </w:rPr>
        <w:t>Notes to Consolidated Financial Statements (Unaudited), Continued</w:t>
      </w:r>
    </w:p>
    <w:p w:rsidR="00000000" w:rsidRDefault="00897B14">
      <w:pPr>
        <w:divId w:val="79941939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358"/>
        <w:gridCol w:w="42"/>
        <w:gridCol w:w="121"/>
        <w:gridCol w:w="763"/>
        <w:gridCol w:w="36"/>
        <w:gridCol w:w="36"/>
        <w:gridCol w:w="36"/>
        <w:gridCol w:w="36"/>
        <w:gridCol w:w="121"/>
        <w:gridCol w:w="793"/>
        <w:gridCol w:w="36"/>
        <w:gridCol w:w="36"/>
        <w:gridCol w:w="36"/>
        <w:gridCol w:w="36"/>
        <w:gridCol w:w="121"/>
        <w:gridCol w:w="693"/>
        <w:gridCol w:w="36"/>
        <w:gridCol w:w="36"/>
        <w:gridCol w:w="36"/>
        <w:gridCol w:w="36"/>
        <w:gridCol w:w="121"/>
        <w:gridCol w:w="589"/>
        <w:gridCol w:w="36"/>
        <w:gridCol w:w="36"/>
        <w:gridCol w:w="36"/>
        <w:gridCol w:w="36"/>
        <w:gridCol w:w="120"/>
        <w:gridCol w:w="684"/>
        <w:gridCol w:w="36"/>
        <w:gridCol w:w="36"/>
        <w:gridCol w:w="36"/>
        <w:gridCol w:w="36"/>
        <w:gridCol w:w="121"/>
        <w:gridCol w:w="860"/>
        <w:gridCol w:w="36"/>
      </w:tblGrid>
      <w:tr w:rsidR="00000000">
        <w:trPr>
          <w:divId w:val="1729380799"/>
        </w:trPr>
        <w:tc>
          <w:tcPr>
            <w:tcW w:w="50" w:type="pct"/>
            <w:vAlign w:val="center"/>
            <w:hideMark/>
          </w:tcPr>
          <w:p w:rsidR="00000000" w:rsidRDefault="00897B14">
            <w:pPr>
              <w:rPr>
                <w:rFonts w:eastAsia="Times New Roman"/>
              </w:rPr>
            </w:pPr>
          </w:p>
        </w:tc>
        <w:tc>
          <w:tcPr>
            <w:tcW w:w="198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GMIB Reinsurance </w:t>
            </w:r>
            <w:r>
              <w:rPr>
                <w:rFonts w:eastAsia="Times New Roman"/>
                <w:b/>
                <w:bCs/>
                <w:color w:val="000000"/>
                <w:sz w:val="16"/>
                <w:szCs w:val="16"/>
              </w:rPr>
              <w:br/>
              <w:t> </w:t>
            </w:r>
            <w:r>
              <w:rPr>
                <w:rFonts w:eastAsia="Times New Roman"/>
                <w:b/>
                <w:bCs/>
                <w:color w:val="000000"/>
                <w:sz w:val="16"/>
                <w:szCs w:val="16"/>
              </w:rPr>
              <w:t>Contract Asset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Contingent Payment Arrangement</w:t>
            </w:r>
          </w:p>
        </w:tc>
      </w:tr>
      <w:tr w:rsidR="00000000">
        <w:trPr>
          <w:divId w:val="1729380799"/>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(11,131)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2099204322"/>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258103918"/>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derivative gains (losses) (1) (6)</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614628589"/>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2,735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257837157"/>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944413256"/>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1362247754"/>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(7)</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5,259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1694457142"/>
              <w:rPr>
                <w:rFonts w:eastAsia="Times New Roman"/>
              </w:rPr>
            </w:pPr>
            <w:r>
              <w:rPr>
                <w:rFonts w:eastAsia="Times New Roman"/>
                <w:color w:val="000000"/>
                <w:sz w:val="20"/>
                <w:szCs w:val="20"/>
              </w:rPr>
              <w:t>Transfers into Level 3 (5)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59784361"/>
              <w:rPr>
                <w:rFonts w:eastAsia="Times New Roman"/>
              </w:rPr>
            </w:pPr>
            <w:r>
              <w:rPr>
                <w:rFonts w:eastAsia="Times New Roman"/>
                <w:color w:val="000000"/>
                <w:sz w:val="20"/>
                <w:szCs w:val="20"/>
              </w:rPr>
              <w:t>Transfers out of Level 3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June 30, 2021</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2,026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(8,455)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(8,502)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839 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(4,000)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60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(4,000)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Change in estimate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into Level 3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Transfers out of Level 3 (5)</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Balance, June 30, 2020</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2,931 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(12,689)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29380799"/>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938079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1591499464"/>
        <w:rPr>
          <w:rFonts w:eastAsia="Times New Roman"/>
        </w:rPr>
      </w:pPr>
      <w:r>
        <w:rPr>
          <w:rFonts w:eastAsia="Times New Roman"/>
          <w:color w:val="000000"/>
          <w:sz w:val="18"/>
          <w:szCs w:val="18"/>
        </w:rPr>
        <w:t>______________</w:t>
      </w:r>
    </w:p>
    <w:p w:rsidR="00000000" w:rsidRDefault="00897B14">
      <w:pPr>
        <w:ind w:hanging="360"/>
        <w:divId w:val="1218131617"/>
        <w:rPr>
          <w:rFonts w:eastAsia="Times New Roman"/>
        </w:rPr>
      </w:pPr>
      <w:r>
        <w:rPr>
          <w:rFonts w:eastAsia="Times New Roman"/>
          <w:color w:val="000000"/>
          <w:sz w:val="18"/>
          <w:szCs w:val="18"/>
        </w:rPr>
        <w:t>(1)For the three and six months ended June 30, 2021, the Company’s non-performance risk impact of $(60) million and $20 </w:t>
      </w:r>
      <w:r>
        <w:rPr>
          <w:rFonts w:eastAsia="Times New Roman"/>
          <w:color w:val="000000"/>
          <w:sz w:val="18"/>
          <w:szCs w:val="18"/>
        </w:rPr>
        <w:t xml:space="preserve">million for the GMxB Derivative Features Liability, $16 million and $1 million for the GMIB Reinsurance Contract Asset, and $12 million and $12 million for the Amounts Due from Reinsurers, respectively, is recorded through Net derivative gains (losses). </w:t>
      </w:r>
    </w:p>
    <w:p w:rsidR="00000000" w:rsidRDefault="00897B14">
      <w:pPr>
        <w:ind w:hanging="360"/>
        <w:divId w:val="1162890692"/>
        <w:rPr>
          <w:rFonts w:eastAsia="Times New Roman"/>
        </w:rPr>
      </w:pPr>
      <w:r>
        <w:rPr>
          <w:rFonts w:eastAsia="Times New Roman"/>
          <w:color w:val="000000"/>
          <w:sz w:val="18"/>
          <w:szCs w:val="18"/>
        </w:rPr>
        <w:t>(</w:t>
      </w:r>
      <w:r>
        <w:rPr>
          <w:rFonts w:eastAsia="Times New Roman"/>
          <w:color w:val="000000"/>
          <w:sz w:val="18"/>
          <w:szCs w:val="18"/>
        </w:rPr>
        <w:t>2)For the GMIB reinsurance contract asset, Amounts Due from Reinsurers and GMxB derivative features liability, represents attributed fee.</w:t>
      </w:r>
    </w:p>
    <w:p w:rsidR="00000000" w:rsidRDefault="00897B14">
      <w:pPr>
        <w:ind w:hanging="360"/>
        <w:divId w:val="1960990635"/>
        <w:rPr>
          <w:rFonts w:eastAsia="Times New Roman"/>
        </w:rPr>
      </w:pPr>
      <w:r>
        <w:rPr>
          <w:rFonts w:eastAsia="Times New Roman"/>
          <w:color w:val="000000"/>
          <w:sz w:val="18"/>
          <w:szCs w:val="18"/>
        </w:rPr>
        <w:t xml:space="preserve">(3)For the GMIB reinsurance contract asset and Amounts Due from Reinsurers, represents recoveries from reinsurers and </w:t>
      </w:r>
      <w:r>
        <w:rPr>
          <w:rFonts w:eastAsia="Times New Roman"/>
          <w:color w:val="000000"/>
          <w:sz w:val="18"/>
          <w:szCs w:val="18"/>
        </w:rPr>
        <w:t>for GMxB derivative features liability represents benefits paid.</w:t>
      </w:r>
    </w:p>
    <w:p w:rsidR="00000000" w:rsidRDefault="00897B14">
      <w:pPr>
        <w:ind w:hanging="360"/>
        <w:divId w:val="1358892848"/>
        <w:rPr>
          <w:rFonts w:eastAsia="Times New Roman"/>
        </w:rPr>
      </w:pPr>
      <w:r>
        <w:rPr>
          <w:rFonts w:eastAsia="Times New Roman"/>
          <w:color w:val="000000"/>
          <w:sz w:val="18"/>
          <w:szCs w:val="18"/>
        </w:rPr>
        <w:t>(4)For contingent payment arrangements, it represents payments under the arrangement.</w:t>
      </w:r>
    </w:p>
    <w:p w:rsidR="00000000" w:rsidRDefault="00897B14">
      <w:pPr>
        <w:ind w:hanging="360"/>
        <w:divId w:val="910458186"/>
        <w:rPr>
          <w:rFonts w:eastAsia="Times New Roman"/>
        </w:rPr>
      </w:pPr>
      <w:r>
        <w:rPr>
          <w:rFonts w:eastAsia="Times New Roman"/>
          <w:color w:val="000000"/>
          <w:sz w:val="18"/>
          <w:szCs w:val="18"/>
        </w:rPr>
        <w:t>(5)</w:t>
      </w:r>
      <w:r>
        <w:rPr>
          <w:rFonts w:eastAsia="Times New Roman"/>
          <w:color w:val="000000"/>
          <w:sz w:val="18"/>
          <w:szCs w:val="18"/>
        </w:rPr>
        <w:t>Transfers into/out of the Level 3 classification are reflected at beginning-of-period fair values.</w:t>
      </w:r>
    </w:p>
    <w:p w:rsidR="00000000" w:rsidRDefault="00897B14">
      <w:pPr>
        <w:ind w:hanging="360"/>
        <w:divId w:val="972370628"/>
        <w:rPr>
          <w:rFonts w:eastAsia="Times New Roman"/>
        </w:rPr>
      </w:pPr>
      <w:r>
        <w:rPr>
          <w:rFonts w:eastAsia="Times New Roman"/>
          <w:color w:val="000000"/>
          <w:sz w:val="18"/>
          <w:szCs w:val="18"/>
        </w:rPr>
        <w:t xml:space="preserve">(6)GMxB Derivative Features Liability excludes a $45 million settlement fee on CS Life reinsurance contract. </w:t>
      </w:r>
    </w:p>
    <w:p w:rsidR="00000000" w:rsidRDefault="00897B14">
      <w:pPr>
        <w:ind w:hanging="360"/>
        <w:divId w:val="313339721"/>
        <w:rPr>
          <w:rFonts w:eastAsia="Times New Roman"/>
        </w:rPr>
      </w:pPr>
      <w:r>
        <w:rPr>
          <w:rFonts w:eastAsia="Times New Roman"/>
          <w:color w:val="000000"/>
          <w:sz w:val="18"/>
          <w:szCs w:val="18"/>
        </w:rPr>
        <w:t>(7)Represents the opening ceded balance from th</w:t>
      </w:r>
      <w:r>
        <w:rPr>
          <w:rFonts w:eastAsia="Times New Roman"/>
          <w:color w:val="000000"/>
          <w:sz w:val="18"/>
          <w:szCs w:val="18"/>
        </w:rPr>
        <w:t>e Venerable transaction of the GMxB with no lapse guarantee riders.</w:t>
      </w:r>
    </w:p>
    <w:p w:rsidR="00000000" w:rsidRDefault="00897B14">
      <w:pPr>
        <w:ind w:firstLine="360"/>
        <w:divId w:val="605964498"/>
        <w:rPr>
          <w:rFonts w:eastAsia="Times New Roman"/>
        </w:rPr>
      </w:pPr>
    </w:p>
    <w:p w:rsidR="00000000" w:rsidRDefault="00897B14">
      <w:pPr>
        <w:divId w:val="1069886356"/>
        <w:rPr>
          <w:rFonts w:eastAsia="Times New Roman"/>
        </w:rPr>
      </w:pPr>
      <w:r>
        <w:rPr>
          <w:rFonts w:eastAsia="Times New Roman"/>
          <w:color w:val="000000"/>
          <w:sz w:val="20"/>
          <w:szCs w:val="20"/>
        </w:rPr>
        <w:t>The table below details changes in unrealized gains (losses) for the six months ended June 30, 2021 and 2020 by category for Level 3 assets and liabilities still held as of June 30, 2021</w:t>
      </w:r>
      <w:r>
        <w:rPr>
          <w:rFonts w:eastAsia="Times New Roman"/>
          <w:color w:val="000000"/>
          <w:sz w:val="20"/>
          <w:szCs w:val="20"/>
        </w:rPr>
        <w:t xml:space="preserve"> and 2020, respectively.</w:t>
      </w:r>
    </w:p>
    <w:p w:rsidR="00000000" w:rsidRDefault="00897B14">
      <w:pPr>
        <w:jc w:val="center"/>
        <w:divId w:val="1684627037"/>
        <w:rPr>
          <w:rFonts w:eastAsia="Times New Roman"/>
        </w:rPr>
      </w:pPr>
    </w:p>
    <w:p w:rsidR="00000000" w:rsidRDefault="00897B14">
      <w:pPr>
        <w:jc w:val="center"/>
        <w:divId w:val="1684627037"/>
        <w:rPr>
          <w:rFonts w:eastAsia="Times New Roman"/>
        </w:rPr>
      </w:pPr>
      <w:r>
        <w:rPr>
          <w:rFonts w:eastAsia="Times New Roman"/>
          <w:color w:val="000000"/>
          <w:sz w:val="20"/>
          <w:szCs w:val="20"/>
        </w:rPr>
        <w:t>50</w:t>
      </w:r>
    </w:p>
    <w:p w:rsidR="00000000" w:rsidRDefault="00897B14">
      <w:pPr>
        <w:rPr>
          <w:rFonts w:eastAsia="Times New Roman"/>
        </w:rPr>
      </w:pPr>
      <w:r>
        <w:rPr>
          <w:rFonts w:eastAsia="Times New Roman"/>
        </w:rPr>
        <w:pict>
          <v:rect id="_x0000_i1076" style="width:0;height:1.5pt" o:hralign="center" o:hrstd="t" o:hr="t" fillcolor="#a0a0a0" stroked="f"/>
        </w:pict>
      </w:r>
    </w:p>
    <w:p w:rsidR="00000000" w:rsidRDefault="00897B14">
      <w:pPr>
        <w:divId w:val="1127043076"/>
        <w:rPr>
          <w:rFonts w:eastAsia="Times New Roman"/>
        </w:rPr>
      </w:pPr>
      <w:r>
        <w:rPr>
          <w:rFonts w:eastAsia="Times New Roman"/>
          <w:b/>
          <w:bCs/>
          <w:color w:val="0000FF"/>
          <w:sz w:val="20"/>
          <w:szCs w:val="20"/>
          <w:u w:val="single"/>
        </w:rPr>
        <w:t>Table of Contents</w:t>
      </w:r>
    </w:p>
    <w:p w:rsidR="00000000" w:rsidRDefault="00897B14">
      <w:pPr>
        <w:jc w:val="center"/>
        <w:divId w:val="666059622"/>
        <w:rPr>
          <w:rFonts w:eastAsia="Times New Roman"/>
        </w:rPr>
      </w:pPr>
      <w:r>
        <w:rPr>
          <w:rFonts w:eastAsia="Times New Roman"/>
          <w:b/>
          <w:bCs/>
          <w:color w:val="000000"/>
          <w:sz w:val="20"/>
          <w:szCs w:val="20"/>
        </w:rPr>
        <w:t>EQUITABLE HOLDINGS, INC.</w:t>
      </w:r>
    </w:p>
    <w:p w:rsidR="00000000" w:rsidRDefault="00897B14">
      <w:pPr>
        <w:jc w:val="center"/>
        <w:divId w:val="666059622"/>
        <w:rPr>
          <w:rFonts w:eastAsia="Times New Roman"/>
        </w:rPr>
      </w:pPr>
      <w:r>
        <w:rPr>
          <w:rFonts w:eastAsia="Times New Roman"/>
          <w:b/>
          <w:bCs/>
          <w:color w:val="000000"/>
          <w:sz w:val="20"/>
          <w:szCs w:val="20"/>
        </w:rPr>
        <w:t>Notes to Consolidated Financial Statements (Unaudited), Continued</w:t>
      </w:r>
    </w:p>
    <w:p w:rsidR="00000000" w:rsidRDefault="00897B14">
      <w:pPr>
        <w:divId w:val="1297251071"/>
        <w:rPr>
          <w:rFonts w:eastAsia="Times New Roman"/>
        </w:rPr>
      </w:pPr>
    </w:p>
    <w:p w:rsidR="00000000" w:rsidRDefault="00897B14">
      <w:pPr>
        <w:jc w:val="center"/>
        <w:rPr>
          <w:rFonts w:eastAsia="Times New Roman"/>
        </w:rPr>
      </w:pPr>
      <w:r>
        <w:rPr>
          <w:rFonts w:eastAsia="Times New Roman"/>
          <w:b/>
          <w:bCs/>
          <w:color w:val="000000"/>
          <w:sz w:val="20"/>
          <w:szCs w:val="20"/>
        </w:rPr>
        <w:t>Change in Unrealized Gains (Losses) for Level 3 Instruments</w:t>
      </w:r>
    </w:p>
    <w:tbl>
      <w:tblPr>
        <w:tblW w:w="4956" w:type="pct"/>
        <w:tblCellMar>
          <w:top w:w="15" w:type="dxa"/>
          <w:left w:w="15" w:type="dxa"/>
          <w:bottom w:w="15" w:type="dxa"/>
          <w:right w:w="15" w:type="dxa"/>
        </w:tblCellMar>
        <w:tblLook w:val="04A0" w:firstRow="1" w:lastRow="0" w:firstColumn="1" w:lastColumn="0" w:noHBand="0" w:noVBand="1"/>
      </w:tblPr>
      <w:tblGrid>
        <w:gridCol w:w="41"/>
        <w:gridCol w:w="5533"/>
        <w:gridCol w:w="40"/>
        <w:gridCol w:w="36"/>
        <w:gridCol w:w="36"/>
        <w:gridCol w:w="121"/>
        <w:gridCol w:w="1081"/>
        <w:gridCol w:w="37"/>
        <w:gridCol w:w="36"/>
        <w:gridCol w:w="36"/>
        <w:gridCol w:w="36"/>
        <w:gridCol w:w="120"/>
        <w:gridCol w:w="1044"/>
        <w:gridCol w:w="36"/>
      </w:tblGrid>
      <w:tr w:rsidR="00000000">
        <w:trPr>
          <w:divId w:val="506016171"/>
        </w:trPr>
        <w:tc>
          <w:tcPr>
            <w:tcW w:w="50" w:type="pct"/>
            <w:vAlign w:val="center"/>
            <w:hideMark/>
          </w:tcPr>
          <w:p w:rsidR="00000000" w:rsidRDefault="00897B14">
            <w:pPr>
              <w:jc w:val="center"/>
              <w:rPr>
                <w:rFonts w:eastAsia="Times New Roman"/>
              </w:rPr>
            </w:pPr>
          </w:p>
        </w:tc>
        <w:tc>
          <w:tcPr>
            <w:tcW w:w="341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8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8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Income (Loss)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w:t>
            </w:r>
          </w:p>
        </w:tc>
      </w:tr>
      <w:tr w:rsidR="00000000">
        <w:trPr>
          <w:divId w:val="506016171"/>
        </w:trPr>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Net Derivative Gains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OCI</w:t>
            </w:r>
          </w:p>
        </w:tc>
      </w:tr>
      <w:tr w:rsidR="00000000">
        <w:trPr>
          <w:divId w:val="50601617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506016171"/>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Held at June 30, 2021:</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Change in unrealized gains (losses):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Fixed maturities, AFS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Corporate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State and political subdivisions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Asset-backed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FFFF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fixed maturities, AFS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Amounts Due from Reinsurers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GMIB reinsurance contracts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Separate Account assets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GMxB derivative features liability</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Total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Held at June 30, 2020:</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Change in unrealized gains (losses):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Fixed maturities, AFS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Corporate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State and political subdivisions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Asset-backed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fixed maturities, AFS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GMIB reinsurance contracts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Separate Account assets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GMxB derivative features liability</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(4,000)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shd w:val="clear" w:color="auto" w:fill="CCEE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Total </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(3,161)</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50601617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50601617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2092509632"/>
        <w:rPr>
          <w:rFonts w:eastAsia="Times New Roman"/>
        </w:rPr>
      </w:pPr>
    </w:p>
    <w:p w:rsidR="00000000" w:rsidRDefault="00897B14">
      <w:pPr>
        <w:ind w:hanging="360"/>
        <w:divId w:val="1379283835"/>
        <w:rPr>
          <w:rFonts w:eastAsia="Times New Roman"/>
        </w:rPr>
      </w:pPr>
    </w:p>
    <w:p w:rsidR="00000000" w:rsidRDefault="00897B14">
      <w:pPr>
        <w:jc w:val="center"/>
        <w:divId w:val="2048294820"/>
        <w:rPr>
          <w:rFonts w:eastAsia="Times New Roman"/>
        </w:rPr>
      </w:pPr>
    </w:p>
    <w:p w:rsidR="00000000" w:rsidRDefault="00897B14">
      <w:pPr>
        <w:jc w:val="center"/>
        <w:divId w:val="2048294820"/>
        <w:rPr>
          <w:rFonts w:eastAsia="Times New Roman"/>
        </w:rPr>
      </w:pPr>
      <w:r>
        <w:rPr>
          <w:rFonts w:eastAsia="Times New Roman"/>
          <w:color w:val="000000"/>
          <w:sz w:val="20"/>
          <w:szCs w:val="20"/>
        </w:rPr>
        <w:t>51</w:t>
      </w:r>
    </w:p>
    <w:p w:rsidR="00000000" w:rsidRDefault="00897B14">
      <w:pPr>
        <w:rPr>
          <w:rFonts w:eastAsia="Times New Roman"/>
        </w:rPr>
      </w:pPr>
      <w:r>
        <w:rPr>
          <w:rFonts w:eastAsia="Times New Roman"/>
        </w:rPr>
        <w:pict>
          <v:rect id="_x0000_i1077" style="width:0;height:1.5pt" o:hralign="center" o:hrstd="t" o:hr="t" fillcolor="#a0a0a0" stroked="f"/>
        </w:pict>
      </w:r>
    </w:p>
    <w:p w:rsidR="00000000" w:rsidRDefault="00897B14">
      <w:pPr>
        <w:divId w:val="1525173079"/>
        <w:rPr>
          <w:rFonts w:eastAsia="Times New Roman"/>
        </w:rPr>
      </w:pPr>
      <w:r>
        <w:rPr>
          <w:rFonts w:eastAsia="Times New Roman"/>
          <w:b/>
          <w:bCs/>
          <w:color w:val="0000FF"/>
          <w:sz w:val="20"/>
          <w:szCs w:val="20"/>
          <w:u w:val="single"/>
        </w:rPr>
        <w:t>Table of Contents</w:t>
      </w:r>
    </w:p>
    <w:p w:rsidR="00000000" w:rsidRDefault="00897B14">
      <w:pPr>
        <w:jc w:val="center"/>
        <w:divId w:val="2021350842"/>
        <w:rPr>
          <w:rFonts w:eastAsia="Times New Roman"/>
        </w:rPr>
      </w:pPr>
      <w:r>
        <w:rPr>
          <w:rFonts w:eastAsia="Times New Roman"/>
          <w:b/>
          <w:bCs/>
          <w:color w:val="000000"/>
          <w:sz w:val="20"/>
          <w:szCs w:val="20"/>
        </w:rPr>
        <w:t>EQUITABLE HOLDINGS, INC.</w:t>
      </w:r>
    </w:p>
    <w:p w:rsidR="00000000" w:rsidRDefault="00897B14">
      <w:pPr>
        <w:jc w:val="center"/>
        <w:divId w:val="2021350842"/>
        <w:rPr>
          <w:rFonts w:eastAsia="Times New Roman"/>
        </w:rPr>
      </w:pPr>
      <w:r>
        <w:rPr>
          <w:rFonts w:eastAsia="Times New Roman"/>
          <w:b/>
          <w:bCs/>
          <w:color w:val="000000"/>
          <w:sz w:val="20"/>
          <w:szCs w:val="20"/>
        </w:rPr>
        <w:t>Notes to Consolidated Financial Statements (Unaudited), Continued</w:t>
      </w:r>
    </w:p>
    <w:p w:rsidR="00000000" w:rsidRDefault="00897B14">
      <w:pPr>
        <w:divId w:val="1945722019"/>
        <w:rPr>
          <w:rFonts w:eastAsia="Times New Roman"/>
        </w:rPr>
      </w:pPr>
    </w:p>
    <w:p w:rsidR="00000000" w:rsidRDefault="00897B14">
      <w:pPr>
        <w:divId w:val="1176187696"/>
        <w:rPr>
          <w:rFonts w:eastAsia="Times New Roman"/>
        </w:rPr>
      </w:pPr>
      <w:r>
        <w:rPr>
          <w:rFonts w:eastAsia="Times New Roman"/>
          <w:color w:val="000000"/>
          <w:sz w:val="20"/>
          <w:szCs w:val="20"/>
          <w:u w:val="single"/>
        </w:rPr>
        <w:t>Quantitative and Qualitative Information about Level 3 Fair Value Measurements</w:t>
      </w:r>
    </w:p>
    <w:p w:rsidR="00000000" w:rsidRDefault="00897B14">
      <w:pPr>
        <w:divId w:val="1088775100"/>
        <w:rPr>
          <w:rFonts w:eastAsia="Times New Roman"/>
        </w:rPr>
      </w:pPr>
      <w:r>
        <w:rPr>
          <w:rFonts w:eastAsia="Times New Roman"/>
          <w:color w:val="000000"/>
          <w:sz w:val="20"/>
          <w:szCs w:val="20"/>
        </w:rPr>
        <w:t xml:space="preserve">The following tables disclose </w:t>
      </w:r>
      <w:r>
        <w:rPr>
          <w:rFonts w:eastAsia="Times New Roman"/>
          <w:color w:val="000000"/>
          <w:sz w:val="20"/>
          <w:szCs w:val="20"/>
        </w:rPr>
        <w:t>quantitative information about Level 3 fair value measurements by category for assets and liabilities as of June 30, 2021 and December 31, 2020, respectively.</w:t>
      </w:r>
    </w:p>
    <w:p w:rsidR="00000000" w:rsidRDefault="00897B14">
      <w:pPr>
        <w:jc w:val="center"/>
        <w:rPr>
          <w:rFonts w:eastAsia="Times New Roman"/>
        </w:rPr>
      </w:pPr>
      <w:r>
        <w:rPr>
          <w:rFonts w:eastAsia="Times New Roman"/>
          <w:b/>
          <w:bCs/>
          <w:color w:val="000000"/>
          <w:sz w:val="20"/>
          <w:szCs w:val="20"/>
        </w:rPr>
        <w:t>Quantitative Information about Level 3 Fair Value Measurements as of June 30,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1708"/>
        <w:gridCol w:w="38"/>
        <w:gridCol w:w="111"/>
        <w:gridCol w:w="396"/>
        <w:gridCol w:w="36"/>
        <w:gridCol w:w="36"/>
        <w:gridCol w:w="36"/>
        <w:gridCol w:w="36"/>
        <w:gridCol w:w="85"/>
        <w:gridCol w:w="833"/>
        <w:gridCol w:w="37"/>
        <w:gridCol w:w="36"/>
        <w:gridCol w:w="36"/>
        <w:gridCol w:w="36"/>
        <w:gridCol w:w="37"/>
        <w:gridCol w:w="2167"/>
        <w:gridCol w:w="36"/>
        <w:gridCol w:w="36"/>
        <w:gridCol w:w="36"/>
        <w:gridCol w:w="36"/>
        <w:gridCol w:w="46"/>
        <w:gridCol w:w="1008"/>
        <w:gridCol w:w="37"/>
        <w:gridCol w:w="36"/>
        <w:gridCol w:w="36"/>
        <w:gridCol w:w="36"/>
        <w:gridCol w:w="45"/>
        <w:gridCol w:w="1155"/>
        <w:gridCol w:w="36"/>
      </w:tblGrid>
      <w:tr w:rsidR="00000000">
        <w:trPr>
          <w:divId w:val="345178400"/>
          <w:jc w:val="center"/>
        </w:trPr>
        <w:tc>
          <w:tcPr>
            <w:tcW w:w="50" w:type="pct"/>
            <w:vAlign w:val="center"/>
            <w:hideMark/>
          </w:tcPr>
          <w:p w:rsidR="00000000" w:rsidRDefault="00897B14">
            <w:pPr>
              <w:jc w:val="center"/>
              <w:rPr>
                <w:rFonts w:eastAsia="Times New Roman"/>
              </w:rPr>
            </w:pPr>
          </w:p>
        </w:tc>
        <w:tc>
          <w:tcPr>
            <w:tcW w:w="105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34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7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34517840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w:t>
            </w:r>
          </w:p>
          <w:p w:rsidR="00000000" w:rsidRDefault="00897B14">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Valuation</w:t>
            </w:r>
          </w:p>
          <w:p w:rsidR="00000000" w:rsidRDefault="00897B14">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Significant</w:t>
            </w:r>
          </w:p>
          <w:p w:rsidR="00000000" w:rsidRDefault="00897B14">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Weighted Average (2)</w:t>
            </w:r>
          </w:p>
        </w:tc>
      </w:tr>
      <w:tr w:rsidR="00000000">
        <w:trPr>
          <w:divId w:val="345178400"/>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345178400"/>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345178400"/>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345178400"/>
          <w:jc w:val="center"/>
        </w:trPr>
        <w:tc>
          <w:tcPr>
            <w:tcW w:w="0" w:type="auto"/>
            <w:gridSpan w:val="3"/>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345178400"/>
          <w:jc w:val="center"/>
        </w:trPr>
        <w:tc>
          <w:tcPr>
            <w:tcW w:w="0" w:type="auto"/>
            <w:gridSpan w:val="3"/>
            <w:tcBorders>
              <w:top w:val="single" w:sz="2" w:space="0" w:color="000000"/>
            </w:tcBorders>
            <w:shd w:val="clear" w:color="auto" w:fill="CCEEFF"/>
            <w:tcMar>
              <w:top w:w="30" w:type="dxa"/>
              <w:left w:w="515"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155</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20 - 320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97 bps</w:t>
            </w:r>
          </w:p>
        </w:tc>
      </w:tr>
      <w:tr w:rsidR="00000000">
        <w:trPr>
          <w:divId w:val="345178400"/>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799</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EBITDA multiples</w:t>
            </w:r>
          </w:p>
          <w:p w:rsidR="00000000" w:rsidRDefault="00897B14">
            <w:pPr>
              <w:spacing w:after="100"/>
              <w:jc w:val="right"/>
              <w:rPr>
                <w:rFonts w:eastAsia="Times New Roman"/>
              </w:rPr>
            </w:pPr>
            <w:r>
              <w:rPr>
                <w:rFonts w:eastAsia="Times New Roman"/>
                <w:color w:val="000000"/>
                <w:sz w:val="18"/>
                <w:szCs w:val="18"/>
              </w:rPr>
              <w:t>Discount rate</w:t>
            </w:r>
          </w:p>
          <w:p w:rsidR="00000000" w:rsidRDefault="00897B14">
            <w:pPr>
              <w:spacing w:after="100"/>
              <w:jc w:val="right"/>
              <w:rPr>
                <w:rFonts w:eastAsia="Times New Roman"/>
              </w:rPr>
            </w:pPr>
            <w:r>
              <w:rPr>
                <w:rFonts w:eastAsia="Times New Roman"/>
                <w:color w:val="000000"/>
                <w:sz w:val="18"/>
                <w:szCs w:val="18"/>
              </w:rPr>
              <w:t>Cashflow multiples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4.5x - 26.5x</w:t>
            </w:r>
          </w:p>
          <w:p w:rsidR="00000000" w:rsidRDefault="00897B14">
            <w:pPr>
              <w:spacing w:after="100"/>
              <w:jc w:val="center"/>
              <w:rPr>
                <w:rFonts w:eastAsia="Times New Roman"/>
              </w:rPr>
            </w:pPr>
            <w:r>
              <w:rPr>
                <w:rFonts w:eastAsia="Times New Roman"/>
                <w:b/>
                <w:bCs/>
                <w:color w:val="000000"/>
                <w:sz w:val="18"/>
                <w:szCs w:val="18"/>
              </w:rPr>
              <w:t>5.88% - 14.58%</w:t>
            </w:r>
          </w:p>
          <w:p w:rsidR="00000000" w:rsidRDefault="00897B14">
            <w:pPr>
              <w:spacing w:after="100"/>
              <w:jc w:val="center"/>
              <w:rPr>
                <w:rFonts w:eastAsia="Times New Roman"/>
              </w:rPr>
            </w:pPr>
            <w:r>
              <w:rPr>
                <w:rFonts w:eastAsia="Times New Roman"/>
                <w:b/>
                <w:bCs/>
                <w:color w:val="000000"/>
                <w:sz w:val="18"/>
                <w:szCs w:val="18"/>
              </w:rPr>
              <w:t>0.4x - 16.9x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11.2x</w:t>
            </w:r>
          </w:p>
          <w:p w:rsidR="00000000" w:rsidRDefault="00897B14">
            <w:pPr>
              <w:spacing w:after="100"/>
              <w:jc w:val="center"/>
              <w:rPr>
                <w:rFonts w:eastAsia="Times New Roman"/>
              </w:rPr>
            </w:pPr>
            <w:r>
              <w:rPr>
                <w:rFonts w:eastAsia="Times New Roman"/>
                <w:b/>
                <w:bCs/>
                <w:color w:val="000000"/>
                <w:sz w:val="18"/>
                <w:szCs w:val="18"/>
              </w:rPr>
              <w:t>9.0%</w:t>
            </w:r>
          </w:p>
          <w:p w:rsidR="00000000" w:rsidRDefault="00897B14">
            <w:pPr>
              <w:spacing w:after="100"/>
              <w:jc w:val="center"/>
              <w:rPr>
                <w:rFonts w:eastAsia="Times New Roman"/>
              </w:rPr>
            </w:pPr>
            <w:r>
              <w:rPr>
                <w:rFonts w:eastAsia="Times New Roman"/>
                <w:b/>
                <w:bCs/>
                <w:color w:val="000000"/>
                <w:sz w:val="18"/>
                <w:szCs w:val="18"/>
              </w:rPr>
              <w:t>6.3x</w:t>
            </w:r>
          </w:p>
        </w:tc>
      </w:tr>
      <w:tr w:rsidR="00000000">
        <w:trPr>
          <w:divId w:val="345178400"/>
          <w:jc w:val="center"/>
        </w:trPr>
        <w:tc>
          <w:tcPr>
            <w:tcW w:w="0" w:type="auto"/>
            <w:gridSpan w:val="3"/>
            <w:tcBorders>
              <w:top w:val="single" w:sz="2" w:space="0" w:color="000000"/>
            </w:tcBorders>
            <w:shd w:val="clear" w:color="auto" w:fill="CCEEFF"/>
            <w:tcMar>
              <w:top w:w="30" w:type="dxa"/>
              <w:left w:w="515"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3</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Revenue multiple</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8.5x - 11.0x</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10.5x</w:t>
            </w:r>
          </w:p>
        </w:tc>
      </w:tr>
      <w:tr w:rsidR="00000000">
        <w:trPr>
          <w:divId w:val="345178400"/>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39</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Earnings multiple</w:t>
            </w:r>
          </w:p>
          <w:p w:rsidR="00000000" w:rsidRDefault="00897B14">
            <w:pPr>
              <w:spacing w:after="100"/>
              <w:jc w:val="right"/>
              <w:rPr>
                <w:rFonts w:eastAsia="Times New Roman"/>
              </w:rPr>
            </w:pPr>
            <w:r>
              <w:rPr>
                <w:rFonts w:eastAsia="Times New Roman"/>
                <w:color w:val="000000"/>
                <w:sz w:val="18"/>
                <w:szCs w:val="18"/>
              </w:rPr>
              <w:t>Discount factor</w:t>
            </w:r>
          </w:p>
          <w:p w:rsidR="00000000" w:rsidRDefault="00897B14">
            <w:pPr>
              <w:spacing w:after="100"/>
              <w:jc w:val="right"/>
              <w:rPr>
                <w:rFonts w:eastAsia="Times New Roman"/>
              </w:rPr>
            </w:pPr>
            <w:r>
              <w:rPr>
                <w:rFonts w:eastAsia="Times New Roman"/>
                <w:color w:val="000000"/>
                <w:sz w:val="18"/>
                <w:szCs w:val="18"/>
              </w:rPr>
              <w:t>Discount years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8.2x</w:t>
            </w:r>
          </w:p>
          <w:p w:rsidR="00000000" w:rsidRDefault="00897B14">
            <w:pPr>
              <w:spacing w:after="100"/>
              <w:jc w:val="center"/>
              <w:rPr>
                <w:rFonts w:eastAsia="Times New Roman"/>
              </w:rPr>
            </w:pPr>
            <w:r>
              <w:rPr>
                <w:rFonts w:eastAsia="Times New Roman"/>
                <w:b/>
                <w:bCs/>
                <w:color w:val="000000"/>
                <w:sz w:val="18"/>
                <w:szCs w:val="18"/>
              </w:rPr>
              <w:t>10.0%</w:t>
            </w:r>
          </w:p>
          <w:p w:rsidR="00000000" w:rsidRDefault="00897B14">
            <w:pPr>
              <w:spacing w:after="100"/>
              <w:jc w:val="center"/>
              <w:rPr>
                <w:rFonts w:eastAsia="Times New Roman"/>
              </w:rPr>
            </w:pPr>
            <w:r>
              <w:rPr>
                <w:rFonts w:eastAsia="Times New Roman"/>
                <w:b/>
                <w:bCs/>
                <w:color w:val="000000"/>
                <w:sz w:val="18"/>
                <w:szCs w:val="18"/>
              </w:rPr>
              <w:t>11</w:t>
            </w:r>
          </w:p>
          <w:p w:rsidR="00000000" w:rsidRDefault="00897B14">
            <w:pPr>
              <w:spacing w:after="100"/>
              <w:jc w:val="center"/>
              <w:rPr>
                <w:rFonts w:eastAsia="Times New Roman"/>
              </w:rPr>
            </w:pPr>
          </w:p>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345178400"/>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2,026</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GMIB Utilization Rates</w:t>
            </w:r>
          </w:p>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Volatility rates - Equity</w:t>
            </w:r>
          </w:p>
          <w:p w:rsidR="00000000" w:rsidRDefault="00897B14">
            <w:pPr>
              <w:spacing w:after="100"/>
              <w:jc w:val="right"/>
              <w:rPr>
                <w:rFonts w:eastAsia="Times New Roman"/>
              </w:rPr>
            </w:pPr>
            <w:r>
              <w:rPr>
                <w:rFonts w:eastAsia="Times New Roman"/>
                <w:color w:val="000000"/>
                <w:sz w:val="18"/>
                <w:szCs w:val="18"/>
              </w:rPr>
              <w:t>Mortality: Ages 0-40</w:t>
            </w:r>
          </w:p>
          <w:p w:rsidR="00000000" w:rsidRDefault="00897B14">
            <w:pPr>
              <w:spacing w:after="100"/>
              <w:jc w:val="right"/>
              <w:rPr>
                <w:rFonts w:eastAsia="Times New Roman"/>
              </w:rPr>
            </w:pPr>
            <w:r>
              <w:rPr>
                <w:rFonts w:eastAsia="Times New Roman"/>
                <w:color w:val="000000"/>
                <w:sz w:val="18"/>
                <w:szCs w:val="18"/>
              </w:rPr>
              <w:t>Ages 41-60</w:t>
            </w:r>
          </w:p>
          <w:p w:rsidR="00000000" w:rsidRDefault="00897B14">
            <w:pPr>
              <w:spacing w:after="100"/>
              <w:jc w:val="right"/>
              <w:rPr>
                <w:rFonts w:eastAsia="Times New Roman"/>
              </w:rPr>
            </w:pPr>
            <w:r>
              <w:rPr>
                <w:rFonts w:eastAsia="Times New Roman"/>
                <w:color w:val="000000"/>
                <w:sz w:val="18"/>
                <w:szCs w:val="18"/>
              </w:rPr>
              <w:t>Ages 61-115</w:t>
            </w:r>
          </w:p>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0.56%-15.62%</w:t>
            </w:r>
          </w:p>
          <w:p w:rsidR="00000000" w:rsidRDefault="00897B14">
            <w:pPr>
              <w:spacing w:after="100"/>
              <w:jc w:val="center"/>
              <w:rPr>
                <w:rFonts w:eastAsia="Times New Roman"/>
              </w:rPr>
            </w:pPr>
            <w:r>
              <w:rPr>
                <w:rFonts w:eastAsia="Times New Roman"/>
                <w:b/>
                <w:bCs/>
                <w:color w:val="000000"/>
                <w:sz w:val="18"/>
                <w:szCs w:val="18"/>
              </w:rPr>
              <w:t>0.36%-2.03%</w:t>
            </w:r>
          </w:p>
          <w:p w:rsidR="00000000" w:rsidRDefault="00897B14">
            <w:pPr>
              <w:spacing w:after="100"/>
              <w:jc w:val="center"/>
              <w:rPr>
                <w:rFonts w:eastAsia="Times New Roman"/>
              </w:rPr>
            </w:pPr>
            <w:r>
              <w:rPr>
                <w:rFonts w:eastAsia="Times New Roman"/>
                <w:b/>
                <w:bCs/>
                <w:color w:val="000000"/>
                <w:sz w:val="18"/>
                <w:szCs w:val="18"/>
              </w:rPr>
              <w:t>0.04%-</w:t>
            </w:r>
            <w:r>
              <w:rPr>
                <w:rFonts w:eastAsia="Times New Roman"/>
                <w:b/>
                <w:bCs/>
                <w:color w:val="000000"/>
                <w:sz w:val="18"/>
                <w:szCs w:val="18"/>
              </w:rPr>
              <w:t>60.91%</w:t>
            </w:r>
          </w:p>
          <w:p w:rsidR="00000000" w:rsidRDefault="00897B14">
            <w:pPr>
              <w:spacing w:after="100"/>
              <w:jc w:val="center"/>
              <w:rPr>
                <w:rFonts w:eastAsia="Times New Roman"/>
              </w:rPr>
            </w:pPr>
            <w:r>
              <w:rPr>
                <w:rFonts w:eastAsia="Times New Roman"/>
                <w:b/>
                <w:bCs/>
                <w:color w:val="000000"/>
                <w:sz w:val="18"/>
                <w:szCs w:val="18"/>
              </w:rPr>
              <w:t>43 bps - 85 bps</w:t>
            </w:r>
          </w:p>
          <w:p w:rsidR="00000000" w:rsidRDefault="00897B14">
            <w:pPr>
              <w:spacing w:after="100"/>
              <w:jc w:val="center"/>
              <w:rPr>
                <w:rFonts w:eastAsia="Times New Roman"/>
              </w:rPr>
            </w:pPr>
            <w:r>
              <w:rPr>
                <w:rFonts w:eastAsia="Times New Roman"/>
                <w:b/>
                <w:bCs/>
                <w:color w:val="000000"/>
                <w:sz w:val="18"/>
                <w:szCs w:val="18"/>
              </w:rPr>
              <w:t>9%-28%</w:t>
            </w:r>
          </w:p>
          <w:p w:rsidR="00000000" w:rsidRDefault="00897B14">
            <w:pPr>
              <w:spacing w:after="100"/>
              <w:jc w:val="center"/>
              <w:rPr>
                <w:rFonts w:eastAsia="Times New Roman"/>
              </w:rPr>
            </w:pPr>
            <w:r>
              <w:rPr>
                <w:rFonts w:eastAsia="Times New Roman"/>
                <w:b/>
                <w:bCs/>
                <w:color w:val="000000"/>
                <w:sz w:val="18"/>
                <w:szCs w:val="18"/>
              </w:rPr>
              <w:t>0.01%-0.18%</w:t>
            </w:r>
          </w:p>
          <w:p w:rsidR="00000000" w:rsidRDefault="00897B14">
            <w:pPr>
              <w:spacing w:after="100"/>
              <w:jc w:val="center"/>
              <w:rPr>
                <w:rFonts w:eastAsia="Times New Roman"/>
              </w:rPr>
            </w:pPr>
            <w:r>
              <w:rPr>
                <w:rFonts w:eastAsia="Times New Roman"/>
                <w:b/>
                <w:bCs/>
                <w:color w:val="000000"/>
                <w:sz w:val="18"/>
                <w:szCs w:val="18"/>
              </w:rPr>
              <w:t>0.07%-0.54%</w:t>
            </w:r>
          </w:p>
          <w:p w:rsidR="00000000" w:rsidRDefault="00897B14">
            <w:pPr>
              <w:spacing w:after="100"/>
              <w:jc w:val="center"/>
              <w:rPr>
                <w:rFonts w:eastAsia="Times New Roman"/>
              </w:rPr>
            </w:pPr>
            <w:r>
              <w:rPr>
                <w:rFonts w:eastAsia="Times New Roman"/>
                <w:b/>
                <w:bCs/>
                <w:color w:val="000000"/>
                <w:sz w:val="18"/>
                <w:szCs w:val="18"/>
              </w:rPr>
              <w:t>0.42%-42.20%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1.89%</w:t>
            </w:r>
          </w:p>
          <w:p w:rsidR="00000000" w:rsidRDefault="00897B14">
            <w:pPr>
              <w:spacing w:after="100"/>
              <w:jc w:val="center"/>
              <w:rPr>
                <w:rFonts w:eastAsia="Times New Roman"/>
              </w:rPr>
            </w:pPr>
            <w:r>
              <w:rPr>
                <w:rFonts w:eastAsia="Times New Roman"/>
                <w:b/>
                <w:bCs/>
                <w:color w:val="000000"/>
                <w:sz w:val="18"/>
                <w:szCs w:val="18"/>
              </w:rPr>
              <w:t>0.88%</w:t>
            </w:r>
          </w:p>
          <w:p w:rsidR="00000000" w:rsidRDefault="00897B14">
            <w:pPr>
              <w:spacing w:after="100"/>
              <w:jc w:val="center"/>
              <w:rPr>
                <w:rFonts w:eastAsia="Times New Roman"/>
              </w:rPr>
            </w:pPr>
            <w:r>
              <w:rPr>
                <w:rFonts w:eastAsia="Times New Roman"/>
                <w:b/>
                <w:bCs/>
                <w:color w:val="000000"/>
                <w:sz w:val="18"/>
                <w:szCs w:val="18"/>
              </w:rPr>
              <w:t>5.25%</w:t>
            </w:r>
          </w:p>
          <w:p w:rsidR="00000000" w:rsidRDefault="00897B14">
            <w:pPr>
              <w:spacing w:after="100"/>
              <w:jc w:val="center"/>
              <w:rPr>
                <w:rFonts w:eastAsia="Times New Roman"/>
              </w:rPr>
            </w:pPr>
            <w:r>
              <w:rPr>
                <w:rFonts w:eastAsia="Times New Roman"/>
                <w:b/>
                <w:bCs/>
                <w:color w:val="000000"/>
                <w:sz w:val="18"/>
                <w:szCs w:val="18"/>
              </w:rPr>
              <w:t>48 bps</w:t>
            </w:r>
          </w:p>
          <w:p w:rsidR="00000000" w:rsidRDefault="00897B14">
            <w:pPr>
              <w:spacing w:after="100"/>
              <w:jc w:val="center"/>
              <w:rPr>
                <w:rFonts w:eastAsia="Times New Roman"/>
              </w:rPr>
            </w:pPr>
            <w:r>
              <w:rPr>
                <w:rFonts w:eastAsia="Times New Roman"/>
                <w:b/>
                <w:bCs/>
                <w:color w:val="000000"/>
                <w:sz w:val="18"/>
                <w:szCs w:val="18"/>
              </w:rPr>
              <w:t>24%</w:t>
            </w:r>
          </w:p>
          <w:p w:rsidR="00000000" w:rsidRDefault="00897B14">
            <w:pPr>
              <w:spacing w:after="100"/>
              <w:jc w:val="center"/>
              <w:rPr>
                <w:rFonts w:eastAsia="Times New Roman"/>
              </w:rPr>
            </w:pPr>
            <w:r>
              <w:rPr>
                <w:rFonts w:eastAsia="Times New Roman"/>
                <w:b/>
                <w:bCs/>
                <w:color w:val="000000"/>
                <w:sz w:val="18"/>
                <w:szCs w:val="18"/>
              </w:rPr>
              <w:t>2.94%</w:t>
            </w:r>
          </w:p>
          <w:p w:rsidR="00000000" w:rsidRDefault="00897B14">
            <w:pPr>
              <w:spacing w:after="100"/>
              <w:jc w:val="center"/>
              <w:rPr>
                <w:rFonts w:eastAsia="Times New Roman"/>
              </w:rPr>
            </w:pPr>
            <w:r>
              <w:rPr>
                <w:rFonts w:eastAsia="Times New Roman"/>
                <w:b/>
                <w:bCs/>
                <w:color w:val="000000"/>
                <w:sz w:val="18"/>
                <w:szCs w:val="18"/>
              </w:rPr>
              <w:t>(same for all ages)</w:t>
            </w:r>
          </w:p>
          <w:p w:rsidR="00000000" w:rsidRDefault="00897B14">
            <w:pPr>
              <w:spacing w:after="100"/>
              <w:jc w:val="center"/>
              <w:rPr>
                <w:rFonts w:eastAsia="Times New Roman"/>
              </w:rPr>
            </w:pPr>
            <w:r>
              <w:rPr>
                <w:rFonts w:eastAsia="Times New Roman"/>
                <w:b/>
                <w:bCs/>
                <w:color w:val="000000"/>
                <w:sz w:val="18"/>
                <w:szCs w:val="18"/>
              </w:rPr>
              <w:t>(same for all ages)</w:t>
            </w:r>
          </w:p>
        </w:tc>
      </w:tr>
      <w:tr w:rsidR="00000000">
        <w:trPr>
          <w:divId w:val="345178400"/>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5,510</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GMIB Utilization Rates</w:t>
            </w:r>
          </w:p>
          <w:p w:rsidR="00000000" w:rsidRDefault="00897B14">
            <w:pPr>
              <w:spacing w:after="100"/>
              <w:jc w:val="right"/>
              <w:rPr>
                <w:rFonts w:eastAsia="Times New Roman"/>
              </w:rPr>
            </w:pPr>
            <w:r>
              <w:rPr>
                <w:rFonts w:eastAsia="Times New Roman"/>
                <w:color w:val="000000"/>
                <w:sz w:val="18"/>
                <w:szCs w:val="18"/>
              </w:rPr>
              <w:t>Non-performance risk (bps)</w:t>
            </w:r>
          </w:p>
          <w:p w:rsidR="00000000" w:rsidRDefault="00897B14">
            <w:pPr>
              <w:spacing w:after="100"/>
              <w:jc w:val="right"/>
              <w:rPr>
                <w:rFonts w:eastAsia="Times New Roman"/>
              </w:rPr>
            </w:pPr>
            <w:r>
              <w:rPr>
                <w:rFonts w:eastAsia="Times New Roman"/>
                <w:color w:val="000000"/>
                <w:sz w:val="18"/>
                <w:szCs w:val="18"/>
              </w:rPr>
              <w:t>Volatility rates - Equity</w:t>
            </w:r>
          </w:p>
          <w:p w:rsidR="00000000" w:rsidRDefault="00897B14">
            <w:pPr>
              <w:spacing w:after="100"/>
              <w:jc w:val="right"/>
              <w:rPr>
                <w:rFonts w:eastAsia="Times New Roman"/>
              </w:rPr>
            </w:pPr>
            <w:r>
              <w:rPr>
                <w:rFonts w:eastAsia="Times New Roman"/>
                <w:color w:val="000000"/>
                <w:sz w:val="18"/>
                <w:szCs w:val="18"/>
              </w:rPr>
              <w:t>Mortality: Ages 0-40</w:t>
            </w:r>
          </w:p>
          <w:p w:rsidR="00000000" w:rsidRDefault="00897B14">
            <w:pPr>
              <w:spacing w:after="100"/>
              <w:jc w:val="right"/>
              <w:rPr>
                <w:rFonts w:eastAsia="Times New Roman"/>
              </w:rPr>
            </w:pPr>
            <w:r>
              <w:rPr>
                <w:rFonts w:eastAsia="Times New Roman"/>
                <w:color w:val="000000"/>
                <w:sz w:val="18"/>
                <w:szCs w:val="18"/>
              </w:rPr>
              <w:t>Ages 41-60</w:t>
            </w:r>
          </w:p>
          <w:p w:rsidR="00000000" w:rsidRDefault="00897B14">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0.56%-15.62%</w:t>
            </w:r>
          </w:p>
          <w:p w:rsidR="00000000" w:rsidRDefault="00897B14">
            <w:pPr>
              <w:spacing w:after="100"/>
              <w:jc w:val="center"/>
              <w:rPr>
                <w:rFonts w:eastAsia="Times New Roman"/>
              </w:rPr>
            </w:pPr>
            <w:r>
              <w:rPr>
                <w:rFonts w:eastAsia="Times New Roman"/>
                <w:b/>
                <w:bCs/>
                <w:color w:val="000000"/>
                <w:sz w:val="18"/>
                <w:szCs w:val="18"/>
              </w:rPr>
              <w:t>0.36%-2.03%</w:t>
            </w:r>
          </w:p>
          <w:p w:rsidR="00000000" w:rsidRDefault="00897B14">
            <w:pPr>
              <w:spacing w:after="100"/>
              <w:jc w:val="center"/>
              <w:rPr>
                <w:rFonts w:eastAsia="Times New Roman"/>
              </w:rPr>
            </w:pPr>
            <w:r>
              <w:rPr>
                <w:rFonts w:eastAsia="Times New Roman"/>
                <w:b/>
                <w:bCs/>
                <w:color w:val="000000"/>
                <w:sz w:val="18"/>
                <w:szCs w:val="18"/>
              </w:rPr>
              <w:t>0.04%-60.91%</w:t>
            </w:r>
          </w:p>
          <w:p w:rsidR="00000000" w:rsidRDefault="00897B14">
            <w:pPr>
              <w:spacing w:after="100"/>
              <w:jc w:val="center"/>
              <w:rPr>
                <w:rFonts w:eastAsia="Times New Roman"/>
              </w:rPr>
            </w:pPr>
            <w:r>
              <w:rPr>
                <w:rFonts w:eastAsia="Times New Roman"/>
                <w:b/>
                <w:bCs/>
                <w:color w:val="000000"/>
                <w:sz w:val="18"/>
                <w:szCs w:val="18"/>
              </w:rPr>
              <w:t>34 bps-34 bps</w:t>
            </w:r>
          </w:p>
          <w:p w:rsidR="00000000" w:rsidRDefault="00897B14">
            <w:pPr>
              <w:spacing w:after="100"/>
              <w:jc w:val="center"/>
              <w:rPr>
                <w:rFonts w:eastAsia="Times New Roman"/>
              </w:rPr>
            </w:pPr>
            <w:r>
              <w:rPr>
                <w:rFonts w:eastAsia="Times New Roman"/>
                <w:b/>
                <w:bCs/>
                <w:color w:val="000000"/>
                <w:sz w:val="18"/>
                <w:szCs w:val="18"/>
              </w:rPr>
              <w:t>9%-28%</w:t>
            </w:r>
          </w:p>
          <w:p w:rsidR="00000000" w:rsidRDefault="00897B14">
            <w:pPr>
              <w:spacing w:after="100"/>
              <w:jc w:val="center"/>
              <w:rPr>
                <w:rFonts w:eastAsia="Times New Roman"/>
              </w:rPr>
            </w:pPr>
            <w:r>
              <w:rPr>
                <w:rFonts w:eastAsia="Times New Roman"/>
                <w:b/>
                <w:bCs/>
                <w:color w:val="000000"/>
                <w:sz w:val="18"/>
                <w:szCs w:val="18"/>
              </w:rPr>
              <w:t>0.01%-0.18%</w:t>
            </w:r>
          </w:p>
          <w:p w:rsidR="00000000" w:rsidRDefault="00897B14">
            <w:pPr>
              <w:spacing w:after="100"/>
              <w:jc w:val="center"/>
              <w:rPr>
                <w:rFonts w:eastAsia="Times New Roman"/>
              </w:rPr>
            </w:pPr>
            <w:r>
              <w:rPr>
                <w:rFonts w:eastAsia="Times New Roman"/>
                <w:b/>
                <w:bCs/>
                <w:color w:val="000000"/>
                <w:sz w:val="18"/>
                <w:szCs w:val="18"/>
              </w:rPr>
              <w:t>0.07%-0.54%</w:t>
            </w:r>
          </w:p>
          <w:p w:rsidR="00000000" w:rsidRDefault="00897B14">
            <w:pPr>
              <w:spacing w:after="100"/>
              <w:jc w:val="center"/>
              <w:rPr>
                <w:rFonts w:eastAsia="Times New Roman"/>
              </w:rPr>
            </w:pPr>
            <w:r>
              <w:rPr>
                <w:rFonts w:eastAsia="Times New Roman"/>
                <w:b/>
                <w:bCs/>
                <w:color w:val="000000"/>
                <w:sz w:val="18"/>
                <w:szCs w:val="18"/>
              </w:rPr>
              <w:t>0.42%-42.20%</w:t>
            </w:r>
          </w:p>
          <w:p w:rsidR="00000000" w:rsidRDefault="00897B14">
            <w:pPr>
              <w:spacing w:after="100"/>
              <w:jc w:val="center"/>
              <w:rPr>
                <w:rFonts w:eastAsia="Times New Roman"/>
              </w:rPr>
            </w:pPr>
          </w:p>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1.79%</w:t>
            </w:r>
          </w:p>
          <w:p w:rsidR="00000000" w:rsidRDefault="00897B14">
            <w:pPr>
              <w:spacing w:after="100"/>
              <w:jc w:val="center"/>
              <w:rPr>
                <w:rFonts w:eastAsia="Times New Roman"/>
              </w:rPr>
            </w:pPr>
            <w:r>
              <w:rPr>
                <w:rFonts w:eastAsia="Times New Roman"/>
                <w:b/>
                <w:bCs/>
                <w:color w:val="000000"/>
                <w:sz w:val="18"/>
                <w:szCs w:val="18"/>
              </w:rPr>
              <w:t>1.09%</w:t>
            </w:r>
          </w:p>
          <w:p w:rsidR="00000000" w:rsidRDefault="00897B14">
            <w:pPr>
              <w:spacing w:after="100"/>
              <w:jc w:val="center"/>
              <w:rPr>
                <w:rFonts w:eastAsia="Times New Roman"/>
              </w:rPr>
            </w:pPr>
            <w:r>
              <w:rPr>
                <w:rFonts w:eastAsia="Times New Roman"/>
                <w:b/>
                <w:bCs/>
                <w:color w:val="000000"/>
                <w:sz w:val="18"/>
                <w:szCs w:val="18"/>
              </w:rPr>
              <w:t>7.14%</w:t>
            </w:r>
          </w:p>
          <w:p w:rsidR="00000000" w:rsidRDefault="00897B14">
            <w:pPr>
              <w:spacing w:after="100"/>
              <w:jc w:val="center"/>
              <w:rPr>
                <w:rFonts w:eastAsia="Times New Roman"/>
              </w:rPr>
            </w:pPr>
            <w:r>
              <w:rPr>
                <w:rFonts w:eastAsia="Times New Roman"/>
                <w:b/>
                <w:bCs/>
                <w:color w:val="000000"/>
                <w:sz w:val="18"/>
                <w:szCs w:val="18"/>
              </w:rPr>
              <w:t>34 bps</w:t>
            </w:r>
          </w:p>
          <w:p w:rsidR="00000000" w:rsidRDefault="00897B14">
            <w:pPr>
              <w:spacing w:after="100"/>
              <w:jc w:val="center"/>
              <w:rPr>
                <w:rFonts w:eastAsia="Times New Roman"/>
              </w:rPr>
            </w:pPr>
            <w:r>
              <w:rPr>
                <w:rFonts w:eastAsia="Times New Roman"/>
                <w:b/>
                <w:bCs/>
                <w:color w:val="000000"/>
                <w:sz w:val="18"/>
                <w:szCs w:val="18"/>
              </w:rPr>
              <w:t>24%</w:t>
            </w:r>
          </w:p>
          <w:p w:rsidR="00000000" w:rsidRDefault="00897B14">
            <w:pPr>
              <w:spacing w:after="100"/>
              <w:jc w:val="center"/>
              <w:rPr>
                <w:rFonts w:eastAsia="Times New Roman"/>
              </w:rPr>
            </w:pPr>
            <w:r>
              <w:rPr>
                <w:rFonts w:eastAsia="Times New Roman"/>
                <w:b/>
                <w:bCs/>
                <w:color w:val="000000"/>
                <w:sz w:val="18"/>
                <w:szCs w:val="18"/>
              </w:rPr>
              <w:t>2.21%</w:t>
            </w:r>
          </w:p>
          <w:p w:rsidR="00000000" w:rsidRDefault="00897B14">
            <w:pPr>
              <w:spacing w:after="100"/>
              <w:jc w:val="center"/>
              <w:rPr>
                <w:rFonts w:eastAsia="Times New Roman"/>
              </w:rPr>
            </w:pPr>
            <w:r>
              <w:rPr>
                <w:rFonts w:eastAsia="Times New Roman"/>
                <w:b/>
                <w:bCs/>
                <w:color w:val="000000"/>
                <w:sz w:val="18"/>
                <w:szCs w:val="18"/>
              </w:rPr>
              <w:t>(same for all ages)</w:t>
            </w:r>
          </w:p>
          <w:p w:rsidR="00000000" w:rsidRDefault="00897B14">
            <w:pPr>
              <w:spacing w:after="100"/>
              <w:jc w:val="center"/>
              <w:rPr>
                <w:rFonts w:eastAsia="Times New Roman"/>
              </w:rPr>
            </w:pPr>
            <w:r>
              <w:rPr>
                <w:rFonts w:eastAsia="Times New Roman"/>
                <w:b/>
                <w:bCs/>
                <w:color w:val="000000"/>
                <w:sz w:val="18"/>
                <w:szCs w:val="18"/>
              </w:rPr>
              <w:t>(same for all ages)</w:t>
            </w:r>
          </w:p>
        </w:tc>
      </w:tr>
      <w:tr w:rsidR="00000000">
        <w:trPr>
          <w:divId w:val="345178400"/>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b/>
                <w:bCs/>
                <w:color w:val="000000"/>
                <w:sz w:val="18"/>
                <w:szCs w:val="18"/>
              </w:rPr>
              <w:t>Liabilities: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bl>
    <w:p w:rsidR="00000000" w:rsidRDefault="00897B14">
      <w:pPr>
        <w:jc w:val="center"/>
        <w:divId w:val="568809709"/>
        <w:rPr>
          <w:rFonts w:eastAsia="Times New Roman"/>
        </w:rPr>
      </w:pPr>
    </w:p>
    <w:p w:rsidR="00000000" w:rsidRDefault="00897B14">
      <w:pPr>
        <w:jc w:val="center"/>
        <w:divId w:val="568809709"/>
        <w:rPr>
          <w:rFonts w:eastAsia="Times New Roman"/>
        </w:rPr>
      </w:pPr>
      <w:r>
        <w:rPr>
          <w:rFonts w:eastAsia="Times New Roman"/>
          <w:color w:val="000000"/>
          <w:sz w:val="20"/>
          <w:szCs w:val="20"/>
        </w:rPr>
        <w:t>52</w:t>
      </w:r>
    </w:p>
    <w:p w:rsidR="00000000" w:rsidRDefault="00897B14">
      <w:pPr>
        <w:rPr>
          <w:rFonts w:eastAsia="Times New Roman"/>
        </w:rPr>
      </w:pPr>
      <w:r>
        <w:rPr>
          <w:rFonts w:eastAsia="Times New Roman"/>
        </w:rPr>
        <w:pict>
          <v:rect id="_x0000_i1078" style="width:0;height:1.5pt" o:hralign="center" o:hrstd="t" o:hr="t" fillcolor="#a0a0a0" stroked="f"/>
        </w:pict>
      </w:r>
    </w:p>
    <w:p w:rsidR="00000000" w:rsidRDefault="00897B14">
      <w:pPr>
        <w:divId w:val="1936396241"/>
        <w:rPr>
          <w:rFonts w:eastAsia="Times New Roman"/>
        </w:rPr>
      </w:pPr>
      <w:r>
        <w:rPr>
          <w:rFonts w:eastAsia="Times New Roman"/>
          <w:b/>
          <w:bCs/>
          <w:color w:val="0000FF"/>
          <w:sz w:val="20"/>
          <w:szCs w:val="20"/>
          <w:u w:val="single"/>
        </w:rPr>
        <w:t>Table of Contents</w:t>
      </w:r>
    </w:p>
    <w:p w:rsidR="00000000" w:rsidRDefault="00897B14">
      <w:pPr>
        <w:jc w:val="center"/>
        <w:divId w:val="126826921"/>
        <w:rPr>
          <w:rFonts w:eastAsia="Times New Roman"/>
        </w:rPr>
      </w:pPr>
      <w:r>
        <w:rPr>
          <w:rFonts w:eastAsia="Times New Roman"/>
          <w:b/>
          <w:bCs/>
          <w:color w:val="000000"/>
          <w:sz w:val="20"/>
          <w:szCs w:val="20"/>
        </w:rPr>
        <w:t>EQUITABLE HOLDINGS, INC.</w:t>
      </w:r>
    </w:p>
    <w:p w:rsidR="00000000" w:rsidRDefault="00897B14">
      <w:pPr>
        <w:jc w:val="center"/>
        <w:divId w:val="126826921"/>
        <w:rPr>
          <w:rFonts w:eastAsia="Times New Roman"/>
        </w:rPr>
      </w:pPr>
      <w:r>
        <w:rPr>
          <w:rFonts w:eastAsia="Times New Roman"/>
          <w:b/>
          <w:bCs/>
          <w:color w:val="000000"/>
          <w:sz w:val="20"/>
          <w:szCs w:val="20"/>
        </w:rPr>
        <w:t>Notes to Consolidated Financial Statements (Unaudited), Continued</w:t>
      </w:r>
    </w:p>
    <w:p w:rsidR="00000000" w:rsidRDefault="00897B14">
      <w:pPr>
        <w:divId w:val="145930349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31"/>
        <w:gridCol w:w="37"/>
        <w:gridCol w:w="77"/>
        <w:gridCol w:w="393"/>
        <w:gridCol w:w="36"/>
        <w:gridCol w:w="36"/>
        <w:gridCol w:w="36"/>
        <w:gridCol w:w="36"/>
        <w:gridCol w:w="79"/>
        <w:gridCol w:w="774"/>
        <w:gridCol w:w="36"/>
        <w:gridCol w:w="36"/>
        <w:gridCol w:w="36"/>
        <w:gridCol w:w="36"/>
        <w:gridCol w:w="38"/>
        <w:gridCol w:w="2197"/>
        <w:gridCol w:w="37"/>
        <w:gridCol w:w="36"/>
        <w:gridCol w:w="36"/>
        <w:gridCol w:w="36"/>
        <w:gridCol w:w="52"/>
        <w:gridCol w:w="1029"/>
        <w:gridCol w:w="37"/>
        <w:gridCol w:w="36"/>
        <w:gridCol w:w="36"/>
        <w:gridCol w:w="36"/>
        <w:gridCol w:w="45"/>
        <w:gridCol w:w="1182"/>
        <w:gridCol w:w="36"/>
      </w:tblGrid>
      <w:tr w:rsidR="00000000">
        <w:trPr>
          <w:divId w:val="612249884"/>
          <w:jc w:val="center"/>
        </w:trPr>
        <w:tc>
          <w:tcPr>
            <w:tcW w:w="50" w:type="pct"/>
            <w:vAlign w:val="center"/>
            <w:hideMark/>
          </w:tcPr>
          <w:p w:rsidR="00000000" w:rsidRDefault="00897B14">
            <w:pPr>
              <w:rPr>
                <w:rFonts w:eastAsia="Times New Roman"/>
              </w:rPr>
            </w:pPr>
          </w:p>
        </w:tc>
        <w:tc>
          <w:tcPr>
            <w:tcW w:w="105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34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3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7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612249884"/>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w:t>
            </w:r>
          </w:p>
          <w:p w:rsidR="00000000" w:rsidRDefault="00897B14">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Valuation</w:t>
            </w:r>
          </w:p>
          <w:p w:rsidR="00000000" w:rsidRDefault="00897B14">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Significant</w:t>
            </w:r>
          </w:p>
          <w:p w:rsidR="00000000" w:rsidRDefault="00897B14">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Weighted Average (2)</w:t>
            </w:r>
          </w:p>
        </w:tc>
      </w:tr>
      <w:tr w:rsidR="00000000">
        <w:trPr>
          <w:divId w:val="61224988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37</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Expected revenue growth rates</w:t>
            </w:r>
          </w:p>
          <w:p w:rsidR="00000000" w:rsidRDefault="00897B14">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2.0% - 83.9%</w:t>
            </w:r>
          </w:p>
          <w:p w:rsidR="00000000" w:rsidRDefault="00897B14">
            <w:pPr>
              <w:spacing w:after="100"/>
              <w:jc w:val="center"/>
              <w:rPr>
                <w:rFonts w:eastAsia="Times New Roman"/>
              </w:rPr>
            </w:pPr>
            <w:r>
              <w:rPr>
                <w:rFonts w:eastAsia="Times New Roman"/>
                <w:b/>
                <w:bCs/>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13.0%</w:t>
            </w:r>
          </w:p>
          <w:p w:rsidR="00000000" w:rsidRDefault="00897B14">
            <w:pPr>
              <w:spacing w:after="100"/>
              <w:jc w:val="center"/>
              <w:rPr>
                <w:rFonts w:eastAsia="Times New Roman"/>
              </w:rPr>
            </w:pPr>
            <w:r>
              <w:rPr>
                <w:rFonts w:eastAsia="Times New Roman"/>
                <w:b/>
                <w:bCs/>
                <w:color w:val="000000"/>
                <w:sz w:val="18"/>
                <w:szCs w:val="18"/>
              </w:rPr>
              <w:t>6.6%</w:t>
            </w:r>
          </w:p>
        </w:tc>
      </w:tr>
      <w:tr w:rsidR="00000000">
        <w:trPr>
          <w:divId w:val="61224988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GMIBNLG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8,378</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Annuitization rates</w:t>
            </w:r>
          </w:p>
          <w:p w:rsidR="00000000" w:rsidRDefault="00897B14">
            <w:pPr>
              <w:spacing w:after="100"/>
              <w:jc w:val="right"/>
              <w:rPr>
                <w:rFonts w:eastAsia="Times New Roman"/>
              </w:rPr>
            </w:pPr>
            <w:r>
              <w:rPr>
                <w:rFonts w:eastAsia="Times New Roman"/>
                <w:color w:val="000000"/>
                <w:sz w:val="18"/>
                <w:szCs w:val="18"/>
              </w:rPr>
              <w:t>Mortality rates (1):</w:t>
            </w:r>
          </w:p>
          <w:p w:rsidR="00000000" w:rsidRDefault="00897B14">
            <w:pPr>
              <w:spacing w:after="100"/>
              <w:jc w:val="right"/>
              <w:rPr>
                <w:rFonts w:eastAsia="Times New Roman"/>
              </w:rPr>
            </w:pPr>
            <w:r>
              <w:rPr>
                <w:rFonts w:eastAsia="Times New Roman"/>
                <w:color w:val="000000"/>
                <w:sz w:val="18"/>
                <w:szCs w:val="18"/>
              </w:rPr>
              <w:t>Ages 0 - 40</w:t>
            </w:r>
          </w:p>
          <w:p w:rsidR="00000000" w:rsidRDefault="00897B14">
            <w:pPr>
              <w:spacing w:after="100"/>
              <w:jc w:val="right"/>
              <w:rPr>
                <w:rFonts w:eastAsia="Times New Roman"/>
              </w:rPr>
            </w:pPr>
            <w:r>
              <w:rPr>
                <w:rFonts w:eastAsia="Times New Roman"/>
                <w:color w:val="000000"/>
                <w:sz w:val="18"/>
                <w:szCs w:val="18"/>
              </w:rPr>
              <w:t>Ages 41-60</w:t>
            </w:r>
          </w:p>
          <w:p w:rsidR="00000000" w:rsidRDefault="00897B14">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98 bps - 98 bps</w:t>
            </w:r>
          </w:p>
          <w:p w:rsidR="00000000" w:rsidRDefault="00897B14">
            <w:pPr>
              <w:spacing w:after="100"/>
              <w:jc w:val="center"/>
              <w:rPr>
                <w:rFonts w:eastAsia="Times New Roman"/>
              </w:rPr>
            </w:pPr>
            <w:r>
              <w:rPr>
                <w:rFonts w:eastAsia="Times New Roman"/>
                <w:b/>
                <w:bCs/>
                <w:color w:val="000000"/>
                <w:sz w:val="18"/>
                <w:szCs w:val="18"/>
              </w:rPr>
              <w:t>1.10%-25.67%</w:t>
            </w:r>
          </w:p>
          <w:p w:rsidR="00000000" w:rsidRDefault="00897B14">
            <w:pPr>
              <w:spacing w:after="100"/>
              <w:jc w:val="center"/>
              <w:rPr>
                <w:rFonts w:eastAsia="Times New Roman"/>
              </w:rPr>
            </w:pPr>
            <w:r>
              <w:rPr>
                <w:rFonts w:eastAsia="Times New Roman"/>
                <w:b/>
                <w:bCs/>
                <w:color w:val="000000"/>
                <w:sz w:val="18"/>
                <w:szCs w:val="18"/>
              </w:rPr>
              <w:t>0.36%-2.03%</w:t>
            </w:r>
          </w:p>
          <w:p w:rsidR="00000000" w:rsidRDefault="00897B14">
            <w:pPr>
              <w:spacing w:after="100"/>
              <w:jc w:val="center"/>
              <w:rPr>
                <w:rFonts w:eastAsia="Times New Roman"/>
              </w:rPr>
            </w:pPr>
            <w:r>
              <w:rPr>
                <w:rFonts w:eastAsia="Times New Roman"/>
                <w:b/>
                <w:bCs/>
                <w:color w:val="000000"/>
                <w:sz w:val="18"/>
                <w:szCs w:val="18"/>
              </w:rPr>
              <w:t>0.03%-100.00%</w:t>
            </w: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b/>
                <w:bCs/>
                <w:color w:val="000000"/>
                <w:sz w:val="18"/>
                <w:szCs w:val="18"/>
              </w:rPr>
              <w:t>0.01%-0.19%</w:t>
            </w:r>
          </w:p>
          <w:p w:rsidR="00000000" w:rsidRDefault="00897B14">
            <w:pPr>
              <w:spacing w:after="100"/>
              <w:jc w:val="center"/>
              <w:rPr>
                <w:rFonts w:eastAsia="Times New Roman"/>
              </w:rPr>
            </w:pPr>
            <w:r>
              <w:rPr>
                <w:rFonts w:eastAsia="Times New Roman"/>
                <w:b/>
                <w:bCs/>
                <w:color w:val="000000"/>
                <w:sz w:val="18"/>
                <w:szCs w:val="18"/>
              </w:rPr>
              <w:t>0.06%-0.53%</w:t>
            </w:r>
          </w:p>
          <w:p w:rsidR="00000000" w:rsidRDefault="00897B14">
            <w:pPr>
              <w:spacing w:after="100"/>
              <w:jc w:val="center"/>
              <w:rPr>
                <w:rFonts w:eastAsia="Times New Roman"/>
              </w:rPr>
            </w:pPr>
            <w:r>
              <w:rPr>
                <w:rFonts w:eastAsia="Times New Roman"/>
                <w:b/>
                <w:bCs/>
                <w:color w:val="000000"/>
                <w:sz w:val="18"/>
                <w:szCs w:val="18"/>
              </w:rPr>
              <w:t>0.41%-41.39%</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98 bps</w:t>
            </w:r>
          </w:p>
          <w:p w:rsidR="00000000" w:rsidRDefault="00897B14">
            <w:pPr>
              <w:spacing w:after="100"/>
              <w:jc w:val="center"/>
              <w:rPr>
                <w:rFonts w:eastAsia="Times New Roman"/>
              </w:rPr>
            </w:pPr>
            <w:r>
              <w:rPr>
                <w:rFonts w:eastAsia="Times New Roman"/>
                <w:b/>
                <w:bCs/>
                <w:color w:val="000000"/>
                <w:sz w:val="18"/>
                <w:szCs w:val="18"/>
              </w:rPr>
              <w:t>3.37%</w:t>
            </w:r>
          </w:p>
          <w:p w:rsidR="00000000" w:rsidRDefault="00897B14">
            <w:pPr>
              <w:spacing w:after="100"/>
              <w:jc w:val="center"/>
              <w:rPr>
                <w:rFonts w:eastAsia="Times New Roman"/>
              </w:rPr>
            </w:pPr>
            <w:r>
              <w:rPr>
                <w:rFonts w:eastAsia="Times New Roman"/>
                <w:b/>
                <w:bCs/>
                <w:color w:val="000000"/>
                <w:sz w:val="18"/>
                <w:szCs w:val="18"/>
              </w:rPr>
              <w:t>0.93%</w:t>
            </w:r>
          </w:p>
          <w:p w:rsidR="00000000" w:rsidRDefault="00897B14">
            <w:pPr>
              <w:spacing w:after="100"/>
              <w:jc w:val="center"/>
              <w:rPr>
                <w:rFonts w:eastAsia="Times New Roman"/>
              </w:rPr>
            </w:pPr>
            <w:r>
              <w:rPr>
                <w:rFonts w:eastAsia="Times New Roman"/>
                <w:b/>
                <w:bCs/>
                <w:color w:val="000000"/>
                <w:sz w:val="18"/>
                <w:szCs w:val="18"/>
              </w:rPr>
              <w:t>5.16%</w:t>
            </w: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b/>
                <w:bCs/>
                <w:color w:val="000000"/>
                <w:sz w:val="18"/>
                <w:szCs w:val="18"/>
              </w:rPr>
              <w:t>1.66%</w:t>
            </w:r>
          </w:p>
          <w:p w:rsidR="00000000" w:rsidRDefault="00897B14">
            <w:pPr>
              <w:spacing w:after="100"/>
              <w:jc w:val="center"/>
              <w:rPr>
                <w:rFonts w:eastAsia="Times New Roman"/>
              </w:rPr>
            </w:pPr>
            <w:r>
              <w:rPr>
                <w:rFonts w:eastAsia="Times New Roman"/>
                <w:b/>
                <w:bCs/>
                <w:color w:val="000000"/>
                <w:sz w:val="18"/>
                <w:szCs w:val="18"/>
              </w:rPr>
              <w:t>(same for all ages)</w:t>
            </w:r>
          </w:p>
          <w:p w:rsidR="00000000" w:rsidRDefault="00897B14">
            <w:pPr>
              <w:spacing w:after="100"/>
              <w:jc w:val="center"/>
              <w:rPr>
                <w:rFonts w:eastAsia="Times New Roman"/>
              </w:rPr>
            </w:pPr>
            <w:r>
              <w:rPr>
                <w:rFonts w:eastAsia="Times New Roman"/>
                <w:b/>
                <w:bCs/>
                <w:color w:val="000000"/>
                <w:sz w:val="18"/>
                <w:szCs w:val="18"/>
              </w:rPr>
              <w:t>(same for all ages)</w:t>
            </w:r>
          </w:p>
        </w:tc>
      </w:tr>
      <w:tr w:rsidR="00000000">
        <w:trPr>
          <w:divId w:val="612249884"/>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139</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Utilization Rates</w:t>
            </w:r>
          </w:p>
          <w:p w:rsidR="00000000" w:rsidRDefault="00897B14">
            <w:pPr>
              <w:spacing w:after="100"/>
              <w:jc w:val="right"/>
              <w:rPr>
                <w:rFonts w:eastAsia="Times New Roman"/>
              </w:rPr>
            </w:pPr>
          </w:p>
          <w:p w:rsidR="00000000" w:rsidRDefault="00897B14">
            <w:pPr>
              <w:spacing w:after="100"/>
              <w:jc w:val="right"/>
              <w:rPr>
                <w:rFonts w:eastAsia="Times New Roman"/>
              </w:rPr>
            </w:pPr>
            <w:r>
              <w:rPr>
                <w:rFonts w:eastAsia="Times New Roman"/>
                <w:color w:val="000000"/>
                <w:sz w:val="18"/>
                <w:szCs w:val="18"/>
              </w:rPr>
              <w:t>Volatility rates - Equity</w:t>
            </w:r>
          </w:p>
          <w:p w:rsidR="00000000" w:rsidRDefault="00897B14">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0.80%-15.62%</w:t>
            </w:r>
          </w:p>
          <w:p w:rsidR="00000000" w:rsidRDefault="00897B14">
            <w:pPr>
              <w:spacing w:after="100"/>
              <w:jc w:val="center"/>
              <w:rPr>
                <w:rFonts w:eastAsia="Times New Roman"/>
              </w:rPr>
            </w:pPr>
            <w:r>
              <w:rPr>
                <w:rFonts w:eastAsia="Times New Roman"/>
                <w:b/>
                <w:bCs/>
                <w:color w:val="000000"/>
                <w:sz w:val="18"/>
                <w:szCs w:val="18"/>
              </w:rPr>
              <w:t>0.00%-</w:t>
            </w:r>
            <w:r>
              <w:rPr>
                <w:rFonts w:eastAsia="Times New Roman"/>
                <w:b/>
                <w:bCs/>
                <w:color w:val="000000"/>
                <w:sz w:val="18"/>
                <w:szCs w:val="18"/>
              </w:rPr>
              <w:t>8.00%</w:t>
            </w:r>
          </w:p>
          <w:p w:rsidR="00000000" w:rsidRDefault="00897B14">
            <w:pPr>
              <w:spacing w:after="100"/>
              <w:jc w:val="center"/>
              <w:rPr>
                <w:rFonts w:eastAsia="Times New Roman"/>
              </w:rPr>
            </w:pPr>
            <w:r>
              <w:rPr>
                <w:rFonts w:eastAsia="Times New Roman"/>
                <w:b/>
                <w:bCs/>
                <w:color w:val="000000"/>
                <w:sz w:val="18"/>
                <w:szCs w:val="18"/>
              </w:rPr>
              <w:t>100.0% once starting</w:t>
            </w:r>
          </w:p>
          <w:p w:rsidR="00000000" w:rsidRDefault="00897B14">
            <w:pPr>
              <w:spacing w:after="100"/>
              <w:jc w:val="center"/>
              <w:rPr>
                <w:rFonts w:eastAsia="Times New Roman"/>
              </w:rPr>
            </w:pPr>
            <w:r>
              <w:rPr>
                <w:rFonts w:eastAsia="Times New Roman"/>
                <w:b/>
                <w:bCs/>
                <w:color w:val="000000"/>
                <w:sz w:val="18"/>
                <w:szCs w:val="18"/>
              </w:rPr>
              <w:t>9%-28%</w:t>
            </w:r>
          </w:p>
          <w:p w:rsidR="00000000" w:rsidRDefault="00897B14">
            <w:pPr>
              <w:spacing w:after="100"/>
              <w:jc w:val="center"/>
              <w:rPr>
                <w:rFonts w:eastAsia="Times New Roman"/>
              </w:rPr>
            </w:pPr>
            <w:r>
              <w:rPr>
                <w:rFonts w:eastAsia="Times New Roman"/>
                <w:b/>
                <w:bCs/>
                <w:color w:val="000000"/>
                <w:sz w:val="18"/>
                <w:szCs w:val="18"/>
              </w:rPr>
              <w:t>98 bps - 98 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1.89%</w:t>
            </w:r>
          </w:p>
          <w:p w:rsidR="00000000" w:rsidRDefault="00897B14">
            <w:pPr>
              <w:spacing w:after="100"/>
              <w:jc w:val="center"/>
              <w:rPr>
                <w:rFonts w:eastAsia="Times New Roman"/>
              </w:rPr>
            </w:pPr>
            <w:r>
              <w:rPr>
                <w:rFonts w:eastAsia="Times New Roman"/>
                <w:b/>
                <w:bCs/>
                <w:color w:val="000000"/>
                <w:sz w:val="18"/>
                <w:szCs w:val="18"/>
              </w:rPr>
              <w:t>0.88%</w:t>
            </w:r>
          </w:p>
          <w:p w:rsidR="00000000" w:rsidRDefault="00897B14">
            <w:pPr>
              <w:spacing w:after="100"/>
              <w:jc w:val="center"/>
              <w:rPr>
                <w:rFonts w:eastAsia="Times New Roman"/>
              </w:rPr>
            </w:pP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b/>
                <w:bCs/>
                <w:color w:val="000000"/>
                <w:sz w:val="18"/>
                <w:szCs w:val="18"/>
              </w:rPr>
              <w:t>24%</w:t>
            </w:r>
          </w:p>
        </w:tc>
      </w:tr>
      <w:tr w:rsidR="00000000">
        <w:trPr>
          <w:divId w:val="612249884"/>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(60)</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Utilization Rates</w:t>
            </w:r>
          </w:p>
          <w:p w:rsidR="00000000" w:rsidRDefault="00897B14">
            <w:pPr>
              <w:spacing w:after="100"/>
              <w:jc w:val="right"/>
              <w:rPr>
                <w:rFonts w:eastAsia="Times New Roman"/>
              </w:rPr>
            </w:pPr>
            <w:r>
              <w:rPr>
                <w:rFonts w:eastAsia="Times New Roman"/>
                <w:color w:val="000000"/>
                <w:sz w:val="18"/>
                <w:szCs w:val="18"/>
              </w:rPr>
              <w:t>Volatility rates - Equity</w:t>
            </w:r>
          </w:p>
          <w:p w:rsidR="00000000" w:rsidRDefault="00897B14">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0.80%-15.62%</w:t>
            </w:r>
          </w:p>
          <w:p w:rsidR="00000000" w:rsidRDefault="00897B14">
            <w:pPr>
              <w:spacing w:after="100"/>
              <w:jc w:val="center"/>
              <w:rPr>
                <w:rFonts w:eastAsia="Times New Roman"/>
              </w:rPr>
            </w:pPr>
            <w:r>
              <w:rPr>
                <w:rFonts w:eastAsia="Times New Roman"/>
                <w:b/>
                <w:bCs/>
                <w:color w:val="000000"/>
                <w:sz w:val="18"/>
                <w:szCs w:val="18"/>
              </w:rPr>
              <w:t>0.18%-2.03%</w:t>
            </w:r>
          </w:p>
          <w:p w:rsidR="00000000" w:rsidRDefault="00897B14">
            <w:pPr>
              <w:spacing w:after="100"/>
              <w:jc w:val="center"/>
              <w:rPr>
                <w:rFonts w:eastAsia="Times New Roman"/>
              </w:rPr>
            </w:pPr>
            <w:r>
              <w:rPr>
                <w:rFonts w:eastAsia="Times New Roman"/>
                <w:b/>
                <w:bCs/>
                <w:color w:val="000000"/>
                <w:sz w:val="18"/>
                <w:szCs w:val="18"/>
              </w:rPr>
              <w:t>0.04%-100.00%</w:t>
            </w:r>
          </w:p>
          <w:p w:rsidR="00000000" w:rsidRDefault="00897B14">
            <w:pPr>
              <w:spacing w:after="100"/>
              <w:jc w:val="center"/>
              <w:rPr>
                <w:rFonts w:eastAsia="Times New Roman"/>
              </w:rPr>
            </w:pPr>
            <w:r>
              <w:rPr>
                <w:rFonts w:eastAsia="Times New Roman"/>
                <w:b/>
                <w:bCs/>
                <w:color w:val="000000"/>
                <w:sz w:val="18"/>
                <w:szCs w:val="18"/>
              </w:rPr>
              <w:t>9% - 28%</w:t>
            </w:r>
          </w:p>
          <w:p w:rsidR="00000000" w:rsidRDefault="00897B14">
            <w:pPr>
              <w:spacing w:after="100"/>
              <w:jc w:val="center"/>
              <w:rPr>
                <w:rFonts w:eastAsia="Times New Roman"/>
              </w:rPr>
            </w:pPr>
            <w:r>
              <w:rPr>
                <w:rFonts w:eastAsia="Times New Roman"/>
                <w:b/>
                <w:bCs/>
                <w:color w:val="000000"/>
                <w:sz w:val="18"/>
                <w:szCs w:val="18"/>
              </w:rPr>
              <w:t>98 bps - 98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1.89%</w:t>
            </w:r>
          </w:p>
          <w:p w:rsidR="00000000" w:rsidRDefault="00897B14">
            <w:pPr>
              <w:spacing w:after="100"/>
              <w:jc w:val="center"/>
              <w:rPr>
                <w:rFonts w:eastAsia="Times New Roman"/>
              </w:rPr>
            </w:pPr>
            <w:r>
              <w:rPr>
                <w:rFonts w:eastAsia="Times New Roman"/>
                <w:b/>
                <w:bCs/>
                <w:color w:val="000000"/>
                <w:sz w:val="18"/>
                <w:szCs w:val="18"/>
              </w:rPr>
              <w:t>0.88%</w:t>
            </w:r>
          </w:p>
          <w:p w:rsidR="00000000" w:rsidRDefault="00897B14">
            <w:pPr>
              <w:spacing w:after="100"/>
              <w:jc w:val="center"/>
              <w:rPr>
                <w:rFonts w:eastAsia="Times New Roman"/>
              </w:rPr>
            </w:pPr>
            <w:r>
              <w:rPr>
                <w:rFonts w:eastAsia="Times New Roman"/>
                <w:b/>
                <w:bCs/>
                <w:color w:val="000000"/>
                <w:sz w:val="18"/>
                <w:szCs w:val="18"/>
              </w:rPr>
              <w:t>5.25%</w:t>
            </w:r>
          </w:p>
          <w:p w:rsidR="00000000" w:rsidRDefault="00897B14">
            <w:pPr>
              <w:spacing w:after="100"/>
              <w:jc w:val="center"/>
              <w:rPr>
                <w:rFonts w:eastAsia="Times New Roman"/>
              </w:rPr>
            </w:pPr>
            <w:r>
              <w:rPr>
                <w:rFonts w:eastAsia="Times New Roman"/>
                <w:b/>
                <w:bCs/>
                <w:color w:val="000000"/>
                <w:sz w:val="18"/>
                <w:szCs w:val="18"/>
              </w:rPr>
              <w:t>24%</w:t>
            </w:r>
          </w:p>
        </w:tc>
      </w:tr>
      <w:tr w:rsidR="00000000">
        <w:trPr>
          <w:divId w:val="612249884"/>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18"/>
                <w:szCs w:val="18"/>
              </w:rPr>
              <w:t>(2)</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Volatility rates - Equity</w:t>
            </w:r>
          </w:p>
          <w:p w:rsidR="00000000" w:rsidRDefault="00897B14">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0.80%-15.62%</w:t>
            </w:r>
          </w:p>
          <w:p w:rsidR="00000000" w:rsidRDefault="00897B14">
            <w:pPr>
              <w:spacing w:after="100"/>
              <w:jc w:val="center"/>
              <w:rPr>
                <w:rFonts w:eastAsia="Times New Roman"/>
              </w:rPr>
            </w:pPr>
            <w:r>
              <w:rPr>
                <w:rFonts w:eastAsia="Times New Roman"/>
                <w:b/>
                <w:bCs/>
                <w:color w:val="000000"/>
                <w:sz w:val="18"/>
                <w:szCs w:val="18"/>
              </w:rPr>
              <w:t>9%-28%</w:t>
            </w:r>
          </w:p>
          <w:p w:rsidR="00000000" w:rsidRDefault="00897B14">
            <w:pPr>
              <w:spacing w:after="100"/>
              <w:jc w:val="center"/>
              <w:rPr>
                <w:rFonts w:eastAsia="Times New Roman"/>
              </w:rPr>
            </w:pPr>
            <w:r>
              <w:rPr>
                <w:rFonts w:eastAsia="Times New Roman"/>
                <w:b/>
                <w:bCs/>
                <w:color w:val="000000"/>
                <w:sz w:val="18"/>
                <w:szCs w:val="18"/>
              </w:rPr>
              <w:t>98 bps - 98 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b/>
                <w:bCs/>
                <w:color w:val="000000"/>
                <w:sz w:val="18"/>
                <w:szCs w:val="18"/>
              </w:rPr>
              <w:t>1.89%</w:t>
            </w:r>
          </w:p>
          <w:p w:rsidR="00000000" w:rsidRDefault="00897B14">
            <w:pPr>
              <w:spacing w:after="100"/>
              <w:jc w:val="center"/>
              <w:rPr>
                <w:rFonts w:eastAsia="Times New Roman"/>
              </w:rPr>
            </w:pPr>
            <w:r>
              <w:rPr>
                <w:rFonts w:eastAsia="Times New Roman"/>
                <w:b/>
                <w:bCs/>
                <w:color w:val="000000"/>
                <w:sz w:val="18"/>
                <w:szCs w:val="18"/>
              </w:rPr>
              <w:t>24%</w:t>
            </w:r>
          </w:p>
        </w:tc>
      </w:tr>
    </w:tbl>
    <w:p w:rsidR="00000000" w:rsidRDefault="00897B14">
      <w:pPr>
        <w:ind w:hanging="360"/>
        <w:divId w:val="583033157"/>
        <w:rPr>
          <w:rFonts w:eastAsia="Times New Roman"/>
        </w:rPr>
      </w:pPr>
      <w:r>
        <w:rPr>
          <w:rFonts w:eastAsia="Times New Roman"/>
          <w:color w:val="000000"/>
          <w:sz w:val="20"/>
          <w:szCs w:val="20"/>
        </w:rPr>
        <w:t>______________</w:t>
      </w:r>
    </w:p>
    <w:p w:rsidR="00000000" w:rsidRDefault="00897B14">
      <w:pPr>
        <w:ind w:hanging="360"/>
        <w:divId w:val="973415013"/>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rsidR="00000000" w:rsidRDefault="00897B14">
      <w:pPr>
        <w:ind w:hanging="360"/>
        <w:divId w:val="367224617"/>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rsidR="00000000" w:rsidRDefault="00897B14">
      <w:pPr>
        <w:jc w:val="center"/>
        <w:rPr>
          <w:rFonts w:eastAsia="Times New Roman"/>
        </w:rPr>
      </w:pPr>
      <w:r>
        <w:rPr>
          <w:rFonts w:eastAsia="Times New Roman"/>
          <w:b/>
          <w:bCs/>
          <w:color w:val="000000"/>
          <w:sz w:val="20"/>
          <w:szCs w:val="20"/>
        </w:rPr>
        <w:t>Quantitative Information about Level 3 Fair Value Measurements as of December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28"/>
        <w:gridCol w:w="36"/>
        <w:gridCol w:w="112"/>
        <w:gridCol w:w="402"/>
        <w:gridCol w:w="36"/>
        <w:gridCol w:w="36"/>
        <w:gridCol w:w="36"/>
        <w:gridCol w:w="36"/>
        <w:gridCol w:w="52"/>
        <w:gridCol w:w="1285"/>
        <w:gridCol w:w="37"/>
        <w:gridCol w:w="36"/>
        <w:gridCol w:w="36"/>
        <w:gridCol w:w="36"/>
        <w:gridCol w:w="55"/>
        <w:gridCol w:w="1840"/>
        <w:gridCol w:w="36"/>
        <w:gridCol w:w="36"/>
        <w:gridCol w:w="36"/>
        <w:gridCol w:w="36"/>
        <w:gridCol w:w="40"/>
        <w:gridCol w:w="943"/>
        <w:gridCol w:w="37"/>
        <w:gridCol w:w="36"/>
        <w:gridCol w:w="36"/>
        <w:gridCol w:w="36"/>
        <w:gridCol w:w="45"/>
        <w:gridCol w:w="1099"/>
        <w:gridCol w:w="36"/>
      </w:tblGrid>
      <w:tr w:rsidR="00000000">
        <w:trPr>
          <w:divId w:val="1682705238"/>
          <w:jc w:val="center"/>
        </w:trPr>
        <w:tc>
          <w:tcPr>
            <w:tcW w:w="50" w:type="pct"/>
            <w:vAlign w:val="center"/>
            <w:hideMark/>
          </w:tcPr>
          <w:p w:rsidR="00000000" w:rsidRDefault="00897B14">
            <w:pPr>
              <w:jc w:val="center"/>
              <w:rPr>
                <w:rFonts w:eastAsia="Times New Roman"/>
              </w:rPr>
            </w:pPr>
          </w:p>
        </w:tc>
        <w:tc>
          <w:tcPr>
            <w:tcW w:w="105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80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682705238"/>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 xml:space="preserve">Weighted Average </w:t>
            </w:r>
          </w:p>
        </w:tc>
      </w:tr>
      <w:tr w:rsidR="00000000">
        <w:trPr>
          <w:divId w:val="1682705238"/>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82705238"/>
          <w:jc w:val="center"/>
        </w:trPr>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82705238"/>
          <w:jc w:val="center"/>
        </w:trPr>
        <w:tc>
          <w:tcPr>
            <w:tcW w:w="0" w:type="auto"/>
            <w:gridSpan w:val="3"/>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82705238"/>
          <w:jc w:val="center"/>
        </w:trPr>
        <w:tc>
          <w:tcPr>
            <w:tcW w:w="0" w:type="auto"/>
            <w:gridSpan w:val="3"/>
            <w:tcMar>
              <w:top w:w="30" w:type="dxa"/>
              <w:left w:w="155"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682705238"/>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34 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8"/>
                <w:szCs w:val="18"/>
              </w:rPr>
              <w:t>45 bps - 195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20"/>
                <w:szCs w:val="20"/>
              </w:rPr>
              <w:t>160 bps</w:t>
            </w:r>
          </w:p>
        </w:tc>
      </w:tr>
      <w:tr w:rsidR="00000000">
        <w:trPr>
          <w:divId w:val="1682705238"/>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1,148 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EBITDA multiples</w:t>
            </w:r>
          </w:p>
          <w:p w:rsidR="00000000" w:rsidRDefault="00897B14">
            <w:pPr>
              <w:spacing w:after="100"/>
              <w:jc w:val="right"/>
              <w:rPr>
                <w:rFonts w:eastAsia="Times New Roman"/>
              </w:rPr>
            </w:pPr>
            <w:r>
              <w:rPr>
                <w:rFonts w:eastAsia="Times New Roman"/>
                <w:color w:val="000000"/>
                <w:sz w:val="18"/>
                <w:szCs w:val="18"/>
              </w:rPr>
              <w:t> </w:t>
            </w:r>
            <w:r>
              <w:rPr>
                <w:rFonts w:eastAsia="Times New Roman"/>
                <w:color w:val="000000"/>
                <w:sz w:val="18"/>
                <w:szCs w:val="18"/>
              </w:rPr>
              <w:t>Discount rate</w:t>
            </w:r>
          </w:p>
          <w:p w:rsidR="00000000" w:rsidRDefault="00897B14">
            <w:pPr>
              <w:spacing w:after="100"/>
              <w:jc w:val="right"/>
              <w:rPr>
                <w:rFonts w:eastAsia="Times New Roman"/>
              </w:rPr>
            </w:pPr>
            <w:r>
              <w:rPr>
                <w:rFonts w:eastAsia="Times New Roman"/>
                <w:color w:val="000000"/>
                <w:sz w:val="18"/>
                <w:szCs w:val="18"/>
              </w:rPr>
              <w:t> Cash flow multiples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3.5x - 33.1x</w:t>
            </w:r>
          </w:p>
          <w:p w:rsidR="00000000" w:rsidRDefault="00897B14">
            <w:pPr>
              <w:spacing w:after="100"/>
              <w:jc w:val="center"/>
              <w:rPr>
                <w:rFonts w:eastAsia="Times New Roman"/>
              </w:rPr>
            </w:pPr>
            <w:r>
              <w:rPr>
                <w:rFonts w:eastAsia="Times New Roman"/>
                <w:color w:val="000000"/>
                <w:sz w:val="18"/>
                <w:szCs w:val="18"/>
              </w:rPr>
              <w:t xml:space="preserve">5.6% - 28.4% </w:t>
            </w:r>
          </w:p>
          <w:p w:rsidR="00000000" w:rsidRDefault="00897B14">
            <w:pPr>
              <w:spacing w:after="100"/>
              <w:jc w:val="center"/>
              <w:rPr>
                <w:rFonts w:eastAsia="Times New Roman"/>
              </w:rPr>
            </w:pPr>
            <w:r>
              <w:rPr>
                <w:rFonts w:eastAsia="Times New Roman"/>
                <w:color w:val="000000"/>
                <w:sz w:val="18"/>
                <w:szCs w:val="18"/>
              </w:rPr>
              <w:t>1.9x-25.0x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10.8x</w:t>
            </w:r>
          </w:p>
          <w:p w:rsidR="00000000" w:rsidRDefault="00897B14">
            <w:pPr>
              <w:spacing w:after="100"/>
              <w:jc w:val="center"/>
              <w:rPr>
                <w:rFonts w:eastAsia="Times New Roman"/>
              </w:rPr>
            </w:pPr>
            <w:r>
              <w:rPr>
                <w:rFonts w:eastAsia="Times New Roman"/>
                <w:color w:val="000000"/>
                <w:sz w:val="18"/>
                <w:szCs w:val="18"/>
              </w:rPr>
              <w:t>8.6%</w:t>
            </w:r>
          </w:p>
          <w:p w:rsidR="00000000" w:rsidRDefault="00897B14">
            <w:pPr>
              <w:spacing w:after="100"/>
              <w:jc w:val="center"/>
              <w:rPr>
                <w:rFonts w:eastAsia="Times New Roman"/>
              </w:rPr>
            </w:pPr>
            <w:r>
              <w:rPr>
                <w:rFonts w:eastAsia="Times New Roman"/>
                <w:color w:val="000000"/>
                <w:sz w:val="18"/>
                <w:szCs w:val="18"/>
              </w:rPr>
              <w:t>6.8x</w:t>
            </w:r>
          </w:p>
        </w:tc>
      </w:tr>
      <w:tr w:rsidR="00000000">
        <w:trPr>
          <w:divId w:val="1682705238"/>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2 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jc w:val="right"/>
              <w:rPr>
                <w:rFonts w:eastAsia="Times New Roman"/>
              </w:rPr>
            </w:pPr>
            <w:r>
              <w:rPr>
                <w:rFonts w:eastAsia="Times New Roman"/>
                <w:color w:val="000000"/>
                <w:sz w:val="18"/>
                <w:szCs w:val="18"/>
              </w:rPr>
              <w:t xml:space="preserve">Revenue multiple </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8"/>
                <w:szCs w:val="18"/>
              </w:rPr>
              <w:t xml:space="preserve">9.7x - 26.4x </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color w:val="000000"/>
                <w:sz w:val="18"/>
                <w:szCs w:val="18"/>
              </w:rPr>
              <w:t>18.5x</w:t>
            </w:r>
          </w:p>
        </w:tc>
      </w:tr>
      <w:tr w:rsidR="00000000">
        <w:trPr>
          <w:divId w:val="1682705238"/>
          <w:jc w:val="center"/>
        </w:trPr>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39 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 xml:space="preserve">Earnings multiple </w:t>
            </w:r>
          </w:p>
          <w:p w:rsidR="00000000" w:rsidRDefault="00897B14">
            <w:pPr>
              <w:spacing w:after="100"/>
              <w:jc w:val="right"/>
              <w:rPr>
                <w:rFonts w:eastAsia="Times New Roman"/>
              </w:rPr>
            </w:pPr>
            <w:r>
              <w:rPr>
                <w:rFonts w:eastAsia="Times New Roman"/>
                <w:color w:val="000000"/>
                <w:sz w:val="18"/>
                <w:szCs w:val="18"/>
              </w:rPr>
              <w:t>Discounts factor</w:t>
            </w:r>
          </w:p>
          <w:p w:rsidR="00000000" w:rsidRDefault="00897B14">
            <w:pPr>
              <w:spacing w:after="100"/>
              <w:jc w:val="right"/>
              <w:rPr>
                <w:rFonts w:eastAsia="Times New Roman"/>
              </w:rPr>
            </w:pPr>
            <w:r>
              <w:rPr>
                <w:rFonts w:eastAsia="Times New Roman"/>
                <w:color w:val="000000"/>
                <w:sz w:val="18"/>
                <w:szCs w:val="18"/>
              </w:rPr>
              <w:t> Discount years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8.2x</w:t>
            </w:r>
          </w:p>
          <w:p w:rsidR="00000000" w:rsidRDefault="00897B14">
            <w:pPr>
              <w:spacing w:after="100"/>
              <w:jc w:val="center"/>
              <w:rPr>
                <w:rFonts w:eastAsia="Times New Roman"/>
              </w:rPr>
            </w:pPr>
            <w:r>
              <w:rPr>
                <w:rFonts w:eastAsia="Times New Roman"/>
                <w:color w:val="000000"/>
                <w:sz w:val="18"/>
                <w:szCs w:val="18"/>
              </w:rPr>
              <w:t>10.0%</w:t>
            </w:r>
          </w:p>
          <w:p w:rsidR="00000000" w:rsidRDefault="00897B14">
            <w:pPr>
              <w:spacing w:after="100"/>
              <w:jc w:val="center"/>
              <w:rPr>
                <w:rFonts w:eastAsia="Times New Roman"/>
              </w:rPr>
            </w:pPr>
            <w:r>
              <w:rPr>
                <w:rFonts w:eastAsia="Times New Roman"/>
                <w:color w:val="000000"/>
                <w:sz w:val="18"/>
                <w:szCs w:val="18"/>
              </w:rPr>
              <w:t>11</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bl>
    <w:p w:rsidR="00000000" w:rsidRDefault="00897B14">
      <w:pPr>
        <w:jc w:val="center"/>
        <w:divId w:val="1553079451"/>
        <w:rPr>
          <w:rFonts w:eastAsia="Times New Roman"/>
        </w:rPr>
      </w:pPr>
    </w:p>
    <w:p w:rsidR="00000000" w:rsidRDefault="00897B14">
      <w:pPr>
        <w:jc w:val="center"/>
        <w:divId w:val="1553079451"/>
        <w:rPr>
          <w:rFonts w:eastAsia="Times New Roman"/>
        </w:rPr>
      </w:pPr>
      <w:r>
        <w:rPr>
          <w:rFonts w:eastAsia="Times New Roman"/>
          <w:color w:val="000000"/>
          <w:sz w:val="20"/>
          <w:szCs w:val="20"/>
        </w:rPr>
        <w:t>53</w:t>
      </w:r>
    </w:p>
    <w:p w:rsidR="00000000" w:rsidRDefault="00897B14">
      <w:pPr>
        <w:rPr>
          <w:rFonts w:eastAsia="Times New Roman"/>
        </w:rPr>
      </w:pPr>
      <w:r>
        <w:rPr>
          <w:rFonts w:eastAsia="Times New Roman"/>
        </w:rPr>
        <w:pict>
          <v:rect id="_x0000_i1079" style="width:0;height:1.5pt" o:hralign="center" o:hrstd="t" o:hr="t" fillcolor="#a0a0a0" stroked="f"/>
        </w:pict>
      </w:r>
    </w:p>
    <w:p w:rsidR="00000000" w:rsidRDefault="00897B14">
      <w:pPr>
        <w:divId w:val="549416625"/>
        <w:rPr>
          <w:rFonts w:eastAsia="Times New Roman"/>
        </w:rPr>
      </w:pPr>
      <w:r>
        <w:rPr>
          <w:rFonts w:eastAsia="Times New Roman"/>
          <w:b/>
          <w:bCs/>
          <w:color w:val="0000FF"/>
          <w:sz w:val="20"/>
          <w:szCs w:val="20"/>
          <w:u w:val="single"/>
        </w:rPr>
        <w:t>Table of Contents</w:t>
      </w:r>
    </w:p>
    <w:p w:rsidR="00000000" w:rsidRDefault="00897B14">
      <w:pPr>
        <w:jc w:val="center"/>
        <w:divId w:val="1030646545"/>
        <w:rPr>
          <w:rFonts w:eastAsia="Times New Roman"/>
        </w:rPr>
      </w:pPr>
      <w:r>
        <w:rPr>
          <w:rFonts w:eastAsia="Times New Roman"/>
          <w:b/>
          <w:bCs/>
          <w:color w:val="000000"/>
          <w:sz w:val="20"/>
          <w:szCs w:val="20"/>
        </w:rPr>
        <w:t>EQUITABLE HOLDINGS, INC.</w:t>
      </w:r>
    </w:p>
    <w:p w:rsidR="00000000" w:rsidRDefault="00897B14">
      <w:pPr>
        <w:jc w:val="center"/>
        <w:divId w:val="1030646545"/>
        <w:rPr>
          <w:rFonts w:eastAsia="Times New Roman"/>
        </w:rPr>
      </w:pPr>
      <w:r>
        <w:rPr>
          <w:rFonts w:eastAsia="Times New Roman"/>
          <w:b/>
          <w:bCs/>
          <w:color w:val="000000"/>
          <w:sz w:val="20"/>
          <w:szCs w:val="20"/>
        </w:rPr>
        <w:t>Notes to Consolidated Financial Statements (Unaudited), Continued</w:t>
      </w:r>
    </w:p>
    <w:p w:rsidR="00000000" w:rsidRDefault="00897B14">
      <w:pPr>
        <w:divId w:val="31526063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20"/>
        <w:gridCol w:w="38"/>
        <w:gridCol w:w="91"/>
        <w:gridCol w:w="469"/>
        <w:gridCol w:w="36"/>
        <w:gridCol w:w="36"/>
        <w:gridCol w:w="36"/>
        <w:gridCol w:w="36"/>
        <w:gridCol w:w="51"/>
        <w:gridCol w:w="1277"/>
        <w:gridCol w:w="36"/>
        <w:gridCol w:w="36"/>
        <w:gridCol w:w="36"/>
        <w:gridCol w:w="36"/>
        <w:gridCol w:w="55"/>
        <w:gridCol w:w="1831"/>
        <w:gridCol w:w="36"/>
        <w:gridCol w:w="36"/>
        <w:gridCol w:w="36"/>
        <w:gridCol w:w="36"/>
        <w:gridCol w:w="47"/>
        <w:gridCol w:w="927"/>
        <w:gridCol w:w="36"/>
        <w:gridCol w:w="36"/>
        <w:gridCol w:w="36"/>
        <w:gridCol w:w="36"/>
        <w:gridCol w:w="45"/>
        <w:gridCol w:w="1088"/>
        <w:gridCol w:w="36"/>
      </w:tblGrid>
      <w:tr w:rsidR="00000000">
        <w:trPr>
          <w:divId w:val="831221189"/>
          <w:jc w:val="center"/>
        </w:trPr>
        <w:tc>
          <w:tcPr>
            <w:tcW w:w="50" w:type="pct"/>
            <w:vAlign w:val="center"/>
            <w:hideMark/>
          </w:tcPr>
          <w:p w:rsidR="00000000" w:rsidRDefault="00897B14">
            <w:pPr>
              <w:rPr>
                <w:rFonts w:eastAsia="Times New Roman"/>
              </w:rPr>
            </w:pPr>
          </w:p>
        </w:tc>
        <w:tc>
          <w:tcPr>
            <w:tcW w:w="105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80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831221189"/>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r>
            <w:r>
              <w:rPr>
                <w:rFonts w:eastAsia="Times New Roman"/>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 xml:space="preserve">Weighted Average </w:t>
            </w:r>
          </w:p>
        </w:tc>
      </w:tr>
      <w:tr w:rsidR="00000000">
        <w:trPr>
          <w:divId w:val="8312211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2,488 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Utilization rates</w:t>
            </w:r>
          </w:p>
          <w:p w:rsidR="00000000" w:rsidRDefault="00897B14">
            <w:pPr>
              <w:spacing w:after="100"/>
              <w:jc w:val="right"/>
              <w:rPr>
                <w:rFonts w:eastAsia="Times New Roman"/>
              </w:rPr>
            </w:pPr>
            <w:r>
              <w:rPr>
                <w:rFonts w:eastAsia="Times New Roman"/>
                <w:color w:val="000000"/>
                <w:sz w:val="18"/>
                <w:szCs w:val="18"/>
              </w:rPr>
              <w:t>Volatility rates - Equity</w:t>
            </w:r>
          </w:p>
          <w:p w:rsidR="00000000" w:rsidRDefault="00897B14">
            <w:pPr>
              <w:spacing w:after="100"/>
              <w:jc w:val="right"/>
              <w:rPr>
                <w:rFonts w:eastAsia="Times New Roman"/>
              </w:rPr>
            </w:pPr>
            <w:r>
              <w:rPr>
                <w:rFonts w:eastAsia="Times New Roman"/>
                <w:color w:val="000000"/>
                <w:sz w:val="18"/>
                <w:szCs w:val="18"/>
              </w:rPr>
              <w:t>Mortality rates (1):</w:t>
            </w:r>
          </w:p>
          <w:p w:rsidR="00000000" w:rsidRDefault="00897B14">
            <w:pPr>
              <w:spacing w:after="100"/>
              <w:jc w:val="right"/>
              <w:rPr>
                <w:rFonts w:eastAsia="Times New Roman"/>
              </w:rPr>
            </w:pPr>
            <w:r>
              <w:rPr>
                <w:rFonts w:eastAsia="Times New Roman"/>
                <w:color w:val="000000"/>
                <w:sz w:val="18"/>
                <w:szCs w:val="18"/>
              </w:rPr>
              <w:t>Ages 0 - 40</w:t>
            </w:r>
          </w:p>
          <w:p w:rsidR="00000000" w:rsidRDefault="00897B14">
            <w:pPr>
              <w:spacing w:after="100"/>
              <w:jc w:val="right"/>
              <w:rPr>
                <w:rFonts w:eastAsia="Times New Roman"/>
              </w:rPr>
            </w:pPr>
            <w:r>
              <w:rPr>
                <w:rFonts w:eastAsia="Times New Roman"/>
                <w:color w:val="000000"/>
                <w:sz w:val="18"/>
                <w:szCs w:val="18"/>
              </w:rPr>
              <w:t>Ages 41 - 60</w:t>
            </w:r>
          </w:p>
          <w:p w:rsidR="00000000" w:rsidRDefault="00897B14">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43 - 85 bps</w:t>
            </w:r>
          </w:p>
          <w:p w:rsidR="00000000" w:rsidRDefault="00897B14">
            <w:pPr>
              <w:spacing w:after="100"/>
              <w:jc w:val="center"/>
              <w:rPr>
                <w:rFonts w:eastAsia="Times New Roman"/>
              </w:rPr>
            </w:pPr>
            <w:r>
              <w:rPr>
                <w:rFonts w:eastAsia="Times New Roman"/>
                <w:color w:val="000000"/>
                <w:sz w:val="18"/>
                <w:szCs w:val="18"/>
              </w:rPr>
              <w:t>0.6% - 16%</w:t>
            </w:r>
          </w:p>
          <w:p w:rsidR="00000000" w:rsidRDefault="00897B14">
            <w:pPr>
              <w:spacing w:after="100"/>
              <w:jc w:val="center"/>
              <w:rPr>
                <w:rFonts w:eastAsia="Times New Roman"/>
              </w:rPr>
            </w:pPr>
            <w:r>
              <w:rPr>
                <w:rFonts w:eastAsia="Times New Roman"/>
                <w:color w:val="000000"/>
                <w:sz w:val="18"/>
                <w:szCs w:val="18"/>
              </w:rPr>
              <w:t>0% - 2%</w:t>
            </w:r>
          </w:p>
          <w:p w:rsidR="00000000" w:rsidRDefault="00897B14">
            <w:pPr>
              <w:spacing w:after="100"/>
              <w:jc w:val="center"/>
              <w:rPr>
                <w:rFonts w:eastAsia="Times New Roman"/>
              </w:rPr>
            </w:pPr>
            <w:r>
              <w:rPr>
                <w:rFonts w:eastAsia="Times New Roman"/>
                <w:color w:val="000000"/>
                <w:sz w:val="18"/>
                <w:szCs w:val="18"/>
              </w:rPr>
              <w:t>0% - 61%</w:t>
            </w:r>
          </w:p>
          <w:p w:rsidR="00000000" w:rsidRDefault="00897B14">
            <w:pPr>
              <w:spacing w:after="100"/>
              <w:jc w:val="center"/>
              <w:rPr>
                <w:rFonts w:eastAsia="Times New Roman"/>
              </w:rPr>
            </w:pPr>
            <w:r>
              <w:rPr>
                <w:rFonts w:eastAsia="Times New Roman"/>
                <w:color w:val="000000"/>
                <w:sz w:val="18"/>
                <w:szCs w:val="18"/>
              </w:rPr>
              <w:t>7% - 32%</w:t>
            </w: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0.01% - 0.18%</w:t>
            </w:r>
          </w:p>
          <w:p w:rsidR="00000000" w:rsidRDefault="00897B14">
            <w:pPr>
              <w:spacing w:after="100"/>
              <w:jc w:val="center"/>
              <w:rPr>
                <w:rFonts w:eastAsia="Times New Roman"/>
              </w:rPr>
            </w:pPr>
            <w:r>
              <w:rPr>
                <w:rFonts w:eastAsia="Times New Roman"/>
                <w:color w:val="000000"/>
                <w:sz w:val="18"/>
                <w:szCs w:val="18"/>
              </w:rPr>
              <w:t>0.07% - 0.54%</w:t>
            </w:r>
          </w:p>
          <w:p w:rsidR="00000000" w:rsidRDefault="00897B14">
            <w:pPr>
              <w:spacing w:after="100"/>
              <w:jc w:val="center"/>
              <w:rPr>
                <w:rFonts w:eastAsia="Times New Roman"/>
              </w:rPr>
            </w:pPr>
            <w:r>
              <w:rPr>
                <w:rFonts w:eastAsia="Times New Roman"/>
                <w:color w:val="000000"/>
                <w:sz w:val="18"/>
                <w:szCs w:val="18"/>
              </w:rPr>
              <w:t>0.42% - 42.20%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50 bps</w:t>
            </w:r>
          </w:p>
          <w:p w:rsidR="00000000" w:rsidRDefault="00897B14">
            <w:pPr>
              <w:spacing w:after="100"/>
              <w:jc w:val="center"/>
              <w:rPr>
                <w:rFonts w:eastAsia="Times New Roman"/>
              </w:rPr>
            </w:pPr>
            <w:r>
              <w:rPr>
                <w:rFonts w:eastAsia="Times New Roman"/>
                <w:color w:val="000000"/>
                <w:sz w:val="18"/>
                <w:szCs w:val="18"/>
              </w:rPr>
              <w:t>1.69%</w:t>
            </w:r>
          </w:p>
          <w:p w:rsidR="00000000" w:rsidRDefault="00897B14">
            <w:pPr>
              <w:spacing w:after="100"/>
              <w:jc w:val="center"/>
              <w:rPr>
                <w:rFonts w:eastAsia="Times New Roman"/>
              </w:rPr>
            </w:pPr>
            <w:r>
              <w:rPr>
                <w:rFonts w:eastAsia="Times New Roman"/>
                <w:color w:val="000000"/>
                <w:sz w:val="18"/>
                <w:szCs w:val="18"/>
              </w:rPr>
              <w:t>0.91%</w:t>
            </w:r>
          </w:p>
          <w:p w:rsidR="00000000" w:rsidRDefault="00897B14">
            <w:pPr>
              <w:spacing w:after="100"/>
              <w:jc w:val="center"/>
              <w:rPr>
                <w:rFonts w:eastAsia="Times New Roman"/>
              </w:rPr>
            </w:pPr>
            <w:r>
              <w:rPr>
                <w:rFonts w:eastAsia="Times New Roman"/>
                <w:color w:val="000000"/>
                <w:sz w:val="18"/>
                <w:szCs w:val="18"/>
              </w:rPr>
              <w:t>5.82%</w:t>
            </w:r>
          </w:p>
          <w:p w:rsidR="00000000" w:rsidRDefault="00897B14">
            <w:pPr>
              <w:spacing w:after="100"/>
              <w:jc w:val="center"/>
              <w:rPr>
                <w:rFonts w:eastAsia="Times New Roman"/>
              </w:rPr>
            </w:pPr>
            <w:r>
              <w:rPr>
                <w:rFonts w:eastAsia="Times New Roman"/>
                <w:color w:val="000000"/>
                <w:sz w:val="18"/>
                <w:szCs w:val="18"/>
              </w:rPr>
              <w:t>24%</w:t>
            </w: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2.80%</w:t>
            </w:r>
          </w:p>
          <w:p w:rsidR="00000000" w:rsidRDefault="00897B14">
            <w:pPr>
              <w:spacing w:after="100"/>
              <w:jc w:val="center"/>
              <w:rPr>
                <w:rFonts w:eastAsia="Times New Roman"/>
              </w:rPr>
            </w:pPr>
            <w:r>
              <w:rPr>
                <w:rFonts w:eastAsia="Times New Roman"/>
                <w:color w:val="000000"/>
                <w:sz w:val="18"/>
                <w:szCs w:val="18"/>
              </w:rPr>
              <w:t>(same for all ages)</w:t>
            </w:r>
          </w:p>
          <w:p w:rsidR="00000000" w:rsidRDefault="00897B14">
            <w:pPr>
              <w:spacing w:after="100"/>
              <w:jc w:val="center"/>
              <w:rPr>
                <w:rFonts w:eastAsia="Times New Roman"/>
              </w:rPr>
            </w:pPr>
            <w:r>
              <w:rPr>
                <w:rFonts w:eastAsia="Times New Roman"/>
                <w:color w:val="000000"/>
                <w:sz w:val="18"/>
                <w:szCs w:val="18"/>
              </w:rPr>
              <w:t>(same for all ages)</w:t>
            </w:r>
          </w:p>
        </w:tc>
      </w:tr>
      <w:tr w:rsidR="00000000">
        <w:trPr>
          <w:divId w:val="83122118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Liabilities: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312211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28 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Expected revenue growth rates</w:t>
            </w:r>
          </w:p>
          <w:p w:rsidR="00000000" w:rsidRDefault="00897B14">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0.7% - 50.0%</w:t>
            </w:r>
          </w:p>
          <w:p w:rsidR="00000000" w:rsidRDefault="00897B14">
            <w:pPr>
              <w:spacing w:after="100"/>
              <w:jc w:val="center"/>
              <w:rPr>
                <w:rFonts w:eastAsia="Times New Roman"/>
              </w:rPr>
            </w:pPr>
            <w:r>
              <w:rPr>
                <w:rFonts w:eastAsia="Times New Roman"/>
                <w:color w:val="000000"/>
                <w:sz w:val="18"/>
                <w:szCs w:val="18"/>
              </w:rPr>
              <w:t>1.9% - 10.4%</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4.9%</w:t>
            </w:r>
          </w:p>
          <w:p w:rsidR="00000000" w:rsidRDefault="00897B14">
            <w:pPr>
              <w:spacing w:after="100"/>
              <w:jc w:val="center"/>
              <w:rPr>
                <w:rFonts w:eastAsia="Times New Roman"/>
              </w:rPr>
            </w:pPr>
            <w:r>
              <w:rPr>
                <w:rFonts w:eastAsia="Times New Roman"/>
                <w:color w:val="000000"/>
                <w:sz w:val="18"/>
                <w:szCs w:val="18"/>
              </w:rPr>
              <w:t>8.0%</w:t>
            </w:r>
          </w:p>
        </w:tc>
      </w:tr>
      <w:tr w:rsidR="00000000">
        <w:trPr>
          <w:divId w:val="83122118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GMIBNLG</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10,713 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Annuitization rates</w:t>
            </w:r>
          </w:p>
          <w:p w:rsidR="00000000" w:rsidRDefault="00897B14">
            <w:pPr>
              <w:spacing w:after="100"/>
              <w:jc w:val="right"/>
              <w:rPr>
                <w:rFonts w:eastAsia="Times New Roman"/>
              </w:rPr>
            </w:pPr>
            <w:r>
              <w:rPr>
                <w:rFonts w:eastAsia="Times New Roman"/>
                <w:color w:val="000000"/>
                <w:sz w:val="18"/>
                <w:szCs w:val="18"/>
              </w:rPr>
              <w:t>Mortality rates (1):</w:t>
            </w:r>
          </w:p>
          <w:p w:rsidR="00000000" w:rsidRDefault="00897B14">
            <w:pPr>
              <w:spacing w:after="100"/>
              <w:jc w:val="right"/>
              <w:rPr>
                <w:rFonts w:eastAsia="Times New Roman"/>
              </w:rPr>
            </w:pPr>
            <w:r>
              <w:rPr>
                <w:rFonts w:eastAsia="Times New Roman"/>
                <w:color w:val="000000"/>
                <w:sz w:val="18"/>
                <w:szCs w:val="18"/>
              </w:rPr>
              <w:t>Ages 0 - 40</w:t>
            </w:r>
          </w:p>
          <w:p w:rsidR="00000000" w:rsidRDefault="00897B14">
            <w:pPr>
              <w:spacing w:after="100"/>
              <w:jc w:val="right"/>
              <w:rPr>
                <w:rFonts w:eastAsia="Times New Roman"/>
              </w:rPr>
            </w:pPr>
            <w:r>
              <w:rPr>
                <w:rFonts w:eastAsia="Times New Roman"/>
                <w:color w:val="000000"/>
                <w:sz w:val="18"/>
                <w:szCs w:val="18"/>
              </w:rPr>
              <w:t>Ages 41 - 60</w:t>
            </w:r>
          </w:p>
          <w:p w:rsidR="00000000" w:rsidRDefault="00897B14">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96.0 bps</w:t>
            </w:r>
          </w:p>
          <w:p w:rsidR="00000000" w:rsidRDefault="00897B14">
            <w:pPr>
              <w:spacing w:after="100"/>
              <w:jc w:val="center"/>
              <w:rPr>
                <w:rFonts w:eastAsia="Times New Roman"/>
              </w:rPr>
            </w:pPr>
            <w:r>
              <w:rPr>
                <w:rFonts w:eastAsia="Times New Roman"/>
                <w:color w:val="000000"/>
                <w:sz w:val="18"/>
                <w:szCs w:val="18"/>
              </w:rPr>
              <w:t>1.1% - 25.7%</w:t>
            </w:r>
          </w:p>
          <w:p w:rsidR="00000000" w:rsidRDefault="00897B14">
            <w:pPr>
              <w:spacing w:after="100"/>
              <w:jc w:val="center"/>
              <w:rPr>
                <w:rFonts w:eastAsia="Times New Roman"/>
              </w:rPr>
            </w:pPr>
            <w:r>
              <w:rPr>
                <w:rFonts w:eastAsia="Times New Roman"/>
                <w:color w:val="000000"/>
                <w:sz w:val="18"/>
                <w:szCs w:val="18"/>
              </w:rPr>
              <w:t>0.4% - 2%</w:t>
            </w:r>
          </w:p>
          <w:p w:rsidR="00000000" w:rsidRDefault="00897B14">
            <w:pPr>
              <w:spacing w:after="100"/>
              <w:jc w:val="center"/>
              <w:rPr>
                <w:rFonts w:eastAsia="Times New Roman"/>
              </w:rPr>
            </w:pPr>
            <w:r>
              <w:rPr>
                <w:rFonts w:eastAsia="Times New Roman"/>
                <w:color w:val="000000"/>
                <w:sz w:val="18"/>
                <w:szCs w:val="18"/>
              </w:rPr>
              <w:t>0% - 100%</w:t>
            </w: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0.01% - 0.19%</w:t>
            </w:r>
          </w:p>
          <w:p w:rsidR="00000000" w:rsidRDefault="00897B14">
            <w:pPr>
              <w:spacing w:after="100"/>
              <w:jc w:val="center"/>
              <w:rPr>
                <w:rFonts w:eastAsia="Times New Roman"/>
              </w:rPr>
            </w:pPr>
            <w:r>
              <w:rPr>
                <w:rFonts w:eastAsia="Times New Roman"/>
                <w:color w:val="000000"/>
                <w:sz w:val="18"/>
                <w:szCs w:val="18"/>
              </w:rPr>
              <w:t>0.06% - 0.53%</w:t>
            </w:r>
          </w:p>
          <w:p w:rsidR="00000000" w:rsidRDefault="00897B14">
            <w:pPr>
              <w:spacing w:after="100"/>
              <w:jc w:val="center"/>
              <w:rPr>
                <w:rFonts w:eastAsia="Times New Roman"/>
              </w:rPr>
            </w:pPr>
            <w:r>
              <w:rPr>
                <w:rFonts w:eastAsia="Times New Roman"/>
                <w:color w:val="000000"/>
                <w:sz w:val="18"/>
                <w:szCs w:val="18"/>
              </w:rPr>
              <w:t>0.41% - 41.39%</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3.19%</w:t>
            </w:r>
          </w:p>
          <w:p w:rsidR="00000000" w:rsidRDefault="00897B14">
            <w:pPr>
              <w:spacing w:after="100"/>
              <w:jc w:val="center"/>
              <w:rPr>
                <w:rFonts w:eastAsia="Times New Roman"/>
              </w:rPr>
            </w:pPr>
            <w:r>
              <w:rPr>
                <w:rFonts w:eastAsia="Times New Roman"/>
                <w:color w:val="000000"/>
                <w:sz w:val="18"/>
                <w:szCs w:val="18"/>
              </w:rPr>
              <w:t>0.93%</w:t>
            </w:r>
          </w:p>
          <w:p w:rsidR="00000000" w:rsidRDefault="00897B14">
            <w:pPr>
              <w:spacing w:after="100"/>
              <w:jc w:val="center"/>
              <w:rPr>
                <w:rFonts w:eastAsia="Times New Roman"/>
              </w:rPr>
            </w:pPr>
            <w:r>
              <w:rPr>
                <w:rFonts w:eastAsia="Times New Roman"/>
                <w:color w:val="000000"/>
                <w:sz w:val="18"/>
                <w:szCs w:val="18"/>
              </w:rPr>
              <w:t>5.51%</w:t>
            </w: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1.56%</w:t>
            </w:r>
          </w:p>
          <w:p w:rsidR="00000000" w:rsidRDefault="00897B14">
            <w:pPr>
              <w:spacing w:after="100"/>
              <w:jc w:val="center"/>
              <w:rPr>
                <w:rFonts w:eastAsia="Times New Roman"/>
              </w:rPr>
            </w:pPr>
            <w:r>
              <w:rPr>
                <w:rFonts w:eastAsia="Times New Roman"/>
                <w:color w:val="000000"/>
                <w:sz w:val="18"/>
                <w:szCs w:val="18"/>
              </w:rPr>
              <w:t>(same for all ages)</w:t>
            </w:r>
          </w:p>
          <w:p w:rsidR="00000000" w:rsidRDefault="00897B14">
            <w:pPr>
              <w:spacing w:after="100"/>
              <w:jc w:val="center"/>
              <w:rPr>
                <w:rFonts w:eastAsia="Times New Roman"/>
              </w:rPr>
            </w:pPr>
            <w:r>
              <w:rPr>
                <w:rFonts w:eastAsia="Times New Roman"/>
                <w:color w:val="000000"/>
                <w:sz w:val="18"/>
                <w:szCs w:val="18"/>
              </w:rPr>
              <w:t>(same for all ages)</w:t>
            </w:r>
          </w:p>
        </w:tc>
      </w:tr>
      <w:tr w:rsidR="00000000">
        <w:trPr>
          <w:divId w:val="8312211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Assumed GMIB Reinsurance Contracts</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195 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 (Age 0 - 85)</w:t>
            </w:r>
          </w:p>
          <w:p w:rsidR="00000000" w:rsidRDefault="00897B14">
            <w:pPr>
              <w:spacing w:after="100"/>
              <w:jc w:val="right"/>
              <w:rPr>
                <w:rFonts w:eastAsia="Times New Roman"/>
              </w:rPr>
            </w:pPr>
            <w:r>
              <w:rPr>
                <w:rFonts w:eastAsia="Times New Roman"/>
                <w:color w:val="000000"/>
                <w:sz w:val="18"/>
                <w:szCs w:val="18"/>
              </w:rPr>
              <w:t>Withdrawal rates (Age 86+)</w:t>
            </w:r>
          </w:p>
          <w:p w:rsidR="00000000" w:rsidRDefault="00897B14">
            <w:pPr>
              <w:spacing w:after="100"/>
              <w:jc w:val="right"/>
              <w:rPr>
                <w:rFonts w:eastAsia="Times New Roman"/>
              </w:rPr>
            </w:pPr>
            <w:r>
              <w:rPr>
                <w:rFonts w:eastAsia="Times New Roman"/>
                <w:color w:val="000000"/>
                <w:sz w:val="18"/>
                <w:szCs w:val="18"/>
              </w:rPr>
              <w:t xml:space="preserve">Utilization rates </w:t>
            </w:r>
          </w:p>
          <w:p w:rsidR="00000000" w:rsidRDefault="00897B14">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60 - 133 bps</w:t>
            </w:r>
          </w:p>
          <w:p w:rsidR="00000000" w:rsidRDefault="00897B14">
            <w:pPr>
              <w:spacing w:after="100"/>
              <w:jc w:val="center"/>
              <w:rPr>
                <w:rFonts w:eastAsia="Times New Roman"/>
              </w:rPr>
            </w:pPr>
            <w:r>
              <w:rPr>
                <w:rFonts w:eastAsia="Times New Roman"/>
                <w:color w:val="000000"/>
                <w:sz w:val="18"/>
                <w:szCs w:val="18"/>
              </w:rPr>
              <w:t>1.1% - 11.1%</w:t>
            </w:r>
          </w:p>
          <w:p w:rsidR="00000000" w:rsidRDefault="00897B14">
            <w:pPr>
              <w:spacing w:after="100"/>
              <w:jc w:val="center"/>
              <w:rPr>
                <w:rFonts w:eastAsia="Times New Roman"/>
              </w:rPr>
            </w:pPr>
            <w:r>
              <w:rPr>
                <w:rFonts w:eastAsia="Times New Roman"/>
                <w:color w:val="000000"/>
                <w:sz w:val="18"/>
                <w:szCs w:val="18"/>
              </w:rPr>
              <w:t>0.6% - 22.2%</w:t>
            </w:r>
          </w:p>
          <w:p w:rsidR="00000000" w:rsidRDefault="00897B14">
            <w:pPr>
              <w:spacing w:after="100"/>
              <w:jc w:val="center"/>
              <w:rPr>
                <w:rFonts w:eastAsia="Times New Roman"/>
              </w:rPr>
            </w:pPr>
            <w:r>
              <w:rPr>
                <w:rFonts w:eastAsia="Times New Roman"/>
                <w:color w:val="000000"/>
                <w:sz w:val="18"/>
                <w:szCs w:val="18"/>
              </w:rPr>
              <w:t>1.1% - 100%</w:t>
            </w:r>
          </w:p>
          <w:p w:rsidR="00000000" w:rsidRDefault="00897B14">
            <w:pPr>
              <w:spacing w:after="100"/>
              <w:jc w:val="center"/>
              <w:rPr>
                <w:rFonts w:eastAsia="Times New Roman"/>
              </w:rPr>
            </w:pPr>
            <w:r>
              <w:rPr>
                <w:rFonts w:eastAsia="Times New Roman"/>
                <w:color w:val="000000"/>
                <w:sz w:val="18"/>
                <w:szCs w:val="18"/>
              </w:rPr>
              <w:t>0% -30%</w:t>
            </w:r>
          </w:p>
          <w:p w:rsidR="00000000" w:rsidRDefault="00897B14">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99 bps</w:t>
            </w:r>
          </w:p>
          <w:p w:rsidR="00000000" w:rsidRDefault="00897B14">
            <w:pPr>
              <w:spacing w:after="100"/>
              <w:jc w:val="center"/>
              <w:rPr>
                <w:rFonts w:eastAsia="Times New Roman"/>
              </w:rPr>
            </w:pPr>
            <w:r>
              <w:rPr>
                <w:rFonts w:eastAsia="Times New Roman"/>
                <w:color w:val="000000"/>
                <w:sz w:val="18"/>
                <w:szCs w:val="18"/>
              </w:rPr>
              <w:t>1.69%</w:t>
            </w:r>
          </w:p>
          <w:p w:rsidR="00000000" w:rsidRDefault="00897B14">
            <w:pPr>
              <w:spacing w:after="100"/>
              <w:jc w:val="center"/>
              <w:rPr>
                <w:rFonts w:eastAsia="Times New Roman"/>
              </w:rPr>
            </w:pPr>
            <w:r>
              <w:rPr>
                <w:rFonts w:eastAsia="Times New Roman"/>
                <w:color w:val="000000"/>
                <w:sz w:val="18"/>
                <w:szCs w:val="18"/>
              </w:rPr>
              <w:t>0.91%</w:t>
            </w:r>
          </w:p>
          <w:p w:rsidR="00000000" w:rsidRDefault="00897B14">
            <w:pPr>
              <w:spacing w:after="100"/>
              <w:jc w:val="center"/>
              <w:rPr>
                <w:rFonts w:eastAsia="Times New Roman"/>
              </w:rPr>
            </w:pPr>
            <w:r>
              <w:rPr>
                <w:rFonts w:eastAsia="Times New Roman"/>
                <w:color w:val="000000"/>
                <w:sz w:val="18"/>
                <w:szCs w:val="18"/>
              </w:rPr>
              <w:t>(same for all ages)</w:t>
            </w:r>
          </w:p>
          <w:p w:rsidR="00000000" w:rsidRDefault="00897B14">
            <w:pPr>
              <w:spacing w:after="100"/>
              <w:jc w:val="center"/>
              <w:rPr>
                <w:rFonts w:eastAsia="Times New Roman"/>
              </w:rPr>
            </w:pPr>
            <w:r>
              <w:rPr>
                <w:rFonts w:eastAsia="Times New Roman"/>
                <w:color w:val="000000"/>
                <w:sz w:val="18"/>
                <w:szCs w:val="18"/>
              </w:rPr>
              <w:t>5.82%</w:t>
            </w:r>
          </w:p>
          <w:p w:rsidR="00000000" w:rsidRDefault="00897B14">
            <w:pPr>
              <w:spacing w:after="100"/>
              <w:jc w:val="center"/>
              <w:rPr>
                <w:rFonts w:eastAsia="Times New Roman"/>
              </w:rPr>
            </w:pPr>
            <w:r>
              <w:rPr>
                <w:rFonts w:eastAsia="Times New Roman"/>
                <w:color w:val="000000"/>
                <w:sz w:val="18"/>
                <w:szCs w:val="18"/>
              </w:rPr>
              <w:t>24%</w:t>
            </w:r>
          </w:p>
        </w:tc>
      </w:tr>
      <w:tr w:rsidR="00000000">
        <w:trPr>
          <w:divId w:val="83122118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190 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Utilization rates</w:t>
            </w:r>
          </w:p>
          <w:p w:rsidR="00000000" w:rsidRDefault="00897B14">
            <w:pPr>
              <w:spacing w:after="100"/>
              <w:jc w:val="right"/>
              <w:rPr>
                <w:rFonts w:eastAsia="Times New Roman"/>
              </w:rPr>
            </w:pPr>
          </w:p>
          <w:p w:rsidR="00000000" w:rsidRDefault="00897B14">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96.0 bps</w:t>
            </w:r>
          </w:p>
          <w:p w:rsidR="00000000" w:rsidRDefault="00897B14">
            <w:pPr>
              <w:spacing w:after="100"/>
              <w:jc w:val="center"/>
              <w:rPr>
                <w:rFonts w:eastAsia="Times New Roman"/>
              </w:rPr>
            </w:pPr>
            <w:r>
              <w:rPr>
                <w:rFonts w:eastAsia="Times New Roman"/>
                <w:color w:val="000000"/>
                <w:sz w:val="18"/>
                <w:szCs w:val="18"/>
              </w:rPr>
              <w:t>0.8%-16%</w:t>
            </w:r>
          </w:p>
          <w:p w:rsidR="00000000" w:rsidRDefault="00897B14">
            <w:pPr>
              <w:spacing w:after="100"/>
              <w:jc w:val="center"/>
              <w:rPr>
                <w:rFonts w:eastAsia="Times New Roman"/>
              </w:rPr>
            </w:pPr>
            <w:r>
              <w:rPr>
                <w:rFonts w:eastAsia="Times New Roman"/>
                <w:color w:val="000000"/>
                <w:sz w:val="18"/>
                <w:szCs w:val="18"/>
              </w:rPr>
              <w:t>0%-8%</w:t>
            </w:r>
          </w:p>
          <w:p w:rsidR="00000000" w:rsidRDefault="00897B14">
            <w:pPr>
              <w:spacing w:after="100"/>
              <w:jc w:val="center"/>
              <w:rPr>
                <w:rFonts w:eastAsia="Times New Roman"/>
              </w:rPr>
            </w:pPr>
            <w:r>
              <w:rPr>
                <w:rFonts w:eastAsia="Times New Roman"/>
                <w:color w:val="000000"/>
                <w:sz w:val="18"/>
                <w:szCs w:val="18"/>
              </w:rPr>
              <w:t>100% once starting</w:t>
            </w:r>
          </w:p>
          <w:p w:rsidR="00000000" w:rsidRDefault="00897B14">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1.69%</w:t>
            </w:r>
          </w:p>
          <w:p w:rsidR="00000000" w:rsidRDefault="00897B14">
            <w:pPr>
              <w:spacing w:after="100"/>
              <w:jc w:val="center"/>
              <w:rPr>
                <w:rFonts w:eastAsia="Times New Roman"/>
              </w:rPr>
            </w:pPr>
            <w:r>
              <w:rPr>
                <w:rFonts w:eastAsia="Times New Roman"/>
                <w:color w:val="000000"/>
                <w:sz w:val="18"/>
                <w:szCs w:val="18"/>
              </w:rPr>
              <w:t>0.91%</w:t>
            </w:r>
          </w:p>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24%</w:t>
            </w:r>
          </w:p>
        </w:tc>
      </w:tr>
      <w:tr w:rsidR="00000000">
        <w:trPr>
          <w:divId w:val="8312211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31 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Withdrawal rates</w:t>
            </w:r>
          </w:p>
          <w:p w:rsidR="00000000" w:rsidRDefault="00897B14">
            <w:pPr>
              <w:spacing w:after="100"/>
              <w:jc w:val="right"/>
              <w:rPr>
                <w:rFonts w:eastAsia="Times New Roman"/>
              </w:rPr>
            </w:pPr>
            <w:r>
              <w:rPr>
                <w:rFonts w:eastAsia="Times New Roman"/>
                <w:color w:val="000000"/>
                <w:sz w:val="18"/>
                <w:szCs w:val="18"/>
              </w:rPr>
              <w:t>Utilization rates</w:t>
            </w:r>
          </w:p>
          <w:p w:rsidR="00000000" w:rsidRDefault="00897B14">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96.0 bps</w:t>
            </w:r>
          </w:p>
          <w:p w:rsidR="00000000" w:rsidRDefault="00897B14">
            <w:pPr>
              <w:spacing w:after="100"/>
              <w:jc w:val="center"/>
              <w:rPr>
                <w:rFonts w:eastAsia="Times New Roman"/>
              </w:rPr>
            </w:pPr>
            <w:r>
              <w:rPr>
                <w:rFonts w:eastAsia="Times New Roman"/>
                <w:color w:val="000000"/>
                <w:sz w:val="18"/>
                <w:szCs w:val="18"/>
              </w:rPr>
              <w:t>0.8%-15.6%</w:t>
            </w:r>
          </w:p>
          <w:p w:rsidR="00000000" w:rsidRDefault="00897B14">
            <w:pPr>
              <w:spacing w:after="100"/>
              <w:jc w:val="center"/>
              <w:rPr>
                <w:rFonts w:eastAsia="Times New Roman"/>
              </w:rPr>
            </w:pPr>
            <w:r>
              <w:rPr>
                <w:rFonts w:eastAsia="Times New Roman"/>
                <w:color w:val="000000"/>
                <w:sz w:val="18"/>
                <w:szCs w:val="18"/>
              </w:rPr>
              <w:t>0%-2%</w:t>
            </w:r>
          </w:p>
          <w:p w:rsidR="00000000" w:rsidRDefault="00897B14">
            <w:pPr>
              <w:spacing w:after="100"/>
              <w:jc w:val="center"/>
              <w:rPr>
                <w:rFonts w:eastAsia="Times New Roman"/>
              </w:rPr>
            </w:pPr>
            <w:r>
              <w:rPr>
                <w:rFonts w:eastAsia="Times New Roman"/>
                <w:color w:val="000000"/>
                <w:sz w:val="18"/>
                <w:szCs w:val="18"/>
              </w:rPr>
              <w:t>0%-100%</w:t>
            </w:r>
          </w:p>
          <w:p w:rsidR="00000000" w:rsidRDefault="00897B14">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1.69%</w:t>
            </w:r>
          </w:p>
          <w:p w:rsidR="00000000" w:rsidRDefault="00897B14">
            <w:pPr>
              <w:spacing w:after="100"/>
              <w:jc w:val="center"/>
              <w:rPr>
                <w:rFonts w:eastAsia="Times New Roman"/>
              </w:rPr>
            </w:pPr>
            <w:r>
              <w:rPr>
                <w:rFonts w:eastAsia="Times New Roman"/>
                <w:color w:val="000000"/>
                <w:sz w:val="18"/>
                <w:szCs w:val="18"/>
              </w:rPr>
              <w:t>0.91%</w:t>
            </w:r>
          </w:p>
          <w:p w:rsidR="00000000" w:rsidRDefault="00897B14">
            <w:pPr>
              <w:spacing w:after="100"/>
              <w:jc w:val="center"/>
              <w:rPr>
                <w:rFonts w:eastAsia="Times New Roman"/>
              </w:rPr>
            </w:pPr>
            <w:r>
              <w:rPr>
                <w:rFonts w:eastAsia="Times New Roman"/>
                <w:color w:val="000000"/>
                <w:sz w:val="18"/>
                <w:szCs w:val="18"/>
              </w:rPr>
              <w:t>5.82%</w:t>
            </w:r>
          </w:p>
          <w:p w:rsidR="00000000" w:rsidRDefault="00897B14">
            <w:pPr>
              <w:spacing w:after="100"/>
              <w:jc w:val="center"/>
              <w:rPr>
                <w:rFonts w:eastAsia="Times New Roman"/>
              </w:rPr>
            </w:pPr>
            <w:r>
              <w:rPr>
                <w:rFonts w:eastAsia="Times New Roman"/>
                <w:color w:val="000000"/>
                <w:sz w:val="18"/>
                <w:szCs w:val="18"/>
              </w:rPr>
              <w:t>24%</w:t>
            </w:r>
          </w:p>
        </w:tc>
      </w:tr>
      <w:tr w:rsidR="00000000">
        <w:trPr>
          <w:divId w:val="831221189"/>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18"/>
                <w:szCs w:val="18"/>
              </w:rPr>
              <w:t>2 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897B14">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18"/>
                <w:szCs w:val="18"/>
              </w:rPr>
              <w:t>Non-performance risk</w:t>
            </w:r>
          </w:p>
          <w:p w:rsidR="00000000" w:rsidRDefault="00897B14">
            <w:pPr>
              <w:spacing w:after="100"/>
              <w:jc w:val="right"/>
              <w:rPr>
                <w:rFonts w:eastAsia="Times New Roman"/>
              </w:rPr>
            </w:pPr>
            <w:r>
              <w:rPr>
                <w:rFonts w:eastAsia="Times New Roman"/>
                <w:color w:val="000000"/>
                <w:sz w:val="18"/>
                <w:szCs w:val="18"/>
              </w:rPr>
              <w:t>Lapse rates</w:t>
            </w:r>
          </w:p>
          <w:p w:rsidR="00000000" w:rsidRDefault="00897B14">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18"/>
                <w:szCs w:val="18"/>
              </w:rPr>
              <w:t>96.0 bps</w:t>
            </w:r>
          </w:p>
          <w:p w:rsidR="00000000" w:rsidRDefault="00897B14">
            <w:pPr>
              <w:spacing w:after="100"/>
              <w:jc w:val="center"/>
              <w:rPr>
                <w:rFonts w:eastAsia="Times New Roman"/>
              </w:rPr>
            </w:pPr>
            <w:r>
              <w:rPr>
                <w:rFonts w:eastAsia="Times New Roman"/>
                <w:color w:val="000000"/>
                <w:sz w:val="18"/>
                <w:szCs w:val="18"/>
              </w:rPr>
              <w:t>0.8%-16%</w:t>
            </w:r>
          </w:p>
          <w:p w:rsidR="00000000" w:rsidRDefault="00897B14">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897B14">
            <w:pPr>
              <w:spacing w:after="100"/>
              <w:jc w:val="center"/>
              <w:rPr>
                <w:rFonts w:eastAsia="Times New Roman"/>
              </w:rPr>
            </w:pPr>
          </w:p>
          <w:p w:rsidR="00000000" w:rsidRDefault="00897B14">
            <w:pPr>
              <w:spacing w:after="100"/>
              <w:jc w:val="center"/>
              <w:rPr>
                <w:rFonts w:eastAsia="Times New Roman"/>
              </w:rPr>
            </w:pPr>
            <w:r>
              <w:rPr>
                <w:rFonts w:eastAsia="Times New Roman"/>
                <w:color w:val="000000"/>
                <w:sz w:val="18"/>
                <w:szCs w:val="18"/>
              </w:rPr>
              <w:t>1.69%</w:t>
            </w:r>
          </w:p>
          <w:p w:rsidR="00000000" w:rsidRDefault="00897B14">
            <w:pPr>
              <w:spacing w:after="100"/>
              <w:jc w:val="center"/>
              <w:rPr>
                <w:rFonts w:eastAsia="Times New Roman"/>
              </w:rPr>
            </w:pPr>
            <w:r>
              <w:rPr>
                <w:rFonts w:eastAsia="Times New Roman"/>
                <w:color w:val="000000"/>
                <w:sz w:val="18"/>
                <w:szCs w:val="18"/>
              </w:rPr>
              <w:t>24%</w:t>
            </w:r>
          </w:p>
        </w:tc>
      </w:tr>
    </w:tbl>
    <w:p w:rsidR="00000000" w:rsidRDefault="00897B14">
      <w:pPr>
        <w:jc w:val="both"/>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897B14">
      <w:pPr>
        <w:ind w:hanging="360"/>
        <w:divId w:val="970675410"/>
        <w:rPr>
          <w:rFonts w:eastAsia="Times New Roman"/>
        </w:rPr>
      </w:pPr>
      <w:r>
        <w:rPr>
          <w:rFonts w:eastAsia="Times New Roman"/>
          <w:color w:val="000000"/>
          <w:sz w:val="18"/>
          <w:szCs w:val="18"/>
        </w:rPr>
        <w:t xml:space="preserve">(1)Mortality rates vary by age and demographic characteristic such as gender. Mortality rate assumptions are based on a combination of company and industry experience. A mortality improvement assumption is also applied. For any given contract, mortality </w:t>
      </w:r>
      <w:r>
        <w:rPr>
          <w:rFonts w:eastAsia="Times New Roman"/>
          <w:color w:val="000000"/>
          <w:sz w:val="18"/>
          <w:szCs w:val="18"/>
        </w:rPr>
        <w:t>rates vary throughout the period over which cash flows are projected for purposes of valuating the embedded derivatives.</w:t>
      </w:r>
    </w:p>
    <w:p w:rsidR="00000000" w:rsidRDefault="00897B14">
      <w:pPr>
        <w:jc w:val="both"/>
        <w:divId w:val="808983867"/>
        <w:rPr>
          <w:rFonts w:eastAsia="Times New Roman"/>
        </w:rPr>
      </w:pPr>
      <w:r>
        <w:rPr>
          <w:rFonts w:eastAsia="Times New Roman"/>
          <w:b/>
          <w:bCs/>
          <w:i/>
          <w:iCs/>
          <w:color w:val="000000"/>
          <w:sz w:val="20"/>
          <w:szCs w:val="20"/>
        </w:rPr>
        <w:t>Level 3 Financial Instruments for which Quantitative Inputs are Not Available</w:t>
      </w:r>
    </w:p>
    <w:p w:rsidR="00000000" w:rsidRDefault="00897B14">
      <w:pPr>
        <w:jc w:val="both"/>
        <w:divId w:val="1950354033"/>
        <w:rPr>
          <w:rFonts w:eastAsia="Times New Roman"/>
        </w:rPr>
      </w:pPr>
      <w:r>
        <w:rPr>
          <w:rFonts w:eastAsia="Times New Roman"/>
          <w:color w:val="000000"/>
          <w:sz w:val="20"/>
          <w:szCs w:val="20"/>
          <w:u w:val="single"/>
        </w:rPr>
        <w:t>Certain Privately Placed Debt Securities with Limited Trading Activity</w:t>
      </w:r>
    </w:p>
    <w:p w:rsidR="00000000" w:rsidRDefault="00897B14">
      <w:pPr>
        <w:divId w:val="537396186"/>
        <w:rPr>
          <w:rFonts w:eastAsia="Times New Roman"/>
        </w:rPr>
      </w:pPr>
      <w:r>
        <w:rPr>
          <w:rFonts w:eastAsia="Times New Roman"/>
          <w:color w:val="000000"/>
          <w:sz w:val="20"/>
          <w:szCs w:val="20"/>
        </w:rPr>
        <w:t>Excluded from the tables above as of June 30, 2021 and December 31, 2020, respectively, are approximately $</w:t>
      </w:r>
      <w:r>
        <w:rPr>
          <w:rFonts w:eastAsia="Times New Roman"/>
          <w:color w:val="000000"/>
          <w:sz w:val="20"/>
          <w:szCs w:val="20"/>
        </w:rPr>
        <w:t>770 million and $743 million of Level 3 fair value measurements of investments for which the underlying quantitative inputs are not developed by the Company and are not readily available. These investments primarily consist of certain privately placed debt</w:t>
      </w:r>
      <w:r>
        <w:rPr>
          <w:rFonts w:eastAsia="Times New Roman"/>
          <w:color w:val="000000"/>
          <w:sz w:val="20"/>
          <w:szCs w:val="20"/>
        </w:rPr>
        <w:t xml:space="preserve"> securities with limited trading activity, including residential mortgage- and asset-backed instruments, and their fair values generally reflect unadjusted prices obtained from independent valuation service providers and indicative, non-binding quotes obta</w:t>
      </w:r>
      <w:r>
        <w:rPr>
          <w:rFonts w:eastAsia="Times New Roman"/>
          <w:color w:val="000000"/>
          <w:sz w:val="20"/>
          <w:szCs w:val="20"/>
        </w:rPr>
        <w:t>ined from third-party broker-dealers recognized as market participants. Significant increases or decreases in the fair value amounts received from these pricing sources may result in the Company’s reporting significantly higher or lower fair value measurem</w:t>
      </w:r>
      <w:r>
        <w:rPr>
          <w:rFonts w:eastAsia="Times New Roman"/>
          <w:color w:val="000000"/>
          <w:sz w:val="20"/>
          <w:szCs w:val="20"/>
        </w:rPr>
        <w:t>ents for these Level 3 investments.</w:t>
      </w:r>
    </w:p>
    <w:p w:rsidR="00000000" w:rsidRDefault="00897B14">
      <w:pPr>
        <w:ind w:hanging="360"/>
        <w:jc w:val="both"/>
        <w:divId w:val="1212578089"/>
        <w:rPr>
          <w:rFonts w:eastAsia="Times New Roman"/>
        </w:rPr>
      </w:pPr>
      <w:r>
        <w:rPr>
          <w:rFonts w:eastAsia="Times New Roman"/>
          <w:color w:val="000000"/>
          <w:sz w:val="20"/>
          <w:szCs w:val="20"/>
        </w:rPr>
        <w:t>•The fair value of private placement securities is determined by application of a matrix pricing model or a market comparable company value technique. The significant unobservable input to the matrix pricing model valuat</w:t>
      </w:r>
      <w:r>
        <w:rPr>
          <w:rFonts w:eastAsia="Times New Roman"/>
          <w:color w:val="000000"/>
          <w:sz w:val="20"/>
          <w:szCs w:val="20"/>
        </w:rPr>
        <w:t xml:space="preserve">ion technique is the spread over the industry-specific benchmark yield curve. Generally, an increase or decrease in spreads would lead to directionally inverse movement in the fair value measurements of these securities. The significant unobservable input </w:t>
      </w:r>
      <w:r>
        <w:rPr>
          <w:rFonts w:eastAsia="Times New Roman"/>
          <w:color w:val="000000"/>
          <w:sz w:val="20"/>
          <w:szCs w:val="20"/>
        </w:rPr>
        <w:t xml:space="preserve">to the market comparable company valuation technique is the </w:t>
      </w:r>
    </w:p>
    <w:p w:rsidR="00000000" w:rsidRDefault="00897B14">
      <w:pPr>
        <w:jc w:val="center"/>
        <w:divId w:val="1005132386"/>
        <w:rPr>
          <w:rFonts w:eastAsia="Times New Roman"/>
        </w:rPr>
      </w:pPr>
    </w:p>
    <w:p w:rsidR="00000000" w:rsidRDefault="00897B14">
      <w:pPr>
        <w:jc w:val="center"/>
        <w:divId w:val="1005132386"/>
        <w:rPr>
          <w:rFonts w:eastAsia="Times New Roman"/>
        </w:rPr>
      </w:pPr>
      <w:r>
        <w:rPr>
          <w:rFonts w:eastAsia="Times New Roman"/>
          <w:color w:val="000000"/>
          <w:sz w:val="20"/>
          <w:szCs w:val="20"/>
        </w:rPr>
        <w:t>54</w:t>
      </w:r>
    </w:p>
    <w:p w:rsidR="00000000" w:rsidRDefault="00897B14">
      <w:pPr>
        <w:rPr>
          <w:rFonts w:eastAsia="Times New Roman"/>
        </w:rPr>
      </w:pPr>
      <w:r>
        <w:rPr>
          <w:rFonts w:eastAsia="Times New Roman"/>
        </w:rPr>
        <w:pict>
          <v:rect id="_x0000_i1080" style="width:0;height:1.5pt" o:hralign="center" o:hrstd="t" o:hr="t" fillcolor="#a0a0a0" stroked="f"/>
        </w:pict>
      </w:r>
    </w:p>
    <w:p w:rsidR="00000000" w:rsidRDefault="00897B14">
      <w:pPr>
        <w:divId w:val="1477918529"/>
        <w:rPr>
          <w:rFonts w:eastAsia="Times New Roman"/>
        </w:rPr>
      </w:pPr>
      <w:r>
        <w:rPr>
          <w:rFonts w:eastAsia="Times New Roman"/>
          <w:b/>
          <w:bCs/>
          <w:color w:val="0000FF"/>
          <w:sz w:val="20"/>
          <w:szCs w:val="20"/>
          <w:u w:val="single"/>
        </w:rPr>
        <w:t>Table of Contents</w:t>
      </w:r>
    </w:p>
    <w:p w:rsidR="00000000" w:rsidRDefault="00897B14">
      <w:pPr>
        <w:jc w:val="center"/>
        <w:divId w:val="2098162489"/>
        <w:rPr>
          <w:rFonts w:eastAsia="Times New Roman"/>
        </w:rPr>
      </w:pPr>
      <w:r>
        <w:rPr>
          <w:rFonts w:eastAsia="Times New Roman"/>
          <w:b/>
          <w:bCs/>
          <w:color w:val="000000"/>
          <w:sz w:val="20"/>
          <w:szCs w:val="20"/>
        </w:rPr>
        <w:t>EQUITABLE HOLDINGS, INC.</w:t>
      </w:r>
    </w:p>
    <w:p w:rsidR="00000000" w:rsidRDefault="00897B14">
      <w:pPr>
        <w:jc w:val="center"/>
        <w:divId w:val="2098162489"/>
        <w:rPr>
          <w:rFonts w:eastAsia="Times New Roman"/>
        </w:rPr>
      </w:pPr>
      <w:r>
        <w:rPr>
          <w:rFonts w:eastAsia="Times New Roman"/>
          <w:b/>
          <w:bCs/>
          <w:color w:val="000000"/>
          <w:sz w:val="20"/>
          <w:szCs w:val="20"/>
        </w:rPr>
        <w:t>Notes to Consolidated Financial Statements (Unaudited), Continued</w:t>
      </w:r>
    </w:p>
    <w:p w:rsidR="00000000" w:rsidRDefault="00897B14">
      <w:pPr>
        <w:divId w:val="1107967334"/>
        <w:rPr>
          <w:rFonts w:eastAsia="Times New Roman"/>
        </w:rPr>
      </w:pPr>
    </w:p>
    <w:p w:rsidR="00000000" w:rsidRDefault="00897B14">
      <w:pPr>
        <w:jc w:val="both"/>
        <w:divId w:val="459149682"/>
        <w:rPr>
          <w:rFonts w:eastAsia="Times New Roman"/>
        </w:rPr>
      </w:pPr>
      <w:r>
        <w:rPr>
          <w:rFonts w:eastAsia="Times New Roman"/>
          <w:color w:val="000000"/>
          <w:sz w:val="20"/>
          <w:szCs w:val="20"/>
        </w:rPr>
        <w:t>discount rate. Generally, a significant inc</w:t>
      </w:r>
      <w:r>
        <w:rPr>
          <w:rFonts w:eastAsia="Times New Roman"/>
          <w:color w:val="000000"/>
          <w:sz w:val="20"/>
          <w:szCs w:val="20"/>
        </w:rPr>
        <w:t>rease (decrease) in the discount rate would result in significantly lower (higher) fair value measurements of these securities.</w:t>
      </w:r>
    </w:p>
    <w:p w:rsidR="00000000" w:rsidRDefault="00897B14">
      <w:pPr>
        <w:ind w:hanging="360"/>
        <w:jc w:val="both"/>
        <w:divId w:val="1424108626"/>
        <w:rPr>
          <w:rFonts w:eastAsia="Times New Roman"/>
        </w:rPr>
      </w:pPr>
      <w:r>
        <w:rPr>
          <w:rFonts w:eastAsia="Times New Roman"/>
          <w:color w:val="000000"/>
          <w:sz w:val="20"/>
          <w:szCs w:val="20"/>
        </w:rPr>
        <w:t>•Residential mortgage-backed securities classified as Level 3 primarily consist of non-agency paper with low trading activity. I</w:t>
      </w:r>
      <w:r>
        <w:rPr>
          <w:rFonts w:eastAsia="Times New Roman"/>
          <w:color w:val="000000"/>
          <w:sz w:val="20"/>
          <w:szCs w:val="20"/>
        </w:rPr>
        <w:t>ncluded in the tables above as of June 30, 2021 and December 31, 2020, there were no Level 3 securities that were determined by application of a matrix pricing model and for which the spread over the U.S. Treasury curve is the most significant unobservable</w:t>
      </w:r>
      <w:r>
        <w:rPr>
          <w:rFonts w:eastAsia="Times New Roman"/>
          <w:color w:val="000000"/>
          <w:sz w:val="20"/>
          <w:szCs w:val="20"/>
        </w:rPr>
        <w:t xml:space="preserve"> input to the pricing result. Generally, a change in spreads would lead to directionally inverse movement in the fair value measurements of these securities.</w:t>
      </w:r>
    </w:p>
    <w:p w:rsidR="00000000" w:rsidRDefault="00897B14">
      <w:pPr>
        <w:ind w:hanging="360"/>
        <w:divId w:val="1384909461"/>
        <w:rPr>
          <w:rFonts w:eastAsia="Times New Roman"/>
        </w:rPr>
      </w:pPr>
      <w:r>
        <w:rPr>
          <w:rFonts w:eastAsia="Times New Roman"/>
          <w:color w:val="000000"/>
          <w:sz w:val="20"/>
          <w:szCs w:val="20"/>
        </w:rPr>
        <w:t>•Asset-backed securities classified as Level 3 primarily consist of non-agency mortgage loan trust</w:t>
      </w:r>
      <w:r>
        <w:rPr>
          <w:rFonts w:eastAsia="Times New Roman"/>
          <w:color w:val="000000"/>
          <w:sz w:val="20"/>
          <w:szCs w:val="20"/>
        </w:rPr>
        <w:t xml:space="preserve"> certificates, including subprime and Alt-A paper, credit risk transfer securities, and equipment financings. Included in the tables above as of June 30, 2021 and December 31, 2020, there were no securities that were determined by the application of matrix</w:t>
      </w:r>
      <w:r>
        <w:rPr>
          <w:rFonts w:eastAsia="Times New Roman"/>
          <w:color w:val="000000"/>
          <w:sz w:val="20"/>
          <w:szCs w:val="20"/>
        </w:rPr>
        <w:t>-pricing for which the spread over the U.S. Treasury curve is the most significant unobservable input to the pricing result. Significant increases (decreases) in spreads would have resulted in significantly lower (higher) fair value measurements.</w:t>
      </w:r>
    </w:p>
    <w:p w:rsidR="00000000" w:rsidRDefault="00897B14">
      <w:pPr>
        <w:jc w:val="both"/>
        <w:divId w:val="278493659"/>
        <w:rPr>
          <w:rFonts w:eastAsia="Times New Roman"/>
        </w:rPr>
      </w:pPr>
      <w:r>
        <w:rPr>
          <w:rFonts w:eastAsia="Times New Roman"/>
          <w:color w:val="000000"/>
          <w:sz w:val="20"/>
          <w:szCs w:val="20"/>
          <w:u w:val="single"/>
        </w:rPr>
        <w:t>Other Equ</w:t>
      </w:r>
      <w:r>
        <w:rPr>
          <w:rFonts w:eastAsia="Times New Roman"/>
          <w:color w:val="000000"/>
          <w:sz w:val="20"/>
          <w:szCs w:val="20"/>
          <w:u w:val="single"/>
        </w:rPr>
        <w:t>ity Investments</w:t>
      </w:r>
    </w:p>
    <w:p w:rsidR="00000000" w:rsidRDefault="00897B14">
      <w:pPr>
        <w:divId w:val="79908665"/>
        <w:rPr>
          <w:rFonts w:eastAsia="Times New Roman"/>
        </w:rPr>
      </w:pPr>
      <w:r>
        <w:rPr>
          <w:rFonts w:eastAsia="Times New Roman"/>
          <w:color w:val="000000"/>
          <w:sz w:val="20"/>
          <w:szCs w:val="20"/>
        </w:rPr>
        <w:t>Included in other equity investments classified as Level 3 are venture capital securities in the Technology, Media and Telecommunications industries. The fair value measurements of these securities include significant unobservable inputs in</w:t>
      </w:r>
      <w:r>
        <w:rPr>
          <w:rFonts w:eastAsia="Times New Roman"/>
          <w:color w:val="000000"/>
          <w:sz w:val="20"/>
          <w:szCs w:val="20"/>
        </w:rPr>
        <w:t>cluding an enterprise value to revenue multiples and a discount rate to account for liquidity and various risk factors. Significant increases (decreases) in the enterprise value to revenue multiple inputs in isolation would have resulted in a significantly</w:t>
      </w:r>
      <w:r>
        <w:rPr>
          <w:rFonts w:eastAsia="Times New Roman"/>
          <w:color w:val="000000"/>
          <w:sz w:val="20"/>
          <w:szCs w:val="20"/>
        </w:rPr>
        <w:t xml:space="preserve"> higher (lower) fair value measurement. Significant increases (decreases) in the discount rate would have resulted in a significantly lower (higher) fair value measurement.</w:t>
      </w:r>
    </w:p>
    <w:p w:rsidR="00000000" w:rsidRDefault="00897B14">
      <w:pPr>
        <w:jc w:val="both"/>
        <w:divId w:val="1763262399"/>
        <w:rPr>
          <w:rFonts w:eastAsia="Times New Roman"/>
        </w:rPr>
      </w:pPr>
      <w:r>
        <w:rPr>
          <w:rFonts w:eastAsia="Times New Roman"/>
          <w:color w:val="000000"/>
          <w:sz w:val="20"/>
          <w:szCs w:val="20"/>
          <w:u w:val="single"/>
        </w:rPr>
        <w:t>GMIB Reinsurance Contract Asset, Amounts Due from Reinsurers and GMxB Derivative Fe</w:t>
      </w:r>
      <w:r>
        <w:rPr>
          <w:rFonts w:eastAsia="Times New Roman"/>
          <w:color w:val="000000"/>
          <w:sz w:val="20"/>
          <w:szCs w:val="20"/>
          <w:u w:val="single"/>
        </w:rPr>
        <w:t xml:space="preserve">atures </w:t>
      </w:r>
    </w:p>
    <w:p w:rsidR="00000000" w:rsidRDefault="00897B14">
      <w:pPr>
        <w:divId w:val="488987915"/>
        <w:rPr>
          <w:rFonts w:eastAsia="Times New Roman"/>
        </w:rPr>
      </w:pPr>
      <w:r>
        <w:rPr>
          <w:rFonts w:eastAsia="Times New Roman"/>
          <w:color w:val="000000"/>
          <w:sz w:val="20"/>
          <w:szCs w:val="20"/>
        </w:rPr>
        <w:t>Significant unobservable inputs with respect to the fair value measurement of the Level 3 GMIB reinsurance contract asset and the Level 3 liabilities identified in the table above are developed using Company data.</w:t>
      </w:r>
    </w:p>
    <w:p w:rsidR="00000000" w:rsidRDefault="00897B14">
      <w:pPr>
        <w:divId w:val="96566668"/>
        <w:rPr>
          <w:rFonts w:eastAsia="Times New Roman"/>
        </w:rPr>
      </w:pPr>
      <w:r>
        <w:rPr>
          <w:rFonts w:eastAsia="Times New Roman"/>
          <w:color w:val="000000"/>
          <w:sz w:val="20"/>
          <w:szCs w:val="20"/>
        </w:rPr>
        <w:t>The significant unobservable input</w:t>
      </w:r>
      <w:r>
        <w:rPr>
          <w:rFonts w:eastAsia="Times New Roman"/>
          <w:color w:val="000000"/>
          <w:sz w:val="20"/>
          <w:szCs w:val="20"/>
        </w:rPr>
        <w:t>s used in the fair value measurement of the Company’s GMIB reinsurance contract asset are lapse rates, withdrawal rates, and GMIB utilization rates. Significant increases in GMIB utilization rates or decreases in lapse or withdrawal rates in isolation woul</w:t>
      </w:r>
      <w:r>
        <w:rPr>
          <w:rFonts w:eastAsia="Times New Roman"/>
          <w:color w:val="000000"/>
          <w:sz w:val="20"/>
          <w:szCs w:val="20"/>
        </w:rPr>
        <w:t>d tend to increase the GMIB reinsurance contract asset.</w:t>
      </w:r>
    </w:p>
    <w:p w:rsidR="00000000" w:rsidRDefault="00897B14">
      <w:pPr>
        <w:divId w:val="255097273"/>
        <w:rPr>
          <w:rFonts w:eastAsia="Times New Roman"/>
        </w:rPr>
      </w:pPr>
      <w:r>
        <w:rPr>
          <w:rFonts w:eastAsia="Times New Roman"/>
          <w:color w:val="000000"/>
          <w:sz w:val="20"/>
          <w:szCs w:val="20"/>
        </w:rPr>
        <w:t>Fair value measurement of the GMIB reinsurance contract asset, GMIB NLG Reinsurance and liabilities includes dynamic lapse and GMIB utilization assumptions whereby projected contractual lapses and GMI</w:t>
      </w:r>
      <w:r>
        <w:rPr>
          <w:rFonts w:eastAsia="Times New Roman"/>
          <w:color w:val="000000"/>
          <w:sz w:val="20"/>
          <w:szCs w:val="20"/>
        </w:rPr>
        <w:t>B utilization reflect the projected net amount of risks of the contract. As the net amount of risk of a contract increases, the assumed lapse rate decreases and the GMIB utilization increases. Increases in volatility would increase the asset and liabilitie</w:t>
      </w:r>
      <w:r>
        <w:rPr>
          <w:rFonts w:eastAsia="Times New Roman"/>
          <w:color w:val="000000"/>
          <w:sz w:val="20"/>
          <w:szCs w:val="20"/>
        </w:rPr>
        <w:t>s.</w:t>
      </w:r>
    </w:p>
    <w:p w:rsidR="00000000" w:rsidRDefault="00897B14">
      <w:pPr>
        <w:divId w:val="1477794545"/>
        <w:rPr>
          <w:rFonts w:eastAsia="Times New Roman"/>
        </w:rPr>
      </w:pPr>
      <w:r>
        <w:rPr>
          <w:rFonts w:eastAsia="Times New Roman"/>
          <w:color w:val="000000"/>
          <w:sz w:val="20"/>
          <w:szCs w:val="20"/>
        </w:rPr>
        <w:t>The significant unobservable inputs used in the fair value measurement of the Company’s GMIBNLG liability and GMIB NLG Reinsurance are lapse rates, withdrawal rates, GMIB utilization rates, adjustment for non-performance risk and NLG forfeiture rates. N</w:t>
      </w:r>
      <w:r>
        <w:rPr>
          <w:rFonts w:eastAsia="Times New Roman"/>
          <w:color w:val="000000"/>
          <w:sz w:val="20"/>
          <w:szCs w:val="20"/>
        </w:rPr>
        <w:t>LG forfeiture rates are caused by excess withdrawals above the annual GMIB accrual rate that cause the NLG to expire. Significant decreases in lapse rates, NLG forfeiture rates, adjustment for non-performance risk and GMIB utilization rates would tend to i</w:t>
      </w:r>
      <w:r>
        <w:rPr>
          <w:rFonts w:eastAsia="Times New Roman"/>
          <w:color w:val="000000"/>
          <w:sz w:val="20"/>
          <w:szCs w:val="20"/>
        </w:rPr>
        <w:t>ncrease the GMIBNLG liability and GMIB NLG Reinsurance, while decreases in withdrawal rates and volatility rates would tend to decrease the GMIBNLG liability and GMIB NLG Reinsurance.</w:t>
      </w:r>
    </w:p>
    <w:p w:rsidR="00000000" w:rsidRDefault="00897B14">
      <w:pPr>
        <w:divId w:val="1817188952"/>
        <w:rPr>
          <w:rFonts w:eastAsia="Times New Roman"/>
        </w:rPr>
      </w:pPr>
      <w:r>
        <w:rPr>
          <w:rFonts w:eastAsia="Times New Roman"/>
          <w:color w:val="000000"/>
          <w:sz w:val="20"/>
          <w:szCs w:val="20"/>
        </w:rPr>
        <w:t>The significant unobservable inputs used in the fair value measurement o</w:t>
      </w:r>
      <w:r>
        <w:rPr>
          <w:rFonts w:eastAsia="Times New Roman"/>
          <w:color w:val="000000"/>
          <w:sz w:val="20"/>
          <w:szCs w:val="20"/>
        </w:rPr>
        <w:t>f the Company’s GMWB and GWBL liability are lapse rates and withdrawal rates. Significant increases in withdrawal rates or decreases in lapse rates in isolation would tend to increase these liabilities. Increases in volatility would increase these liabilit</w:t>
      </w:r>
      <w:r>
        <w:rPr>
          <w:rFonts w:eastAsia="Times New Roman"/>
          <w:color w:val="000000"/>
          <w:sz w:val="20"/>
          <w:szCs w:val="20"/>
        </w:rPr>
        <w:t>ies.</w:t>
      </w:r>
    </w:p>
    <w:p w:rsidR="00000000" w:rsidRDefault="00897B14">
      <w:pPr>
        <w:jc w:val="both"/>
        <w:divId w:val="1083062050"/>
        <w:rPr>
          <w:rFonts w:eastAsia="Times New Roman"/>
        </w:rPr>
      </w:pPr>
      <w:r>
        <w:rPr>
          <w:rFonts w:eastAsia="Times New Roman"/>
          <w:color w:val="000000"/>
          <w:sz w:val="20"/>
          <w:szCs w:val="20"/>
          <w:u w:val="single"/>
        </w:rPr>
        <w:t>Carrying Value of Financial Instruments Not Otherwise Disclosed in Note 3 and Note 4</w:t>
      </w:r>
    </w:p>
    <w:p w:rsidR="00000000" w:rsidRDefault="00897B14">
      <w:pPr>
        <w:divId w:val="723790864"/>
        <w:rPr>
          <w:rFonts w:eastAsia="Times New Roman"/>
        </w:rPr>
      </w:pPr>
      <w:r>
        <w:rPr>
          <w:rFonts w:eastAsia="Times New Roman"/>
          <w:color w:val="000000"/>
          <w:sz w:val="20"/>
          <w:szCs w:val="20"/>
        </w:rPr>
        <w:t xml:space="preserve">The carrying values and fair values as of June 30, 2021 and December 31, 2020 for financial instruments not otherwise disclosed in Note 3 and Note 4 are presented in </w:t>
      </w:r>
      <w:r>
        <w:rPr>
          <w:rFonts w:eastAsia="Times New Roman"/>
          <w:color w:val="000000"/>
          <w:sz w:val="20"/>
          <w:szCs w:val="20"/>
        </w:rPr>
        <w:t>the table below.</w:t>
      </w:r>
    </w:p>
    <w:p w:rsidR="00000000" w:rsidRDefault="00897B14">
      <w:pPr>
        <w:jc w:val="center"/>
        <w:divId w:val="99951946"/>
        <w:rPr>
          <w:rFonts w:eastAsia="Times New Roman"/>
        </w:rPr>
      </w:pPr>
    </w:p>
    <w:p w:rsidR="00000000" w:rsidRDefault="00897B14">
      <w:pPr>
        <w:jc w:val="center"/>
        <w:divId w:val="99951946"/>
        <w:rPr>
          <w:rFonts w:eastAsia="Times New Roman"/>
        </w:rPr>
      </w:pPr>
      <w:r>
        <w:rPr>
          <w:rFonts w:eastAsia="Times New Roman"/>
          <w:color w:val="000000"/>
          <w:sz w:val="20"/>
          <w:szCs w:val="20"/>
        </w:rPr>
        <w:t>55</w:t>
      </w:r>
    </w:p>
    <w:p w:rsidR="00000000" w:rsidRDefault="00897B14">
      <w:pPr>
        <w:rPr>
          <w:rFonts w:eastAsia="Times New Roman"/>
        </w:rPr>
      </w:pPr>
      <w:r>
        <w:rPr>
          <w:rFonts w:eastAsia="Times New Roman"/>
        </w:rPr>
        <w:pict>
          <v:rect id="_x0000_i1081" style="width:0;height:1.5pt" o:hralign="center" o:hrstd="t" o:hr="t" fillcolor="#a0a0a0" stroked="f"/>
        </w:pict>
      </w:r>
    </w:p>
    <w:p w:rsidR="00000000" w:rsidRDefault="00897B14">
      <w:pPr>
        <w:divId w:val="2142652014"/>
        <w:rPr>
          <w:rFonts w:eastAsia="Times New Roman"/>
        </w:rPr>
      </w:pPr>
      <w:r>
        <w:rPr>
          <w:rFonts w:eastAsia="Times New Roman"/>
          <w:b/>
          <w:bCs/>
          <w:color w:val="0000FF"/>
          <w:sz w:val="20"/>
          <w:szCs w:val="20"/>
          <w:u w:val="single"/>
        </w:rPr>
        <w:t>Table of Contents</w:t>
      </w:r>
    </w:p>
    <w:p w:rsidR="00000000" w:rsidRDefault="00897B14">
      <w:pPr>
        <w:jc w:val="center"/>
        <w:divId w:val="561450173"/>
        <w:rPr>
          <w:rFonts w:eastAsia="Times New Roman"/>
        </w:rPr>
      </w:pPr>
      <w:r>
        <w:rPr>
          <w:rFonts w:eastAsia="Times New Roman"/>
          <w:b/>
          <w:bCs/>
          <w:color w:val="000000"/>
          <w:sz w:val="20"/>
          <w:szCs w:val="20"/>
        </w:rPr>
        <w:t>EQUITABLE HOLDINGS, INC.</w:t>
      </w:r>
    </w:p>
    <w:p w:rsidR="00000000" w:rsidRDefault="00897B14">
      <w:pPr>
        <w:jc w:val="center"/>
        <w:divId w:val="561450173"/>
        <w:rPr>
          <w:rFonts w:eastAsia="Times New Roman"/>
        </w:rPr>
      </w:pPr>
      <w:r>
        <w:rPr>
          <w:rFonts w:eastAsia="Times New Roman"/>
          <w:b/>
          <w:bCs/>
          <w:color w:val="000000"/>
          <w:sz w:val="20"/>
          <w:szCs w:val="20"/>
        </w:rPr>
        <w:t>Notes to Consolidated Financial Statements (Unaudited), Continued</w:t>
      </w:r>
    </w:p>
    <w:p w:rsidR="00000000" w:rsidRDefault="00897B14">
      <w:pPr>
        <w:divId w:val="297302986"/>
        <w:rPr>
          <w:rFonts w:eastAsia="Times New Roman"/>
        </w:rPr>
      </w:pPr>
    </w:p>
    <w:p w:rsidR="00000000" w:rsidRDefault="00897B14">
      <w:pPr>
        <w:jc w:val="center"/>
        <w:rPr>
          <w:rFonts w:eastAsia="Times New Roman"/>
        </w:rPr>
      </w:pPr>
      <w:r>
        <w:rPr>
          <w:rFonts w:eastAsia="Times New Roman"/>
          <w:b/>
          <w:bCs/>
          <w:color w:val="000000"/>
          <w:sz w:val="20"/>
          <w:szCs w:val="20"/>
        </w:rPr>
        <w:t>Carrying Values and Fair Values for Financial Instruments Not Otherwise Disclosed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385"/>
        <w:gridCol w:w="38"/>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3"/>
        <w:gridCol w:w="36"/>
      </w:tblGrid>
      <w:tr w:rsidR="00000000">
        <w:trPr>
          <w:divId w:val="913710281"/>
          <w:jc w:val="center"/>
        </w:trPr>
        <w:tc>
          <w:tcPr>
            <w:tcW w:w="50" w:type="pct"/>
            <w:vAlign w:val="center"/>
            <w:hideMark/>
          </w:tcPr>
          <w:p w:rsidR="00000000" w:rsidRDefault="00897B14">
            <w:pPr>
              <w:jc w:val="center"/>
              <w:rPr>
                <w:rFonts w:eastAsia="Times New Roman"/>
              </w:rPr>
            </w:pPr>
          </w:p>
        </w:tc>
        <w:tc>
          <w:tcPr>
            <w:tcW w:w="207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913710281"/>
          <w:trHeight w:val="240"/>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r>
      <w:tr w:rsidR="00000000">
        <w:trPr>
          <w:divId w:val="913710281"/>
          <w:trHeight w:val="240"/>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vMerge/>
            <w:vAlign w:val="center"/>
            <w:hideMark/>
          </w:tcPr>
          <w:p w:rsidR="00000000" w:rsidRDefault="00897B14">
            <w:pPr>
              <w:spacing w:after="100"/>
              <w:rPr>
                <w:rFonts w:eastAsia="Times New Roman"/>
              </w:rPr>
            </w:pPr>
          </w:p>
        </w:tc>
        <w:tc>
          <w:tcPr>
            <w:tcW w:w="0" w:type="auto"/>
            <w:gridSpan w:val="3"/>
            <w:vMerge/>
            <w:vAlign w:val="center"/>
            <w:hideMark/>
          </w:tcPr>
          <w:p w:rsidR="00000000" w:rsidRDefault="00897B14">
            <w:pPr>
              <w:spacing w:after="10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913710281"/>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913710281"/>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June 30, 2021:</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913710281"/>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13,701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13,701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Policy loans (1)</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Policyholders’ liabilities: Investment contracts (1) </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Short-term and long-term debt (2)</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913710281"/>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913710281"/>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13,159 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Policy loans (1)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Policyholders’ liabilities: Investment contracts (1)</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2,198 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6,897 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FABN funding agreements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Short-term and long-term debt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3710281"/>
          <w:jc w:val="center"/>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1788232754"/>
        <w:rPr>
          <w:rFonts w:eastAsia="Times New Roman"/>
        </w:rPr>
      </w:pPr>
      <w:r>
        <w:rPr>
          <w:rFonts w:eastAsia="Times New Roman"/>
          <w:color w:val="000000"/>
          <w:sz w:val="20"/>
          <w:szCs w:val="20"/>
        </w:rPr>
        <w:t>_____________</w:t>
      </w:r>
    </w:p>
    <w:p w:rsidR="00000000" w:rsidRDefault="00897B14">
      <w:pPr>
        <w:ind w:hanging="360"/>
        <w:divId w:val="1201015864"/>
        <w:rPr>
          <w:rFonts w:eastAsia="Times New Roman"/>
        </w:rPr>
      </w:pPr>
      <w:r>
        <w:rPr>
          <w:rFonts w:eastAsia="Times New Roman"/>
          <w:color w:val="000000"/>
          <w:sz w:val="18"/>
          <w:szCs w:val="18"/>
        </w:rPr>
        <w:t>(1)Excludes amounts reclassified as HFS.</w:t>
      </w:r>
    </w:p>
    <w:p w:rsidR="00000000" w:rsidRDefault="00897B14">
      <w:pPr>
        <w:ind w:hanging="360"/>
        <w:divId w:val="1570070505"/>
        <w:rPr>
          <w:rFonts w:eastAsia="Times New Roman"/>
        </w:rPr>
      </w:pPr>
      <w:r>
        <w:rPr>
          <w:rFonts w:eastAsia="Times New Roman"/>
          <w:color w:val="000000"/>
          <w:sz w:val="18"/>
          <w:szCs w:val="18"/>
        </w:rPr>
        <w:t>(2)</w:t>
      </w:r>
      <w:r>
        <w:rPr>
          <w:rFonts w:eastAsia="Times New Roman"/>
          <w:color w:val="000000"/>
          <w:sz w:val="18"/>
          <w:szCs w:val="18"/>
        </w:rPr>
        <w:t>Excludes CLO short-term debt of $82 million, which is inclusive as fair valued within Notes issued by consolidated VIE’s, at fair value using the fair value option.</w:t>
      </w:r>
    </w:p>
    <w:p w:rsidR="00000000" w:rsidRDefault="00897B14">
      <w:pPr>
        <w:jc w:val="both"/>
        <w:divId w:val="318312315"/>
        <w:rPr>
          <w:rFonts w:eastAsia="Times New Roman"/>
        </w:rPr>
      </w:pPr>
      <w:r>
        <w:rPr>
          <w:rFonts w:eastAsia="Times New Roman"/>
          <w:b/>
          <w:bCs/>
          <w:i/>
          <w:iCs/>
          <w:color w:val="000000"/>
          <w:sz w:val="20"/>
          <w:szCs w:val="20"/>
        </w:rPr>
        <w:t>Mortgage Loans on Real Estate</w:t>
      </w:r>
    </w:p>
    <w:p w:rsidR="00000000" w:rsidRDefault="00897B14">
      <w:pPr>
        <w:divId w:val="9993221"/>
        <w:rPr>
          <w:rFonts w:eastAsia="Times New Roman"/>
        </w:rPr>
      </w:pPr>
      <w:r>
        <w:rPr>
          <w:rFonts w:eastAsia="Times New Roman"/>
          <w:color w:val="000000"/>
          <w:sz w:val="20"/>
          <w:szCs w:val="20"/>
        </w:rPr>
        <w:t>Fair values for commercial and agricultural mortgage loans on</w:t>
      </w:r>
      <w:r>
        <w:rPr>
          <w:rFonts w:eastAsia="Times New Roman"/>
          <w:color w:val="000000"/>
          <w:sz w:val="20"/>
          <w:szCs w:val="20"/>
        </w:rPr>
        <w:t xml:space="preserve"> real estate are measured by discounting future contractual cash flows to be received on the mortgage loan using interest rates at which loans with similar characteristics and credit quality would be made. The discount rate is derived based on the appropri</w:t>
      </w:r>
      <w:r>
        <w:rPr>
          <w:rFonts w:eastAsia="Times New Roman"/>
          <w:color w:val="000000"/>
          <w:sz w:val="20"/>
          <w:szCs w:val="20"/>
        </w:rPr>
        <w:t>ate U.S. Treasury rate with a like term to the remaining term of the loan to which a spread reflective of the risk premium associated with the specific loan is added. Fair values for mortgage loans anticipated to be foreclosed and problem mortgage loans ar</w:t>
      </w:r>
      <w:r>
        <w:rPr>
          <w:rFonts w:eastAsia="Times New Roman"/>
          <w:color w:val="000000"/>
          <w:sz w:val="20"/>
          <w:szCs w:val="20"/>
        </w:rPr>
        <w:t>e limited to the fair value of the underlying collateral, if lower.</w:t>
      </w:r>
    </w:p>
    <w:p w:rsidR="00000000" w:rsidRDefault="00897B14">
      <w:pPr>
        <w:jc w:val="both"/>
        <w:divId w:val="10112617"/>
        <w:rPr>
          <w:rFonts w:eastAsia="Times New Roman"/>
        </w:rPr>
      </w:pPr>
      <w:r>
        <w:rPr>
          <w:rFonts w:eastAsia="Times New Roman"/>
          <w:b/>
          <w:bCs/>
          <w:i/>
          <w:iCs/>
          <w:color w:val="000000"/>
          <w:sz w:val="20"/>
          <w:szCs w:val="20"/>
        </w:rPr>
        <w:t>Policy Loans</w:t>
      </w:r>
    </w:p>
    <w:p w:rsidR="00000000" w:rsidRDefault="00897B14">
      <w:pPr>
        <w:divId w:val="525169383"/>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p>
    <w:p w:rsidR="00000000" w:rsidRDefault="00897B14">
      <w:pPr>
        <w:jc w:val="both"/>
        <w:divId w:val="1010447141"/>
        <w:rPr>
          <w:rFonts w:eastAsia="Times New Roman"/>
        </w:rPr>
      </w:pPr>
      <w:r>
        <w:rPr>
          <w:rFonts w:eastAsia="Times New Roman"/>
          <w:b/>
          <w:bCs/>
          <w:i/>
          <w:iCs/>
          <w:color w:val="000000"/>
          <w:sz w:val="20"/>
          <w:szCs w:val="20"/>
        </w:rPr>
        <w:t>Short-term and</w:t>
      </w:r>
      <w:r>
        <w:rPr>
          <w:rFonts w:eastAsia="Times New Roman"/>
          <w:b/>
          <w:bCs/>
          <w:i/>
          <w:iCs/>
          <w:color w:val="000000"/>
          <w:sz w:val="20"/>
          <w:szCs w:val="20"/>
        </w:rPr>
        <w:t xml:space="preserve"> Long-term Debt</w:t>
      </w:r>
    </w:p>
    <w:p w:rsidR="00000000" w:rsidRDefault="00897B14">
      <w:pPr>
        <w:divId w:val="995886456"/>
        <w:rPr>
          <w:rFonts w:eastAsia="Times New Roman"/>
        </w:rPr>
      </w:pPr>
      <w:r>
        <w:rPr>
          <w:rFonts w:eastAsia="Times New Roman"/>
          <w:color w:val="000000"/>
          <w:sz w:val="20"/>
          <w:szCs w:val="20"/>
        </w:rPr>
        <w:t>The Company’s short-term debt primarily includes commercial paper with short-term maturities and carrying value approximates fair value. The fair values for the Company’s long-term debt are determined by Bloomberg’s evaluated pricing servic</w:t>
      </w:r>
      <w:r>
        <w:rPr>
          <w:rFonts w:eastAsia="Times New Roman"/>
          <w:color w:val="000000"/>
          <w:sz w:val="20"/>
          <w:szCs w:val="20"/>
        </w:rPr>
        <w:t xml:space="preserve">e, which uses direct observations or observed comparables. </w:t>
      </w:r>
    </w:p>
    <w:p w:rsidR="00000000" w:rsidRDefault="00897B14">
      <w:pPr>
        <w:jc w:val="both"/>
        <w:divId w:val="1388185072"/>
        <w:rPr>
          <w:rFonts w:eastAsia="Times New Roman"/>
        </w:rPr>
      </w:pPr>
      <w:r>
        <w:rPr>
          <w:rFonts w:eastAsia="Times New Roman"/>
          <w:b/>
          <w:bCs/>
          <w:i/>
          <w:iCs/>
          <w:color w:val="000000"/>
          <w:sz w:val="20"/>
          <w:szCs w:val="20"/>
        </w:rPr>
        <w:t>FHLB Funding Agreements</w:t>
      </w:r>
    </w:p>
    <w:p w:rsidR="00000000" w:rsidRDefault="00897B14">
      <w:pPr>
        <w:divId w:val="1501003673"/>
        <w:rPr>
          <w:rFonts w:eastAsia="Times New Roman"/>
        </w:rPr>
      </w:pPr>
      <w:r>
        <w:rPr>
          <w:rFonts w:eastAsia="Times New Roman"/>
          <w:color w:val="000000"/>
          <w:sz w:val="20"/>
          <w:szCs w:val="20"/>
        </w:rPr>
        <w:t>The fair values of the Company’s FHLB funding agreements are determined by discounted cash flow analysis based on the indicative funding agreement rates published by the FH</w:t>
      </w:r>
      <w:r>
        <w:rPr>
          <w:rFonts w:eastAsia="Times New Roman"/>
          <w:color w:val="000000"/>
          <w:sz w:val="20"/>
          <w:szCs w:val="20"/>
        </w:rPr>
        <w:t>LB.</w:t>
      </w:r>
    </w:p>
    <w:p w:rsidR="00000000" w:rsidRDefault="00897B14">
      <w:pPr>
        <w:jc w:val="both"/>
        <w:divId w:val="927926204"/>
        <w:rPr>
          <w:rFonts w:eastAsia="Times New Roman"/>
        </w:rPr>
      </w:pPr>
      <w:r>
        <w:rPr>
          <w:rFonts w:eastAsia="Times New Roman"/>
          <w:b/>
          <w:bCs/>
          <w:i/>
          <w:iCs/>
          <w:color w:val="000000"/>
          <w:sz w:val="20"/>
          <w:szCs w:val="20"/>
        </w:rPr>
        <w:t>FABN Funding Agreements</w:t>
      </w:r>
    </w:p>
    <w:p w:rsidR="00000000" w:rsidRDefault="00897B14">
      <w:pPr>
        <w:divId w:val="1397239436"/>
        <w:rPr>
          <w:rFonts w:eastAsia="Times New Roman"/>
        </w:rPr>
      </w:pPr>
      <w:r>
        <w:rPr>
          <w:rFonts w:eastAsia="Times New Roman"/>
          <w:color w:val="000000"/>
          <w:sz w:val="20"/>
          <w:szCs w:val="20"/>
        </w:rPr>
        <w:t>The fair values of Equitable Financial’s FABN funding agreements are determined by Bloomberg’s evaluated pricing service, which uses direct observations or observed comparables.</w:t>
      </w:r>
    </w:p>
    <w:p w:rsidR="00000000" w:rsidRDefault="00897B14">
      <w:pPr>
        <w:jc w:val="center"/>
        <w:divId w:val="1067610768"/>
        <w:rPr>
          <w:rFonts w:eastAsia="Times New Roman"/>
        </w:rPr>
      </w:pPr>
    </w:p>
    <w:p w:rsidR="00000000" w:rsidRDefault="00897B14">
      <w:pPr>
        <w:jc w:val="center"/>
        <w:divId w:val="1067610768"/>
        <w:rPr>
          <w:rFonts w:eastAsia="Times New Roman"/>
        </w:rPr>
      </w:pPr>
      <w:r>
        <w:rPr>
          <w:rFonts w:eastAsia="Times New Roman"/>
          <w:color w:val="000000"/>
          <w:sz w:val="20"/>
          <w:szCs w:val="20"/>
        </w:rPr>
        <w:t>56</w:t>
      </w:r>
    </w:p>
    <w:p w:rsidR="00000000" w:rsidRDefault="00897B14">
      <w:pPr>
        <w:rPr>
          <w:rFonts w:eastAsia="Times New Roman"/>
        </w:rPr>
      </w:pPr>
      <w:r>
        <w:rPr>
          <w:rFonts w:eastAsia="Times New Roman"/>
        </w:rPr>
        <w:pict>
          <v:rect id="_x0000_i1082" style="width:0;height:1.5pt" o:hralign="center" o:hrstd="t" o:hr="t" fillcolor="#a0a0a0" stroked="f"/>
        </w:pict>
      </w:r>
    </w:p>
    <w:p w:rsidR="00000000" w:rsidRDefault="00897B14">
      <w:pPr>
        <w:divId w:val="1391416651"/>
        <w:rPr>
          <w:rFonts w:eastAsia="Times New Roman"/>
        </w:rPr>
      </w:pPr>
      <w:r>
        <w:rPr>
          <w:rFonts w:eastAsia="Times New Roman"/>
          <w:b/>
          <w:bCs/>
          <w:color w:val="0000FF"/>
          <w:sz w:val="20"/>
          <w:szCs w:val="20"/>
          <w:u w:val="single"/>
        </w:rPr>
        <w:t>Table of</w:t>
      </w:r>
      <w:r>
        <w:rPr>
          <w:rFonts w:eastAsia="Times New Roman"/>
          <w:b/>
          <w:bCs/>
          <w:color w:val="0000FF"/>
          <w:sz w:val="20"/>
          <w:szCs w:val="20"/>
          <w:u w:val="single"/>
        </w:rPr>
        <w:t xml:space="preserve"> Contents</w:t>
      </w:r>
    </w:p>
    <w:p w:rsidR="00000000" w:rsidRDefault="00897B14">
      <w:pPr>
        <w:jc w:val="center"/>
        <w:divId w:val="409816636"/>
        <w:rPr>
          <w:rFonts w:eastAsia="Times New Roman"/>
        </w:rPr>
      </w:pPr>
      <w:r>
        <w:rPr>
          <w:rFonts w:eastAsia="Times New Roman"/>
          <w:b/>
          <w:bCs/>
          <w:color w:val="000000"/>
          <w:sz w:val="20"/>
          <w:szCs w:val="20"/>
        </w:rPr>
        <w:t>EQUITABLE HOLDINGS, INC.</w:t>
      </w:r>
    </w:p>
    <w:p w:rsidR="00000000" w:rsidRDefault="00897B14">
      <w:pPr>
        <w:jc w:val="center"/>
        <w:divId w:val="409816636"/>
        <w:rPr>
          <w:rFonts w:eastAsia="Times New Roman"/>
        </w:rPr>
      </w:pPr>
      <w:r>
        <w:rPr>
          <w:rFonts w:eastAsia="Times New Roman"/>
          <w:b/>
          <w:bCs/>
          <w:color w:val="000000"/>
          <w:sz w:val="20"/>
          <w:szCs w:val="20"/>
        </w:rPr>
        <w:t>Notes to Consolidated Financial Statements (Unaudited), Continued</w:t>
      </w:r>
    </w:p>
    <w:p w:rsidR="00000000" w:rsidRDefault="00897B14">
      <w:pPr>
        <w:divId w:val="785662544"/>
        <w:rPr>
          <w:rFonts w:eastAsia="Times New Roman"/>
        </w:rPr>
      </w:pPr>
    </w:p>
    <w:p w:rsidR="00000000" w:rsidRDefault="00897B14">
      <w:pPr>
        <w:jc w:val="both"/>
        <w:divId w:val="2077431995"/>
        <w:rPr>
          <w:rFonts w:eastAsia="Times New Roman"/>
        </w:rPr>
      </w:pPr>
      <w:r>
        <w:rPr>
          <w:rFonts w:eastAsia="Times New Roman"/>
          <w:b/>
          <w:bCs/>
          <w:i/>
          <w:iCs/>
          <w:color w:val="000000"/>
          <w:sz w:val="20"/>
          <w:szCs w:val="20"/>
        </w:rPr>
        <w:t>Policyholder Liabilities - Investment Contracts and Separate Accounts Liabilities</w:t>
      </w:r>
    </w:p>
    <w:p w:rsidR="00000000" w:rsidRDefault="00897B14">
      <w:pPr>
        <w:divId w:val="1538347537"/>
        <w:rPr>
          <w:rFonts w:eastAsia="Times New Roman"/>
        </w:rPr>
      </w:pPr>
      <w:r>
        <w:rPr>
          <w:rFonts w:eastAsia="Times New Roman"/>
          <w:color w:val="000000"/>
          <w:sz w:val="20"/>
          <w:szCs w:val="20"/>
        </w:rPr>
        <w:t>The fair values for deferred annuities and certain annuities, which are</w:t>
      </w:r>
      <w:r>
        <w:rPr>
          <w:rFonts w:eastAsia="Times New Roman"/>
          <w:color w:val="000000"/>
          <w:sz w:val="20"/>
          <w:szCs w:val="20"/>
        </w:rPr>
        <w:t xml:space="preserve"> included in Policyholders’ account balances, and liabilities for investment contracts with fund investments in Separate Accounts, are estimated using projected cash flows discounted at rates reflecting current market rates. Significant unobservable inputs</w:t>
      </w:r>
      <w:r>
        <w:rPr>
          <w:rFonts w:eastAsia="Times New Roman"/>
          <w:color w:val="000000"/>
          <w:sz w:val="20"/>
          <w:szCs w:val="20"/>
        </w:rPr>
        <w:t xml:space="preserve"> reflected in the cash flows include lapse rates and withdrawal rates. Incremental adjustments may be made to the fair value to reflect non-performance risk. Certain other products such as the Company’s association plans contracts, supplementary contracts </w:t>
      </w:r>
      <w:r>
        <w:rPr>
          <w:rFonts w:eastAsia="Times New Roman"/>
          <w:color w:val="000000"/>
          <w:sz w:val="20"/>
          <w:szCs w:val="20"/>
        </w:rPr>
        <w:t>not involving life contingencies, Access Accounts and Escrow Shield Plus product reserves are held at book value.</w:t>
      </w:r>
    </w:p>
    <w:p w:rsidR="00000000" w:rsidRDefault="00897B14">
      <w:pPr>
        <w:divId w:val="1887522336"/>
        <w:rPr>
          <w:rFonts w:eastAsia="Times New Roman"/>
        </w:rPr>
      </w:pPr>
      <w:r>
        <w:rPr>
          <w:rFonts w:eastAsia="Times New Roman"/>
          <w:color w:val="000000"/>
          <w:sz w:val="20"/>
          <w:szCs w:val="20"/>
          <w:u w:val="single"/>
        </w:rPr>
        <w:t>Financial Instruments Exempt from Fair Value Disclosure or Otherwise Not Required to be Disclosed</w:t>
      </w:r>
    </w:p>
    <w:p w:rsidR="00000000" w:rsidRDefault="00897B14">
      <w:pPr>
        <w:jc w:val="both"/>
        <w:divId w:val="1399479245"/>
        <w:rPr>
          <w:rFonts w:eastAsia="Times New Roman"/>
        </w:rPr>
      </w:pPr>
      <w:r>
        <w:rPr>
          <w:rFonts w:eastAsia="Times New Roman"/>
          <w:b/>
          <w:bCs/>
          <w:i/>
          <w:iCs/>
          <w:color w:val="000000"/>
          <w:sz w:val="20"/>
          <w:szCs w:val="20"/>
        </w:rPr>
        <w:t>Exempt from Fair Value Disclosure Requirements</w:t>
      </w:r>
    </w:p>
    <w:p w:rsidR="00000000" w:rsidRDefault="00897B14">
      <w:pPr>
        <w:divId w:val="2044597362"/>
        <w:rPr>
          <w:rFonts w:eastAsia="Times New Roman"/>
        </w:rPr>
      </w:pPr>
      <w:r>
        <w:rPr>
          <w:rFonts w:eastAsia="Times New Roman"/>
          <w:color w:val="000000"/>
          <w:sz w:val="20"/>
          <w:szCs w:val="20"/>
        </w:rPr>
        <w:t>Certain financial instruments are exempt from the requirements for fair value disclosure, such as insurance lia</w:t>
      </w:r>
      <w:r>
        <w:rPr>
          <w:rFonts w:eastAsia="Times New Roman"/>
          <w:color w:val="000000"/>
          <w:sz w:val="20"/>
          <w:szCs w:val="20"/>
        </w:rPr>
        <w:t xml:space="preserve">bilities other than financial guarantees and investment contracts, limited partnerships accounted for under the equity method and pension and other postretirement obligations. </w:t>
      </w:r>
    </w:p>
    <w:p w:rsidR="00000000" w:rsidRDefault="00897B14">
      <w:pPr>
        <w:jc w:val="both"/>
        <w:divId w:val="1597977195"/>
        <w:rPr>
          <w:rFonts w:eastAsia="Times New Roman"/>
        </w:rPr>
      </w:pPr>
      <w:r>
        <w:rPr>
          <w:rFonts w:eastAsia="Times New Roman"/>
          <w:b/>
          <w:bCs/>
          <w:i/>
          <w:iCs/>
          <w:color w:val="000000"/>
          <w:sz w:val="20"/>
          <w:szCs w:val="20"/>
        </w:rPr>
        <w:t>Otherwise Not Required to be Included in the Table Above</w:t>
      </w:r>
    </w:p>
    <w:p w:rsidR="00000000" w:rsidRDefault="00897B14">
      <w:pPr>
        <w:divId w:val="1064791319"/>
        <w:rPr>
          <w:rFonts w:eastAsia="Times New Roman"/>
        </w:rPr>
      </w:pPr>
      <w:r>
        <w:rPr>
          <w:rFonts w:eastAsia="Times New Roman"/>
          <w:color w:val="000000"/>
          <w:sz w:val="20"/>
          <w:szCs w:val="20"/>
        </w:rPr>
        <w:t>The Company’s investme</w:t>
      </w:r>
      <w:r>
        <w:rPr>
          <w:rFonts w:eastAsia="Times New Roman"/>
          <w:color w:val="000000"/>
          <w:sz w:val="20"/>
          <w:szCs w:val="20"/>
        </w:rPr>
        <w:t>nt in COLI policies are recorded at their cash surrender value and are therefore not required to be included in the table above. See Note 2 for further description of the Company’s accounting policy related to its investment in COLI policies.</w:t>
      </w:r>
    </w:p>
    <w:p w:rsidR="00000000" w:rsidRDefault="00897B14">
      <w:pPr>
        <w:divId w:val="715355709"/>
        <w:rPr>
          <w:rFonts w:eastAsia="Times New Roman"/>
        </w:rPr>
      </w:pPr>
      <w:r>
        <w:rPr>
          <w:rFonts w:eastAsia="Times New Roman"/>
          <w:b/>
          <w:bCs/>
          <w:color w:val="000000"/>
          <w:sz w:val="20"/>
          <w:szCs w:val="20"/>
        </w:rPr>
        <w:t>8)    EMPLOYE</w:t>
      </w:r>
      <w:r>
        <w:rPr>
          <w:rFonts w:eastAsia="Times New Roman"/>
          <w:b/>
          <w:bCs/>
          <w:color w:val="000000"/>
          <w:sz w:val="20"/>
          <w:szCs w:val="20"/>
        </w:rPr>
        <w:t xml:space="preserve">E BENEFIT PLANS </w:t>
      </w:r>
    </w:p>
    <w:p w:rsidR="00000000" w:rsidRDefault="00897B14">
      <w:pPr>
        <w:divId w:val="1057582303"/>
        <w:rPr>
          <w:rFonts w:eastAsia="Times New Roman"/>
        </w:rPr>
      </w:pPr>
      <w:r>
        <w:rPr>
          <w:rFonts w:eastAsia="Times New Roman"/>
          <w:color w:val="000000"/>
          <w:sz w:val="20"/>
          <w:szCs w:val="20"/>
          <w:u w:val="single"/>
        </w:rPr>
        <w:t>Pension Plans</w:t>
      </w:r>
    </w:p>
    <w:p w:rsidR="00000000" w:rsidRDefault="00897B14">
      <w:pPr>
        <w:jc w:val="both"/>
        <w:divId w:val="1028142341"/>
        <w:rPr>
          <w:rFonts w:eastAsia="Times New Roman"/>
        </w:rPr>
      </w:pPr>
      <w:r>
        <w:rPr>
          <w:rFonts w:eastAsia="Times New Roman"/>
          <w:b/>
          <w:bCs/>
          <w:i/>
          <w:iCs/>
          <w:color w:val="000000"/>
          <w:sz w:val="20"/>
          <w:szCs w:val="20"/>
        </w:rPr>
        <w:t>Holdings and Equitable Financial Retirement Plans</w:t>
      </w:r>
    </w:p>
    <w:p w:rsidR="00000000" w:rsidRDefault="00897B14">
      <w:pPr>
        <w:divId w:val="216865195"/>
        <w:rPr>
          <w:rFonts w:eastAsia="Times New Roman"/>
        </w:rPr>
      </w:pPr>
      <w:r>
        <w:rPr>
          <w:rFonts w:eastAsia="Times New Roman"/>
          <w:color w:val="000000"/>
          <w:sz w:val="20"/>
          <w:szCs w:val="20"/>
        </w:rPr>
        <w:t>Holdings sponsors the MONY Life Retirement Income Security Plan for Employees and Equitable Financial sponsors the Equitable Retirement Plan (the “Equitable Financial QP”), both of which are frozen qualified defined benefit plans covering eligible employee</w:t>
      </w:r>
      <w:r>
        <w:rPr>
          <w:rFonts w:eastAsia="Times New Roman"/>
          <w:color w:val="000000"/>
          <w:sz w:val="20"/>
          <w:szCs w:val="20"/>
        </w:rPr>
        <w:t>s and financial professionals. These pension plans are non-contributory, and their benefits are generally based on a cash balance formula and/or, for certain participants, years of service and average earnings over a specified period. Holdings and Equitabl</w:t>
      </w:r>
      <w:r>
        <w:rPr>
          <w:rFonts w:eastAsia="Times New Roman"/>
          <w:color w:val="000000"/>
          <w:sz w:val="20"/>
          <w:szCs w:val="20"/>
        </w:rPr>
        <w:t xml:space="preserve">e Financial also sponsor certain nonqualified defined benefit plans, including the Equitable Excess Retirement Plan, that provide retirement benefits in excess of the amount permitted under the tax law for the qualified plans. Holdings has assumed primary </w:t>
      </w:r>
      <w:r>
        <w:rPr>
          <w:rFonts w:eastAsia="Times New Roman"/>
          <w:color w:val="000000"/>
          <w:sz w:val="20"/>
          <w:szCs w:val="20"/>
        </w:rPr>
        <w:t>liability for both plans. Equitable Financial remains secondarily liable for its obligations under the Equitable Financial QP and would recognize such liability in the event Holdings does not perform.</w:t>
      </w:r>
    </w:p>
    <w:p w:rsidR="00000000" w:rsidRDefault="00897B14">
      <w:pPr>
        <w:jc w:val="both"/>
        <w:divId w:val="1214275566"/>
        <w:rPr>
          <w:rFonts w:eastAsia="Times New Roman"/>
        </w:rPr>
      </w:pPr>
      <w:r>
        <w:rPr>
          <w:rFonts w:eastAsia="Times New Roman"/>
          <w:b/>
          <w:bCs/>
          <w:i/>
          <w:iCs/>
          <w:color w:val="000000"/>
          <w:sz w:val="20"/>
          <w:szCs w:val="20"/>
        </w:rPr>
        <w:t>AB Retirement Plans</w:t>
      </w:r>
    </w:p>
    <w:p w:rsidR="00000000" w:rsidRDefault="00897B14">
      <w:pPr>
        <w:divId w:val="1515683137"/>
        <w:rPr>
          <w:rFonts w:eastAsia="Times New Roman"/>
        </w:rPr>
      </w:pPr>
      <w:r>
        <w:rPr>
          <w:rFonts w:eastAsia="Times New Roman"/>
          <w:color w:val="000000"/>
          <w:sz w:val="20"/>
          <w:szCs w:val="20"/>
        </w:rPr>
        <w:t>AB maintains a qualified, non-contr</w:t>
      </w:r>
      <w:r>
        <w:rPr>
          <w:rFonts w:eastAsia="Times New Roman"/>
          <w:color w:val="000000"/>
          <w:sz w:val="20"/>
          <w:szCs w:val="20"/>
        </w:rPr>
        <w:t>ibutory, defined benefit retirement plan covering current and former employees who were employed by AB in the United States prior to October 2, 2000 (the “AB Plan”). Benefits under the AB Plan are based on years of credited service, average final base sala</w:t>
      </w:r>
      <w:r>
        <w:rPr>
          <w:rFonts w:eastAsia="Times New Roman"/>
          <w:color w:val="000000"/>
          <w:sz w:val="20"/>
          <w:szCs w:val="20"/>
        </w:rPr>
        <w:t>ry, and primary Social Security benefits.</w:t>
      </w:r>
    </w:p>
    <w:p w:rsidR="00000000" w:rsidRDefault="00897B14">
      <w:pPr>
        <w:jc w:val="both"/>
        <w:divId w:val="1461148614"/>
        <w:rPr>
          <w:rFonts w:eastAsia="Times New Roman"/>
        </w:rPr>
      </w:pPr>
      <w:r>
        <w:rPr>
          <w:rFonts w:eastAsia="Times New Roman"/>
          <w:b/>
          <w:bCs/>
          <w:i/>
          <w:iCs/>
          <w:color w:val="000000"/>
          <w:sz w:val="20"/>
          <w:szCs w:val="20"/>
        </w:rPr>
        <w:t>Net Periodic Pension Expense</w:t>
      </w:r>
    </w:p>
    <w:p w:rsidR="00000000" w:rsidRDefault="00897B14">
      <w:pPr>
        <w:divId w:val="1501971118"/>
        <w:rPr>
          <w:rFonts w:eastAsia="Times New Roman"/>
        </w:rPr>
      </w:pPr>
      <w:r>
        <w:rPr>
          <w:rFonts w:eastAsia="Times New Roman"/>
          <w:color w:val="000000"/>
          <w:sz w:val="20"/>
          <w:szCs w:val="20"/>
        </w:rPr>
        <w:t>Components of net periodic pension expense for the Company’s plans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06"/>
        <w:gridCol w:w="38"/>
        <w:gridCol w:w="122"/>
        <w:gridCol w:w="946"/>
        <w:gridCol w:w="38"/>
        <w:gridCol w:w="36"/>
        <w:gridCol w:w="36"/>
        <w:gridCol w:w="36"/>
        <w:gridCol w:w="120"/>
        <w:gridCol w:w="895"/>
        <w:gridCol w:w="36"/>
        <w:gridCol w:w="36"/>
        <w:gridCol w:w="36"/>
        <w:gridCol w:w="36"/>
        <w:gridCol w:w="120"/>
        <w:gridCol w:w="947"/>
        <w:gridCol w:w="36"/>
        <w:gridCol w:w="36"/>
        <w:gridCol w:w="36"/>
        <w:gridCol w:w="36"/>
        <w:gridCol w:w="120"/>
        <w:gridCol w:w="811"/>
        <w:gridCol w:w="36"/>
        <w:gridCol w:w="36"/>
        <w:gridCol w:w="36"/>
      </w:tblGrid>
      <w:tr w:rsidR="00000000">
        <w:trPr>
          <w:divId w:val="1067455587"/>
          <w:jc w:val="center"/>
        </w:trPr>
        <w:tc>
          <w:tcPr>
            <w:tcW w:w="50" w:type="pct"/>
            <w:vAlign w:val="center"/>
            <w:hideMark/>
          </w:tcPr>
          <w:p w:rsidR="00000000" w:rsidRDefault="00897B14">
            <w:pPr>
              <w:rPr>
                <w:rFonts w:eastAsia="Times New Roman"/>
              </w:rPr>
            </w:pPr>
          </w:p>
        </w:tc>
        <w:tc>
          <w:tcPr>
            <w:tcW w:w="223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right"/>
              <w:rPr>
                <w:rFonts w:eastAsia="Times New Roman"/>
              </w:rPr>
            </w:pPr>
            <w:r>
              <w:rPr>
                <w:rFonts w:ascii="Calibri" w:eastAsia="Times New Roman" w:hAnsi="Calibri" w:cs="Calibri"/>
                <w:color w:val="000000"/>
                <w:sz w:val="20"/>
                <w:szCs w:val="20"/>
              </w:rPr>
              <w:t> (in millions)</w:t>
            </w: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Prior Period Svc Cost Amortization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Actuarial (gain)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amortization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67455587"/>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bl>
    <w:p w:rsidR="00000000" w:rsidRDefault="00897B14">
      <w:pPr>
        <w:jc w:val="center"/>
        <w:divId w:val="648637496"/>
        <w:rPr>
          <w:rFonts w:eastAsia="Times New Roman"/>
        </w:rPr>
      </w:pPr>
    </w:p>
    <w:p w:rsidR="00000000" w:rsidRDefault="00897B14">
      <w:pPr>
        <w:jc w:val="center"/>
        <w:divId w:val="648637496"/>
        <w:rPr>
          <w:rFonts w:eastAsia="Times New Roman"/>
        </w:rPr>
      </w:pPr>
      <w:r>
        <w:rPr>
          <w:rFonts w:eastAsia="Times New Roman"/>
          <w:color w:val="000000"/>
          <w:sz w:val="20"/>
          <w:szCs w:val="20"/>
        </w:rPr>
        <w:t>57</w:t>
      </w:r>
    </w:p>
    <w:p w:rsidR="00000000" w:rsidRDefault="00897B14">
      <w:pPr>
        <w:rPr>
          <w:rFonts w:eastAsia="Times New Roman"/>
        </w:rPr>
      </w:pPr>
      <w:r>
        <w:rPr>
          <w:rFonts w:eastAsia="Times New Roman"/>
        </w:rPr>
        <w:pict>
          <v:rect id="_x0000_i1083" style="width:0;height:1.5pt" o:hralign="center" o:hrstd="t" o:hr="t" fillcolor="#a0a0a0" stroked="f"/>
        </w:pict>
      </w:r>
    </w:p>
    <w:p w:rsidR="00000000" w:rsidRDefault="00897B14">
      <w:pPr>
        <w:divId w:val="981157919"/>
        <w:rPr>
          <w:rFonts w:eastAsia="Times New Roman"/>
        </w:rPr>
      </w:pPr>
      <w:r>
        <w:rPr>
          <w:rFonts w:eastAsia="Times New Roman"/>
          <w:b/>
          <w:bCs/>
          <w:color w:val="0000FF"/>
          <w:sz w:val="20"/>
          <w:szCs w:val="20"/>
          <w:u w:val="single"/>
        </w:rPr>
        <w:t>Table of Contents</w:t>
      </w:r>
    </w:p>
    <w:p w:rsidR="00000000" w:rsidRDefault="00897B14">
      <w:pPr>
        <w:jc w:val="center"/>
        <w:divId w:val="766390308"/>
        <w:rPr>
          <w:rFonts w:eastAsia="Times New Roman"/>
        </w:rPr>
      </w:pPr>
      <w:r>
        <w:rPr>
          <w:rFonts w:eastAsia="Times New Roman"/>
          <w:b/>
          <w:bCs/>
          <w:color w:val="000000"/>
          <w:sz w:val="20"/>
          <w:szCs w:val="20"/>
        </w:rPr>
        <w:t>EQUITABLE HOLDINGS</w:t>
      </w:r>
      <w:r>
        <w:rPr>
          <w:rFonts w:eastAsia="Times New Roman"/>
          <w:b/>
          <w:bCs/>
          <w:color w:val="000000"/>
          <w:sz w:val="20"/>
          <w:szCs w:val="20"/>
        </w:rPr>
        <w:t>, INC.</w:t>
      </w:r>
    </w:p>
    <w:p w:rsidR="00000000" w:rsidRDefault="00897B14">
      <w:pPr>
        <w:jc w:val="center"/>
        <w:divId w:val="766390308"/>
        <w:rPr>
          <w:rFonts w:eastAsia="Times New Roman"/>
        </w:rPr>
      </w:pPr>
      <w:r>
        <w:rPr>
          <w:rFonts w:eastAsia="Times New Roman"/>
          <w:b/>
          <w:bCs/>
          <w:color w:val="000000"/>
          <w:sz w:val="20"/>
          <w:szCs w:val="20"/>
        </w:rPr>
        <w:t>Notes to Consolidated Financial Statements (Unaudited), Continued</w:t>
      </w:r>
    </w:p>
    <w:p w:rsidR="00000000" w:rsidRDefault="00897B14">
      <w:pPr>
        <w:divId w:val="1503426713"/>
        <w:rPr>
          <w:rFonts w:eastAsia="Times New Roman"/>
        </w:rPr>
      </w:pPr>
    </w:p>
    <w:p w:rsidR="00000000" w:rsidRDefault="00897B14">
      <w:pPr>
        <w:divId w:val="1607616619"/>
        <w:rPr>
          <w:rFonts w:eastAsia="Times New Roman"/>
        </w:rPr>
      </w:pPr>
      <w:r>
        <w:rPr>
          <w:rFonts w:eastAsia="Times New Roman"/>
          <w:b/>
          <w:bCs/>
          <w:color w:val="000000"/>
          <w:sz w:val="20"/>
          <w:szCs w:val="20"/>
        </w:rPr>
        <w:t xml:space="preserve">9)    INCOME TAXES </w:t>
      </w:r>
    </w:p>
    <w:p w:rsidR="00000000" w:rsidRDefault="00897B14">
      <w:pPr>
        <w:divId w:val="1605268225"/>
        <w:rPr>
          <w:rFonts w:eastAsia="Times New Roman"/>
        </w:rPr>
      </w:pPr>
      <w:r>
        <w:rPr>
          <w:rFonts w:eastAsia="Times New Roman"/>
          <w:color w:val="000000"/>
          <w:sz w:val="20"/>
          <w:szCs w:val="20"/>
        </w:rPr>
        <w:t>Income tax expense for the three months and six months ended June 30, 2021 and 2020 was computed using an estimated annual effective tax rate (“ETR”), with discr</w:t>
      </w:r>
      <w:r>
        <w:rPr>
          <w:rFonts w:eastAsia="Times New Roman"/>
          <w:color w:val="000000"/>
          <w:sz w:val="20"/>
          <w:szCs w:val="20"/>
        </w:rPr>
        <w:t xml:space="preserve">ete items recognized in the period in which they occur. The estimated ETR is revised, as necessary, at the end of successive interim reporting periods. </w:t>
      </w:r>
    </w:p>
    <w:p w:rsidR="00000000" w:rsidRDefault="00897B14">
      <w:pPr>
        <w:divId w:val="428039879"/>
        <w:rPr>
          <w:rFonts w:eastAsia="Times New Roman"/>
        </w:rPr>
      </w:pPr>
      <w:r>
        <w:rPr>
          <w:rFonts w:eastAsia="Times New Roman"/>
          <w:b/>
          <w:bCs/>
          <w:color w:val="000000"/>
          <w:sz w:val="20"/>
          <w:szCs w:val="20"/>
        </w:rPr>
        <w:t xml:space="preserve">10)    EQUITY </w:t>
      </w:r>
    </w:p>
    <w:p w:rsidR="00000000" w:rsidRDefault="00897B14">
      <w:pPr>
        <w:divId w:val="302585660"/>
        <w:rPr>
          <w:rFonts w:eastAsia="Times New Roman"/>
        </w:rPr>
      </w:pPr>
      <w:r>
        <w:rPr>
          <w:rFonts w:eastAsia="Times New Roman"/>
          <w:color w:val="000000"/>
          <w:sz w:val="20"/>
          <w:szCs w:val="20"/>
          <w:u w:val="single"/>
        </w:rPr>
        <w:t xml:space="preserve">Preferred Stock </w:t>
      </w:r>
    </w:p>
    <w:p w:rsidR="00000000" w:rsidRDefault="00897B14">
      <w:pPr>
        <w:divId w:val="1831142207"/>
        <w:rPr>
          <w:rFonts w:eastAsia="Times New Roman"/>
        </w:rPr>
      </w:pPr>
      <w:r>
        <w:rPr>
          <w:rFonts w:eastAsia="Times New Roman"/>
          <w:color w:val="000000"/>
          <w:sz w:val="20"/>
          <w:szCs w:val="20"/>
        </w:rPr>
        <w:t>Preferred stock authorized, issued and outstanding was as follows:</w:t>
      </w:r>
    </w:p>
    <w:tbl>
      <w:tblPr>
        <w:tblW w:w="4305" w:type="pct"/>
        <w:tblCellMar>
          <w:top w:w="15" w:type="dxa"/>
          <w:left w:w="15" w:type="dxa"/>
          <w:bottom w:w="15" w:type="dxa"/>
          <w:right w:w="15" w:type="dxa"/>
        </w:tblCellMar>
        <w:tblLook w:val="04A0" w:firstRow="1" w:lastRow="0" w:firstColumn="1" w:lastColumn="0" w:noHBand="0" w:noVBand="1"/>
      </w:tblPr>
      <w:tblGrid>
        <w:gridCol w:w="37"/>
        <w:gridCol w:w="1363"/>
        <w:gridCol w:w="36"/>
        <w:gridCol w:w="36"/>
        <w:gridCol w:w="36"/>
        <w:gridCol w:w="36"/>
        <w:gridCol w:w="66"/>
        <w:gridCol w:w="742"/>
        <w:gridCol w:w="36"/>
        <w:gridCol w:w="36"/>
        <w:gridCol w:w="36"/>
        <w:gridCol w:w="36"/>
        <w:gridCol w:w="51"/>
        <w:gridCol w:w="732"/>
        <w:gridCol w:w="36"/>
        <w:gridCol w:w="36"/>
        <w:gridCol w:w="36"/>
        <w:gridCol w:w="36"/>
        <w:gridCol w:w="73"/>
        <w:gridCol w:w="814"/>
        <w:gridCol w:w="36"/>
        <w:gridCol w:w="36"/>
        <w:gridCol w:w="36"/>
        <w:gridCol w:w="36"/>
        <w:gridCol w:w="62"/>
        <w:gridCol w:w="701"/>
        <w:gridCol w:w="37"/>
        <w:gridCol w:w="37"/>
        <w:gridCol w:w="37"/>
        <w:gridCol w:w="37"/>
        <w:gridCol w:w="51"/>
        <w:gridCol w:w="735"/>
        <w:gridCol w:w="37"/>
        <w:gridCol w:w="37"/>
        <w:gridCol w:w="37"/>
        <w:gridCol w:w="36"/>
        <w:gridCol w:w="67"/>
        <w:gridCol w:w="750"/>
        <w:gridCol w:w="36"/>
      </w:tblGrid>
      <w:tr w:rsidR="00000000">
        <w:trPr>
          <w:divId w:val="1395926574"/>
        </w:trPr>
        <w:tc>
          <w:tcPr>
            <w:tcW w:w="50" w:type="pct"/>
            <w:vAlign w:val="center"/>
            <w:hideMark/>
          </w:tcPr>
          <w:p w:rsidR="00000000" w:rsidRDefault="00897B14">
            <w:pPr>
              <w:rPr>
                <w:rFonts w:eastAsia="Times New Roman"/>
              </w:rPr>
            </w:pPr>
          </w:p>
        </w:tc>
        <w:tc>
          <w:tcPr>
            <w:tcW w:w="98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395926574"/>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r>
      <w:tr w:rsidR="00000000">
        <w:trPr>
          <w:divId w:val="1395926574"/>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Shares</w:t>
            </w:r>
            <w:r>
              <w:rPr>
                <w:rFonts w:eastAsia="Times New Roman"/>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Shares Outstanding</w:t>
            </w:r>
          </w:p>
        </w:tc>
      </w:tr>
      <w:tr w:rsidR="00000000">
        <w:trPr>
          <w:divId w:val="1395926574"/>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395926574"/>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395926574"/>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395926574"/>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157385025"/>
        <w:rPr>
          <w:rFonts w:eastAsia="Times New Roman"/>
        </w:rPr>
      </w:pPr>
    </w:p>
    <w:p w:rsidR="00000000" w:rsidRDefault="00897B14">
      <w:pPr>
        <w:divId w:val="155920574"/>
        <w:rPr>
          <w:rFonts w:eastAsia="Times New Roman"/>
        </w:rPr>
      </w:pPr>
      <w:r>
        <w:rPr>
          <w:rFonts w:eastAsia="Times New Roman"/>
          <w:color w:val="000000"/>
          <w:sz w:val="20"/>
          <w:szCs w:val="20"/>
          <w:u w:val="single"/>
        </w:rPr>
        <w:t>Series C Fixed Rate Reset Noncumulative</w:t>
      </w:r>
      <w:r>
        <w:rPr>
          <w:rFonts w:eastAsia="Times New Roman"/>
          <w:color w:val="000000"/>
          <w:sz w:val="20"/>
          <w:szCs w:val="20"/>
          <w:u w:val="single"/>
        </w:rPr>
        <w:t xml:space="preserve"> Perpetual Preferred Stock</w:t>
      </w:r>
    </w:p>
    <w:p w:rsidR="00000000" w:rsidRDefault="00897B14">
      <w:pPr>
        <w:divId w:val="493304392"/>
        <w:rPr>
          <w:rFonts w:eastAsia="Times New Roman"/>
        </w:rPr>
      </w:pPr>
      <w:r>
        <w:rPr>
          <w:rFonts w:eastAsia="Times New Roman"/>
          <w:color w:val="000000"/>
          <w:sz w:val="20"/>
          <w:szCs w:val="20"/>
        </w:rPr>
        <w:t xml:space="preserve">On January 8, 2021, Holdings issued 12,000,000 depositary shares, each representing a 1/1,000th interest in a share of the Company’s Series C Fixed Rate Noncumulative Perpetual Preferred Stock (“Series C Preferred Stock”), $1.00 </w:t>
      </w:r>
      <w:r>
        <w:rPr>
          <w:rFonts w:eastAsia="Times New Roman"/>
          <w:color w:val="000000"/>
          <w:sz w:val="20"/>
          <w:szCs w:val="20"/>
        </w:rPr>
        <w:t>par value per share and liquidation preference of $25,000 per share, for aggregate net cash proceeds of $293 million ($300 million gross). The Series C Preferred Stock ranks senior to Holdings’ common stock and on parity with Holdings’ Series A Preferred S</w:t>
      </w:r>
      <w:r>
        <w:rPr>
          <w:rFonts w:eastAsia="Times New Roman"/>
          <w:color w:val="000000"/>
          <w:sz w:val="20"/>
          <w:szCs w:val="20"/>
        </w:rPr>
        <w:t>tock and Series B Preferred Stock with respect to the payment of dividends and liquidation. Holdings will pay dividends on the Series C Preferred Stock on a noncumulative basis only when, as and if declared by the Company’s Board of Directors (or a duly au</w:t>
      </w:r>
      <w:r>
        <w:rPr>
          <w:rFonts w:eastAsia="Times New Roman"/>
          <w:color w:val="000000"/>
          <w:sz w:val="20"/>
          <w:szCs w:val="20"/>
        </w:rPr>
        <w:t>thorized committee of the Board) and will be payable quarterly in arrears, at an annual rate equal to the fixed rate of 4.3%.</w:t>
      </w:r>
    </w:p>
    <w:p w:rsidR="00000000" w:rsidRDefault="00897B14">
      <w:pPr>
        <w:divId w:val="1857226209"/>
        <w:rPr>
          <w:rFonts w:eastAsia="Times New Roman"/>
        </w:rPr>
      </w:pPr>
    </w:p>
    <w:p w:rsidR="00000000" w:rsidRDefault="00897B14">
      <w:pPr>
        <w:jc w:val="both"/>
        <w:divId w:val="478115497"/>
        <w:rPr>
          <w:rFonts w:eastAsia="Times New Roman"/>
        </w:rPr>
      </w:pPr>
      <w:r>
        <w:rPr>
          <w:rFonts w:eastAsia="Times New Roman"/>
          <w:b/>
          <w:bCs/>
          <w:i/>
          <w:iCs/>
          <w:color w:val="000000"/>
          <w:sz w:val="20"/>
          <w:szCs w:val="20"/>
        </w:rPr>
        <w:t>Dividends to Shareholders</w:t>
      </w:r>
    </w:p>
    <w:p w:rsidR="00000000" w:rsidRDefault="00897B14">
      <w:pPr>
        <w:divId w:val="1456370903"/>
        <w:rPr>
          <w:rFonts w:eastAsia="Times New Roman"/>
        </w:rPr>
      </w:pPr>
      <w:r>
        <w:rPr>
          <w:rFonts w:eastAsia="Times New Roman"/>
          <w:color w:val="000000"/>
          <w:sz w:val="20"/>
          <w:szCs w:val="20"/>
        </w:rPr>
        <w:t>Dividends declared per share were as follows for the periods indicated:</w:t>
      </w:r>
    </w:p>
    <w:tbl>
      <w:tblPr>
        <w:tblW w:w="4342" w:type="pct"/>
        <w:tblCellMar>
          <w:top w:w="15" w:type="dxa"/>
          <w:left w:w="15" w:type="dxa"/>
          <w:bottom w:w="15" w:type="dxa"/>
          <w:right w:w="15" w:type="dxa"/>
        </w:tblCellMar>
        <w:tblLook w:val="04A0" w:firstRow="1" w:lastRow="0" w:firstColumn="1" w:lastColumn="0" w:noHBand="0" w:noVBand="1"/>
      </w:tblPr>
      <w:tblGrid>
        <w:gridCol w:w="37"/>
        <w:gridCol w:w="3223"/>
        <w:gridCol w:w="36"/>
        <w:gridCol w:w="120"/>
        <w:gridCol w:w="725"/>
        <w:gridCol w:w="36"/>
        <w:gridCol w:w="36"/>
        <w:gridCol w:w="36"/>
        <w:gridCol w:w="36"/>
        <w:gridCol w:w="120"/>
        <w:gridCol w:w="676"/>
        <w:gridCol w:w="36"/>
        <w:gridCol w:w="36"/>
        <w:gridCol w:w="36"/>
        <w:gridCol w:w="36"/>
        <w:gridCol w:w="120"/>
        <w:gridCol w:w="676"/>
        <w:gridCol w:w="36"/>
        <w:gridCol w:w="36"/>
        <w:gridCol w:w="36"/>
        <w:gridCol w:w="36"/>
        <w:gridCol w:w="120"/>
        <w:gridCol w:w="676"/>
        <w:gridCol w:w="36"/>
        <w:gridCol w:w="36"/>
        <w:gridCol w:w="36"/>
        <w:gridCol w:w="36"/>
        <w:gridCol w:w="36"/>
        <w:gridCol w:w="36"/>
        <w:gridCol w:w="36"/>
      </w:tblGrid>
      <w:tr w:rsidR="00000000">
        <w:trPr>
          <w:divId w:val="261230328"/>
        </w:trPr>
        <w:tc>
          <w:tcPr>
            <w:tcW w:w="50" w:type="pct"/>
            <w:vAlign w:val="center"/>
            <w:hideMark/>
          </w:tcPr>
          <w:p w:rsidR="00000000" w:rsidRDefault="00897B14">
            <w:pPr>
              <w:rPr>
                <w:rFonts w:eastAsia="Times New Roman"/>
              </w:rPr>
            </w:pPr>
          </w:p>
        </w:tc>
        <w:tc>
          <w:tcPr>
            <w:tcW w:w="236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123032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61230328"/>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123032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Series A dividends declared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328.13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328.13 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656.25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721.87 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123032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Series B dividends declared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618.75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618.75</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123032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Series C dividends declared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268.75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468.82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1230328"/>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382559285"/>
        <w:rPr>
          <w:rFonts w:eastAsia="Times New Roman"/>
        </w:rPr>
      </w:pPr>
      <w:r>
        <w:rPr>
          <w:rFonts w:eastAsia="Times New Roman"/>
          <w:color w:val="000000"/>
          <w:sz w:val="20"/>
          <w:szCs w:val="20"/>
          <w:u w:val="single"/>
        </w:rPr>
        <w:t>Common Stock</w:t>
      </w:r>
    </w:p>
    <w:p w:rsidR="00000000" w:rsidRDefault="00897B14">
      <w:pPr>
        <w:divId w:val="1037924242"/>
        <w:rPr>
          <w:rFonts w:eastAsia="Times New Roman"/>
        </w:rPr>
      </w:pPr>
      <w:r>
        <w:rPr>
          <w:rFonts w:eastAsia="Times New Roman"/>
          <w:color w:val="000000"/>
          <w:sz w:val="20"/>
          <w:szCs w:val="20"/>
        </w:rPr>
        <w:t>Dividends declared per share of common stock were as follows for the periods indicated:</w:t>
      </w:r>
    </w:p>
    <w:tbl>
      <w:tblPr>
        <w:tblW w:w="4342" w:type="pct"/>
        <w:jc w:val="center"/>
        <w:tblCellMar>
          <w:top w:w="15" w:type="dxa"/>
          <w:left w:w="15" w:type="dxa"/>
          <w:bottom w:w="15" w:type="dxa"/>
          <w:right w:w="15" w:type="dxa"/>
        </w:tblCellMar>
        <w:tblLook w:val="04A0" w:firstRow="1" w:lastRow="0" w:firstColumn="1" w:lastColumn="0" w:noHBand="0" w:noVBand="1"/>
      </w:tblPr>
      <w:tblGrid>
        <w:gridCol w:w="37"/>
        <w:gridCol w:w="3223"/>
        <w:gridCol w:w="36"/>
        <w:gridCol w:w="120"/>
        <w:gridCol w:w="725"/>
        <w:gridCol w:w="36"/>
        <w:gridCol w:w="36"/>
        <w:gridCol w:w="36"/>
        <w:gridCol w:w="36"/>
        <w:gridCol w:w="120"/>
        <w:gridCol w:w="676"/>
        <w:gridCol w:w="36"/>
        <w:gridCol w:w="36"/>
        <w:gridCol w:w="36"/>
        <w:gridCol w:w="36"/>
        <w:gridCol w:w="120"/>
        <w:gridCol w:w="676"/>
        <w:gridCol w:w="36"/>
        <w:gridCol w:w="36"/>
        <w:gridCol w:w="36"/>
        <w:gridCol w:w="36"/>
        <w:gridCol w:w="120"/>
        <w:gridCol w:w="676"/>
        <w:gridCol w:w="36"/>
        <w:gridCol w:w="36"/>
        <w:gridCol w:w="36"/>
        <w:gridCol w:w="36"/>
        <w:gridCol w:w="36"/>
        <w:gridCol w:w="36"/>
        <w:gridCol w:w="36"/>
      </w:tblGrid>
      <w:tr w:rsidR="00000000">
        <w:trPr>
          <w:jc w:val="center"/>
        </w:trPr>
        <w:tc>
          <w:tcPr>
            <w:tcW w:w="50" w:type="pct"/>
            <w:vAlign w:val="center"/>
            <w:hideMark/>
          </w:tcPr>
          <w:p w:rsidR="00000000" w:rsidRDefault="00897B14">
            <w:pPr>
              <w:rPr>
                <w:rFonts w:eastAsia="Times New Roman"/>
              </w:rPr>
            </w:pPr>
          </w:p>
        </w:tc>
        <w:tc>
          <w:tcPr>
            <w:tcW w:w="236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Dividends declared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0.18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0.17 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1582714094"/>
        <w:rPr>
          <w:rFonts w:eastAsia="Times New Roman"/>
        </w:rPr>
      </w:pPr>
    </w:p>
    <w:p w:rsidR="00000000" w:rsidRDefault="00897B14">
      <w:pPr>
        <w:jc w:val="both"/>
        <w:divId w:val="1440955940"/>
        <w:rPr>
          <w:rFonts w:eastAsia="Times New Roman"/>
        </w:rPr>
      </w:pPr>
      <w:r>
        <w:rPr>
          <w:rFonts w:eastAsia="Times New Roman"/>
          <w:b/>
          <w:bCs/>
          <w:i/>
          <w:iCs/>
          <w:color w:val="000000"/>
          <w:sz w:val="20"/>
          <w:szCs w:val="20"/>
        </w:rPr>
        <w:t>Share Repurchase</w:t>
      </w:r>
    </w:p>
    <w:p w:rsidR="00000000" w:rsidRDefault="00897B14">
      <w:pPr>
        <w:divId w:val="120392520"/>
        <w:rPr>
          <w:rFonts w:eastAsia="Times New Roman"/>
        </w:rPr>
      </w:pPr>
      <w:r>
        <w:rPr>
          <w:rFonts w:eastAsia="Times New Roman"/>
          <w:color w:val="000000"/>
          <w:sz w:val="20"/>
          <w:szCs w:val="20"/>
        </w:rPr>
        <w:t xml:space="preserve">On November 6, 2019, Holdings’ Board of Directors authorized a $400 million share repurchase program with an expiration date of December 31, 2020. On February 26, 2020, Holdings’ Board of Directors authorized an increase of $600 million to the capacity of </w:t>
      </w:r>
      <w:r>
        <w:rPr>
          <w:rFonts w:eastAsia="Times New Roman"/>
          <w:color w:val="000000"/>
          <w:sz w:val="20"/>
          <w:szCs w:val="20"/>
        </w:rPr>
        <w:t>this program as well as the extension of the term of the program until March 31, 2021. This program was exhausted in January 2021. On October 23, 2020, Holdings’ Board of Directors authorized an incremental $500 million of share repurchase in 2021, subject</w:t>
      </w:r>
      <w:r>
        <w:rPr>
          <w:rFonts w:eastAsia="Times New Roman"/>
          <w:color w:val="000000"/>
          <w:sz w:val="20"/>
          <w:szCs w:val="20"/>
        </w:rPr>
        <w:t xml:space="preserve"> to the close of the Venerable Transaction. In addition, </w:t>
      </w:r>
    </w:p>
    <w:p w:rsidR="00000000" w:rsidRDefault="00897B14">
      <w:pPr>
        <w:jc w:val="center"/>
        <w:divId w:val="1469933600"/>
        <w:rPr>
          <w:rFonts w:eastAsia="Times New Roman"/>
        </w:rPr>
      </w:pPr>
    </w:p>
    <w:p w:rsidR="00000000" w:rsidRDefault="00897B14">
      <w:pPr>
        <w:jc w:val="center"/>
        <w:divId w:val="1469933600"/>
        <w:rPr>
          <w:rFonts w:eastAsia="Times New Roman"/>
        </w:rPr>
      </w:pPr>
      <w:r>
        <w:rPr>
          <w:rFonts w:eastAsia="Times New Roman"/>
          <w:color w:val="000000"/>
          <w:sz w:val="20"/>
          <w:szCs w:val="20"/>
        </w:rPr>
        <w:t>58</w:t>
      </w:r>
    </w:p>
    <w:p w:rsidR="00000000" w:rsidRDefault="00897B14">
      <w:pPr>
        <w:rPr>
          <w:rFonts w:eastAsia="Times New Roman"/>
        </w:rPr>
      </w:pPr>
      <w:r>
        <w:rPr>
          <w:rFonts w:eastAsia="Times New Roman"/>
        </w:rPr>
        <w:pict>
          <v:rect id="_x0000_i1084" style="width:0;height:1.5pt" o:hralign="center" o:hrstd="t" o:hr="t" fillcolor="#a0a0a0" stroked="f"/>
        </w:pict>
      </w:r>
    </w:p>
    <w:p w:rsidR="00000000" w:rsidRDefault="00897B14">
      <w:pPr>
        <w:divId w:val="1266419177"/>
        <w:rPr>
          <w:rFonts w:eastAsia="Times New Roman"/>
        </w:rPr>
      </w:pPr>
      <w:r>
        <w:rPr>
          <w:rFonts w:eastAsia="Times New Roman"/>
          <w:b/>
          <w:bCs/>
          <w:color w:val="0000FF"/>
          <w:sz w:val="20"/>
          <w:szCs w:val="20"/>
          <w:u w:val="single"/>
        </w:rPr>
        <w:t>Table of Contents</w:t>
      </w:r>
    </w:p>
    <w:p w:rsidR="00000000" w:rsidRDefault="00897B14">
      <w:pPr>
        <w:jc w:val="center"/>
        <w:divId w:val="557862138"/>
        <w:rPr>
          <w:rFonts w:eastAsia="Times New Roman"/>
        </w:rPr>
      </w:pPr>
      <w:r>
        <w:rPr>
          <w:rFonts w:eastAsia="Times New Roman"/>
          <w:b/>
          <w:bCs/>
          <w:color w:val="000000"/>
          <w:sz w:val="20"/>
          <w:szCs w:val="20"/>
        </w:rPr>
        <w:t>EQUITABLE HOLDINGS, INC.</w:t>
      </w:r>
    </w:p>
    <w:p w:rsidR="00000000" w:rsidRDefault="00897B14">
      <w:pPr>
        <w:jc w:val="center"/>
        <w:divId w:val="557862138"/>
        <w:rPr>
          <w:rFonts w:eastAsia="Times New Roman"/>
        </w:rPr>
      </w:pPr>
      <w:r>
        <w:rPr>
          <w:rFonts w:eastAsia="Times New Roman"/>
          <w:b/>
          <w:bCs/>
          <w:color w:val="000000"/>
          <w:sz w:val="20"/>
          <w:szCs w:val="20"/>
        </w:rPr>
        <w:t>Notes to Consolidated Financial Statements (Unaudited), Continued</w:t>
      </w:r>
    </w:p>
    <w:p w:rsidR="00000000" w:rsidRDefault="00897B14">
      <w:pPr>
        <w:divId w:val="1319305544"/>
        <w:rPr>
          <w:rFonts w:eastAsia="Times New Roman"/>
        </w:rPr>
      </w:pPr>
    </w:p>
    <w:p w:rsidR="00000000" w:rsidRDefault="00897B14">
      <w:pPr>
        <w:divId w:val="528379043"/>
        <w:rPr>
          <w:rFonts w:eastAsia="Times New Roman"/>
        </w:rPr>
      </w:pPr>
      <w:r>
        <w:rPr>
          <w:rFonts w:eastAsia="Times New Roman"/>
          <w:color w:val="000000"/>
          <w:sz w:val="20"/>
          <w:szCs w:val="20"/>
        </w:rPr>
        <w:t>on February 17, 2021 Holdings announced that its Board of Directors had authorized a $1.0 billion share repurchase program. Under this program, Holdings may, from time to time, purchase up</w:t>
      </w:r>
      <w:r>
        <w:rPr>
          <w:rFonts w:eastAsia="Times New Roman"/>
          <w:color w:val="000000"/>
          <w:sz w:val="20"/>
          <w:szCs w:val="20"/>
        </w:rPr>
        <w:t xml:space="preserve"> to $1.0 billion of its common stock but it is not obligated to purchase any particular number of shares. Repurchases may be effected in the open market, through derivative, accelerated repurchase and other negotiated transactions and through prearranged t</w:t>
      </w:r>
      <w:r>
        <w:rPr>
          <w:rFonts w:eastAsia="Times New Roman"/>
          <w:color w:val="000000"/>
          <w:sz w:val="20"/>
          <w:szCs w:val="20"/>
        </w:rPr>
        <w:t>rading plans complying with Rule 10b5-1(c) under the Exchange Act. As of June 30, 2021, Holdings had authorized capacity of approximately $962 million remaining in its share repurchase program, which is inclusive of the $500 million related to the Venerabl</w:t>
      </w:r>
      <w:r>
        <w:rPr>
          <w:rFonts w:eastAsia="Times New Roman"/>
          <w:color w:val="000000"/>
          <w:sz w:val="20"/>
          <w:szCs w:val="20"/>
        </w:rPr>
        <w:t xml:space="preserve">e Transaction. </w:t>
      </w:r>
    </w:p>
    <w:p w:rsidR="00000000" w:rsidRDefault="00897B14">
      <w:pPr>
        <w:divId w:val="1256479378"/>
        <w:rPr>
          <w:rFonts w:eastAsia="Times New Roman"/>
        </w:rPr>
      </w:pPr>
      <w:r>
        <w:rPr>
          <w:rFonts w:eastAsia="Times New Roman"/>
          <w:color w:val="000000"/>
          <w:sz w:val="20"/>
          <w:szCs w:val="20"/>
        </w:rPr>
        <w:t xml:space="preserve">Holdings repurchased a total of 8.2 million and 22.7 million shares of its common stock at an average price of $34.09 and $31.29 per share, respectively through open market repurchases, ASRs and privately negotiated transactions during the </w:t>
      </w:r>
      <w:r>
        <w:rPr>
          <w:rFonts w:eastAsia="Times New Roman"/>
          <w:color w:val="000000"/>
          <w:sz w:val="20"/>
          <w:szCs w:val="20"/>
        </w:rPr>
        <w:t xml:space="preserve">three and six months ended June 30, 2021. </w:t>
      </w:r>
    </w:p>
    <w:p w:rsidR="00000000" w:rsidRDefault="00897B14">
      <w:pPr>
        <w:divId w:val="640964965"/>
        <w:rPr>
          <w:rFonts w:eastAsia="Times New Roman"/>
        </w:rPr>
      </w:pPr>
      <w:r>
        <w:rPr>
          <w:rFonts w:eastAsia="Times New Roman"/>
          <w:color w:val="000000"/>
          <w:sz w:val="20"/>
          <w:szCs w:val="20"/>
        </w:rPr>
        <w:t xml:space="preserve">During the three and six months ended June 30, 2021, Holdings repurchased 0 million and 3.2 million shares of its common stock through open market repurchases. </w:t>
      </w:r>
    </w:p>
    <w:p w:rsidR="00000000" w:rsidRDefault="00897B14">
      <w:pPr>
        <w:divId w:val="692417568"/>
        <w:rPr>
          <w:rFonts w:eastAsia="Times New Roman"/>
        </w:rPr>
      </w:pPr>
      <w:r>
        <w:rPr>
          <w:rFonts w:eastAsia="Times New Roman"/>
          <w:color w:val="000000"/>
          <w:sz w:val="20"/>
          <w:szCs w:val="20"/>
        </w:rPr>
        <w:t>In January 2021, Holdings entered into an ASR with a</w:t>
      </w:r>
      <w:r>
        <w:rPr>
          <w:rFonts w:eastAsia="Times New Roman"/>
          <w:color w:val="000000"/>
          <w:sz w:val="20"/>
          <w:szCs w:val="20"/>
        </w:rPr>
        <w:t xml:space="preserve"> third-party financial institution to repurchase an aggregate of $170 million of Holdings’ common stock. The ASR terminated during the first quarter of 2021, for a total of 6.3 million shares delivered. Shares repurchased under the ASR were retired upon re</w:t>
      </w:r>
      <w:r>
        <w:rPr>
          <w:rFonts w:eastAsia="Times New Roman"/>
          <w:color w:val="000000"/>
          <w:sz w:val="20"/>
          <w:szCs w:val="20"/>
        </w:rPr>
        <w:t>ceipt resulting in a reduction of Holdings’ total issued shares as of March 31, 2021.</w:t>
      </w:r>
    </w:p>
    <w:p w:rsidR="00000000" w:rsidRDefault="00897B14">
      <w:pPr>
        <w:divId w:val="254871830"/>
        <w:rPr>
          <w:rFonts w:eastAsia="Times New Roman"/>
        </w:rPr>
      </w:pPr>
      <w:r>
        <w:rPr>
          <w:rFonts w:eastAsia="Times New Roman"/>
          <w:color w:val="000000"/>
          <w:sz w:val="20"/>
          <w:szCs w:val="20"/>
        </w:rPr>
        <w:t>In March 2021, Holdings entered into an ASR contract with a third-party financial institution to repurchase an aggregate of $200 million of Holdings’ common stock. Pursua</w:t>
      </w:r>
      <w:r>
        <w:rPr>
          <w:rFonts w:eastAsia="Times New Roman"/>
          <w:color w:val="000000"/>
          <w:sz w:val="20"/>
          <w:szCs w:val="20"/>
        </w:rPr>
        <w:t xml:space="preserve">nt to the ASR, Holdings made a prepayment of $200 million and received initial delivery of 4.9 million shares. The ASR terminated during May 2021, at which time additional shares of 1,123,025 were received. </w:t>
      </w:r>
    </w:p>
    <w:p w:rsidR="00000000" w:rsidRDefault="00897B14">
      <w:pPr>
        <w:divId w:val="193268773"/>
        <w:rPr>
          <w:rFonts w:eastAsia="Times New Roman"/>
        </w:rPr>
      </w:pPr>
    </w:p>
    <w:p w:rsidR="00000000" w:rsidRDefault="00897B14">
      <w:pPr>
        <w:divId w:val="1677611075"/>
        <w:rPr>
          <w:rFonts w:eastAsia="Times New Roman"/>
        </w:rPr>
      </w:pPr>
      <w:r>
        <w:rPr>
          <w:rFonts w:eastAsia="Times New Roman"/>
          <w:color w:val="000000"/>
          <w:sz w:val="20"/>
          <w:szCs w:val="20"/>
        </w:rPr>
        <w:t>On June 30, 2021, Holdings established an obli</w:t>
      </w:r>
      <w:r>
        <w:rPr>
          <w:rFonts w:eastAsia="Times New Roman"/>
          <w:color w:val="000000"/>
          <w:sz w:val="20"/>
          <w:szCs w:val="20"/>
        </w:rPr>
        <w:t>gation to enter into an ASR with a third-party financial institution to repurchase an aggregate of $300 million of Holdings’ common stock. Pursuant to the ASR, on July 2, 2021, Holdings made a prepayment of $300 million to receive initial delivery of share</w:t>
      </w:r>
      <w:r>
        <w:rPr>
          <w:rFonts w:eastAsia="Times New Roman"/>
          <w:color w:val="000000"/>
          <w:sz w:val="20"/>
          <w:szCs w:val="20"/>
        </w:rPr>
        <w:t>s. The ASR is scheduled to terminate during the third quarter of 2021, at which time additional shares may be delivered or returned depending on the daily volume-weighted average price of Holdings’ common stock.</w:t>
      </w:r>
    </w:p>
    <w:p w:rsidR="00000000" w:rsidRDefault="00897B14">
      <w:pPr>
        <w:divId w:val="890922194"/>
        <w:rPr>
          <w:rFonts w:eastAsia="Times New Roman"/>
        </w:rPr>
      </w:pPr>
    </w:p>
    <w:p w:rsidR="00000000" w:rsidRDefault="00897B14">
      <w:pPr>
        <w:divId w:val="1973247577"/>
        <w:rPr>
          <w:rFonts w:eastAsia="Times New Roman"/>
        </w:rPr>
      </w:pPr>
      <w:r>
        <w:rPr>
          <w:rFonts w:eastAsia="Times New Roman"/>
          <w:color w:val="000000"/>
          <w:sz w:val="20"/>
          <w:szCs w:val="20"/>
          <w:u w:val="single"/>
        </w:rPr>
        <w:t>Accumulated Other Comprehensive Income (Lo</w:t>
      </w:r>
      <w:r>
        <w:rPr>
          <w:rFonts w:eastAsia="Times New Roman"/>
          <w:color w:val="000000"/>
          <w:sz w:val="20"/>
          <w:szCs w:val="20"/>
          <w:u w:val="single"/>
        </w:rPr>
        <w:t>ss)</w:t>
      </w:r>
    </w:p>
    <w:p w:rsidR="00000000" w:rsidRDefault="00897B14">
      <w:pPr>
        <w:divId w:val="736366508"/>
        <w:rPr>
          <w:rFonts w:eastAsia="Times New Roman"/>
        </w:rPr>
      </w:pPr>
      <w:r>
        <w:rPr>
          <w:rFonts w:eastAsia="Times New Roman"/>
          <w:color w:val="000000"/>
          <w:sz w:val="20"/>
          <w:szCs w:val="20"/>
        </w:rPr>
        <w:t>AOCI represents cumulative gains (losses) on items that are not reflected in net income (loss). The balances as of June 30, 2021 and December 31, 2020 follow:</w:t>
      </w:r>
    </w:p>
    <w:tbl>
      <w:tblPr>
        <w:tblW w:w="4605" w:type="pct"/>
        <w:tblCellMar>
          <w:top w:w="15" w:type="dxa"/>
          <w:left w:w="15" w:type="dxa"/>
          <w:bottom w:w="15" w:type="dxa"/>
          <w:right w:w="15" w:type="dxa"/>
        </w:tblCellMar>
        <w:tblLook w:val="04A0" w:firstRow="1" w:lastRow="0" w:firstColumn="1" w:lastColumn="0" w:noHBand="0" w:noVBand="1"/>
      </w:tblPr>
      <w:tblGrid>
        <w:gridCol w:w="38"/>
        <w:gridCol w:w="5230"/>
        <w:gridCol w:w="37"/>
        <w:gridCol w:w="120"/>
        <w:gridCol w:w="874"/>
        <w:gridCol w:w="36"/>
        <w:gridCol w:w="36"/>
        <w:gridCol w:w="36"/>
        <w:gridCol w:w="36"/>
        <w:gridCol w:w="121"/>
        <w:gridCol w:w="834"/>
        <w:gridCol w:w="36"/>
        <w:gridCol w:w="36"/>
        <w:gridCol w:w="36"/>
        <w:gridCol w:w="36"/>
        <w:gridCol w:w="36"/>
        <w:gridCol w:w="36"/>
        <w:gridCol w:w="36"/>
      </w:tblGrid>
      <w:tr w:rsidR="00000000">
        <w:trPr>
          <w:divId w:val="1004934819"/>
        </w:trPr>
        <w:tc>
          <w:tcPr>
            <w:tcW w:w="50" w:type="pct"/>
            <w:vAlign w:val="center"/>
            <w:hideMark/>
          </w:tcPr>
          <w:p w:rsidR="00000000" w:rsidRDefault="00897B14">
            <w:pPr>
              <w:rPr>
                <w:rFonts w:eastAsia="Times New Roman"/>
              </w:rPr>
            </w:pPr>
          </w:p>
        </w:tc>
        <w:tc>
          <w:tcPr>
            <w:tcW w:w="355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Unrealized gains (losses) on investments</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2,864</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4,797 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Defined benefit pension plans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(880)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(935)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Foreign currency translation adjustments</w:t>
            </w: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accumulated other comprehensive income (loss)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p>
        </w:tc>
        <w:tc>
          <w:tcPr>
            <w:tcW w:w="0" w:type="auto"/>
            <w:tcBorders>
              <w:top w:val="single" w:sz="4"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ascii="Calibri" w:eastAsia="Times New Roman" w:hAnsi="Calibri" w:cs="Calibri"/>
                <w:b/>
                <w:bCs/>
                <w:color w:val="000000"/>
                <w:sz w:val="18"/>
                <w:szCs w:val="18"/>
              </w:rPr>
              <w:t>(35)</w:t>
            </w:r>
          </w:p>
        </w:tc>
        <w:tc>
          <w:tcPr>
            <w:tcW w:w="0" w:type="auto"/>
            <w:tcBorders>
              <w:top w:val="single" w:sz="8"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004934819"/>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Accumulated other 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3,863 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69229969"/>
        <w:rPr>
          <w:rFonts w:eastAsia="Times New Roman"/>
        </w:rPr>
      </w:pPr>
    </w:p>
    <w:p w:rsidR="00000000" w:rsidRDefault="00897B14">
      <w:pPr>
        <w:jc w:val="center"/>
        <w:divId w:val="887573774"/>
        <w:rPr>
          <w:rFonts w:eastAsia="Times New Roman"/>
        </w:rPr>
      </w:pPr>
    </w:p>
    <w:p w:rsidR="00000000" w:rsidRDefault="00897B14">
      <w:pPr>
        <w:jc w:val="center"/>
        <w:divId w:val="887573774"/>
        <w:rPr>
          <w:rFonts w:eastAsia="Times New Roman"/>
        </w:rPr>
      </w:pPr>
      <w:r>
        <w:rPr>
          <w:rFonts w:eastAsia="Times New Roman"/>
          <w:color w:val="000000"/>
          <w:sz w:val="20"/>
          <w:szCs w:val="20"/>
        </w:rPr>
        <w:t>59</w:t>
      </w:r>
    </w:p>
    <w:p w:rsidR="00000000" w:rsidRDefault="00897B14">
      <w:pPr>
        <w:rPr>
          <w:rFonts w:eastAsia="Times New Roman"/>
        </w:rPr>
      </w:pPr>
      <w:r>
        <w:rPr>
          <w:rFonts w:eastAsia="Times New Roman"/>
        </w:rPr>
        <w:pict>
          <v:rect id="_x0000_i1085" style="width:0;height:1.5pt" o:hralign="center" o:hrstd="t" o:hr="t" fillcolor="#a0a0a0" stroked="f"/>
        </w:pict>
      </w:r>
    </w:p>
    <w:p w:rsidR="00000000" w:rsidRDefault="00897B14">
      <w:pPr>
        <w:divId w:val="661926926"/>
        <w:rPr>
          <w:rFonts w:eastAsia="Times New Roman"/>
        </w:rPr>
      </w:pPr>
      <w:r>
        <w:rPr>
          <w:rFonts w:eastAsia="Times New Roman"/>
          <w:b/>
          <w:bCs/>
          <w:color w:val="0000FF"/>
          <w:sz w:val="20"/>
          <w:szCs w:val="20"/>
          <w:u w:val="single"/>
        </w:rPr>
        <w:t>Table of Contents</w:t>
      </w:r>
    </w:p>
    <w:p w:rsidR="00000000" w:rsidRDefault="00897B14">
      <w:pPr>
        <w:jc w:val="center"/>
        <w:divId w:val="524443061"/>
        <w:rPr>
          <w:rFonts w:eastAsia="Times New Roman"/>
        </w:rPr>
      </w:pPr>
      <w:r>
        <w:rPr>
          <w:rFonts w:eastAsia="Times New Roman"/>
          <w:b/>
          <w:bCs/>
          <w:color w:val="000000"/>
          <w:sz w:val="20"/>
          <w:szCs w:val="20"/>
        </w:rPr>
        <w:t>EQUITABLE HOLDINGS, INC.</w:t>
      </w:r>
    </w:p>
    <w:p w:rsidR="00000000" w:rsidRDefault="00897B14">
      <w:pPr>
        <w:jc w:val="center"/>
        <w:divId w:val="524443061"/>
        <w:rPr>
          <w:rFonts w:eastAsia="Times New Roman"/>
        </w:rPr>
      </w:pPr>
      <w:r>
        <w:rPr>
          <w:rFonts w:eastAsia="Times New Roman"/>
          <w:b/>
          <w:bCs/>
          <w:color w:val="000000"/>
          <w:sz w:val="20"/>
          <w:szCs w:val="20"/>
        </w:rPr>
        <w:t>Notes to Consolidated Financial Statements (Unaudited), Continued</w:t>
      </w:r>
    </w:p>
    <w:p w:rsidR="00000000" w:rsidRDefault="00897B14">
      <w:pPr>
        <w:divId w:val="197397092"/>
        <w:rPr>
          <w:rFonts w:eastAsia="Times New Roman"/>
        </w:rPr>
      </w:pPr>
    </w:p>
    <w:p w:rsidR="00000000" w:rsidRDefault="00897B14">
      <w:pPr>
        <w:divId w:val="127017120"/>
        <w:rPr>
          <w:rFonts w:eastAsia="Times New Roman"/>
        </w:rPr>
      </w:pPr>
      <w:r>
        <w:rPr>
          <w:rFonts w:eastAsia="Times New Roman"/>
          <w:color w:val="000000"/>
          <w:sz w:val="20"/>
          <w:szCs w:val="20"/>
        </w:rPr>
        <w:t>The components of OCI, net of taxes for the three months and six months ended June 30, 2021 and 2020 follow:</w:t>
      </w:r>
    </w:p>
    <w:tbl>
      <w:tblPr>
        <w:tblW w:w="5000" w:type="pct"/>
        <w:tblCellMar>
          <w:top w:w="15" w:type="dxa"/>
          <w:left w:w="15" w:type="dxa"/>
          <w:bottom w:w="15" w:type="dxa"/>
          <w:right w:w="15" w:type="dxa"/>
        </w:tblCellMar>
        <w:tblLook w:val="04A0" w:firstRow="1" w:lastRow="0" w:firstColumn="1" w:lastColumn="0" w:noHBand="0" w:noVBand="1"/>
      </w:tblPr>
      <w:tblGrid>
        <w:gridCol w:w="39"/>
        <w:gridCol w:w="4121"/>
        <w:gridCol w:w="38"/>
        <w:gridCol w:w="120"/>
        <w:gridCol w:w="769"/>
        <w:gridCol w:w="36"/>
        <w:gridCol w:w="36"/>
        <w:gridCol w:w="36"/>
        <w:gridCol w:w="36"/>
        <w:gridCol w:w="120"/>
        <w:gridCol w:w="724"/>
        <w:gridCol w:w="36"/>
        <w:gridCol w:w="36"/>
        <w:gridCol w:w="36"/>
        <w:gridCol w:w="36"/>
        <w:gridCol w:w="120"/>
        <w:gridCol w:w="725"/>
        <w:gridCol w:w="36"/>
        <w:gridCol w:w="36"/>
        <w:gridCol w:w="36"/>
        <w:gridCol w:w="36"/>
        <w:gridCol w:w="120"/>
        <w:gridCol w:w="726"/>
        <w:gridCol w:w="36"/>
        <w:gridCol w:w="36"/>
        <w:gridCol w:w="36"/>
        <w:gridCol w:w="36"/>
        <w:gridCol w:w="36"/>
        <w:gridCol w:w="36"/>
        <w:gridCol w:w="36"/>
      </w:tblGrid>
      <w:tr w:rsidR="00000000">
        <w:trPr>
          <w:divId w:val="1314481990"/>
        </w:trPr>
        <w:tc>
          <w:tcPr>
            <w:tcW w:w="50" w:type="pct"/>
            <w:vAlign w:val="center"/>
            <w:hideMark/>
          </w:tcPr>
          <w:p w:rsidR="00000000" w:rsidRDefault="00897B14">
            <w:pPr>
              <w:rPr>
                <w:rFonts w:eastAsia="Times New Roman"/>
              </w:rPr>
            </w:pPr>
          </w:p>
        </w:tc>
        <w:tc>
          <w:tcPr>
            <w:tcW w:w="25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divId w:val="476797515"/>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Change in net unrealized gains (losses) on investments: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unrealized gains (losses) arising during the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(2,237)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4,366 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(Gains) losses reclassified into net income (loss) during the period (1)</w:t>
            </w: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(322)</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(486)</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(199)</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unrealized gains (losses) on investments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Adjustments for policyholders’ liabilities, DAC, insurance liability loss recognition and other</w:t>
            </w: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(280)</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(1,087)</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790</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(1,123)</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75728424"/>
              <w:rPr>
                <w:rFonts w:eastAsia="Times New Roman"/>
              </w:rPr>
            </w:pPr>
            <w:r>
              <w:rPr>
                <w:rFonts w:eastAsia="Times New Roman"/>
                <w:color w:val="000000"/>
                <w:sz w:val="20"/>
                <w:szCs w:val="20"/>
              </w:rPr>
              <w:t>Change in unrealized gains (losses), net of adjustments (net of deferred income tax expense (benefit) of $324, $429, $(514) and $809 )</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(1,933)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Change in defined benefit plans: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Reclassification to Net income (loss) of amortization of net prior service credit included in net periodic cost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2112624128"/>
              <w:rPr>
                <w:rFonts w:eastAsia="Times New Roman"/>
              </w:rPr>
            </w:pPr>
            <w:r>
              <w:rPr>
                <w:rFonts w:eastAsia="Times New Roman"/>
                <w:color w:val="000000"/>
                <w:sz w:val="20"/>
                <w:szCs w:val="20"/>
              </w:rPr>
              <w:t>Change in defined benefit plans (net of deferred income tax expense (benefit) of $5, $6, $14 and $13)</w:t>
            </w: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50 </w:t>
            </w:r>
          </w:p>
        </w:tc>
        <w:tc>
          <w:tcPr>
            <w:tcW w:w="0" w:type="auto"/>
            <w:tcBorders>
              <w:top w:val="single" w:sz="4"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Foreign currency translation adjustments: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Foreign currency translation gains (losses) arising during the period</w:t>
            </w: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Foreign currency translation adjustment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other comprehensive income (loss),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1,642 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3,079 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Less: Other comprehensive income (loss) attributable to noncontrolling interest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31448199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comprehensive income (loss) attributable to Holdings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1,639 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3,084 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485897555"/>
        <w:rPr>
          <w:rFonts w:eastAsia="Times New Roman"/>
        </w:rPr>
      </w:pPr>
      <w:r>
        <w:rPr>
          <w:rFonts w:eastAsia="Times New Roman"/>
          <w:color w:val="000000"/>
          <w:sz w:val="18"/>
          <w:szCs w:val="18"/>
        </w:rPr>
        <w:t>_______________</w:t>
      </w:r>
    </w:p>
    <w:p w:rsidR="00000000" w:rsidRDefault="00897B14">
      <w:pPr>
        <w:ind w:hanging="360"/>
        <w:divId w:val="1156065718"/>
        <w:rPr>
          <w:rFonts w:eastAsia="Times New Roman"/>
        </w:rPr>
      </w:pPr>
      <w:r>
        <w:rPr>
          <w:rFonts w:eastAsia="Times New Roman"/>
          <w:color w:val="000000"/>
          <w:sz w:val="18"/>
          <w:szCs w:val="18"/>
        </w:rPr>
        <w:t>(1)See “Reclassification adjustments” in Note 3. Reclassification amounts presented net of income tax</w:t>
      </w:r>
      <w:r>
        <w:rPr>
          <w:rFonts w:eastAsia="Times New Roman"/>
          <w:color w:val="000000"/>
          <w:sz w:val="18"/>
          <w:szCs w:val="18"/>
        </w:rPr>
        <w:t xml:space="preserve"> expense (benefit) of $85 million, $41 million, $129 million, and $53 million for the three months and six months ended June 30, 2021 and 2020, respectively</w:t>
      </w:r>
    </w:p>
    <w:p w:rsidR="00000000" w:rsidRDefault="00897B14">
      <w:pPr>
        <w:divId w:val="1267494298"/>
        <w:rPr>
          <w:rFonts w:eastAsia="Times New Roman"/>
        </w:rPr>
      </w:pPr>
      <w:r>
        <w:rPr>
          <w:rFonts w:eastAsia="Times New Roman"/>
          <w:color w:val="000000"/>
          <w:sz w:val="20"/>
          <w:szCs w:val="20"/>
        </w:rPr>
        <w:t>Investment gains and losses reclassified from AOCI to net income (loss) primarily consist of realiz</w:t>
      </w:r>
      <w:r>
        <w:rPr>
          <w:rFonts w:eastAsia="Times New Roman"/>
          <w:color w:val="000000"/>
          <w:sz w:val="20"/>
          <w:szCs w:val="20"/>
        </w:rPr>
        <w:t>ed gains (losses) on sales and credit losses of AFS securities and are included in total investment gains (losses), net on the consolidated statements of income (loss). Amounts reclassified from AOCI to net income (loss) as related to defined benefit plans</w:t>
      </w:r>
      <w:r>
        <w:rPr>
          <w:rFonts w:eastAsia="Times New Roman"/>
          <w:color w:val="000000"/>
          <w:sz w:val="20"/>
          <w:szCs w:val="20"/>
        </w:rPr>
        <w:t xml:space="preserve"> primarily consist of amortization of net (gains) losses and net prior service cost (credit) recognized as a component of net periodic cost and reported in compensation and benefits in the consolidated statements of income (loss). Amounts presented in the </w:t>
      </w:r>
      <w:r>
        <w:rPr>
          <w:rFonts w:eastAsia="Times New Roman"/>
          <w:color w:val="000000"/>
          <w:sz w:val="20"/>
          <w:szCs w:val="20"/>
        </w:rPr>
        <w:t>table above are net of tax.</w:t>
      </w:r>
    </w:p>
    <w:p w:rsidR="00000000" w:rsidRDefault="00897B14">
      <w:pPr>
        <w:divId w:val="1163739353"/>
        <w:rPr>
          <w:rFonts w:eastAsia="Times New Roman"/>
        </w:rPr>
      </w:pPr>
      <w:r>
        <w:rPr>
          <w:rFonts w:eastAsia="Times New Roman"/>
          <w:color w:val="000000"/>
          <w:sz w:val="20"/>
          <w:szCs w:val="20"/>
          <w:u w:val="single"/>
        </w:rPr>
        <w:t>Permitted Statutory Accounting Practices</w:t>
      </w:r>
    </w:p>
    <w:p w:rsidR="00000000" w:rsidRDefault="00897B14">
      <w:pPr>
        <w:divId w:val="1700935547"/>
        <w:rPr>
          <w:rFonts w:eastAsia="Times New Roman"/>
        </w:rPr>
      </w:pPr>
      <w:r>
        <w:rPr>
          <w:rFonts w:eastAsia="Times New Roman"/>
          <w:color w:val="000000"/>
          <w:sz w:val="20"/>
          <w:szCs w:val="20"/>
        </w:rPr>
        <w:t>Equitable Financial was granted a permitted practice by the NYDFS to apply SSAP 108, Derivatives Hedging Variable Annuity Guarantees on a retroactive basis from January 1, 2021 through June 30, 2021, after reflecting the impacts of our reinsurance transact</w:t>
      </w:r>
      <w:r>
        <w:rPr>
          <w:rFonts w:eastAsia="Times New Roman"/>
          <w:color w:val="000000"/>
          <w:sz w:val="20"/>
          <w:szCs w:val="20"/>
        </w:rPr>
        <w:t>ion with Venerable. Application of the permitted practice partially mitigates the Regulation 213 impact of the Venerable transaction on Equitable Financial’s statutory capital and surplus. The impact of the application of this permitted practice was an inc</w:t>
      </w:r>
      <w:r>
        <w:rPr>
          <w:rFonts w:eastAsia="Times New Roman"/>
          <w:color w:val="000000"/>
          <w:sz w:val="20"/>
          <w:szCs w:val="20"/>
        </w:rPr>
        <w:t xml:space="preserve">rease of approximately </w:t>
      </w:r>
      <w:r>
        <w:rPr>
          <w:rFonts w:eastAsia="Times New Roman"/>
          <w:color w:val="000000"/>
          <w:sz w:val="20"/>
          <w:szCs w:val="20"/>
          <w:shd w:val="clear" w:color="auto" w:fill="FFFFFF"/>
        </w:rPr>
        <w:t>$1.5 billion</w:t>
      </w:r>
      <w:r>
        <w:rPr>
          <w:rFonts w:eastAsia="Times New Roman"/>
          <w:color w:val="000000"/>
          <w:sz w:val="20"/>
          <w:szCs w:val="20"/>
        </w:rPr>
        <w:t xml:space="preserve"> in statutory surplus as of June 30, 2021, which will be amortized over 5 years. The permitted practice also resets Equitable Financial’s unassigned surplus to zero as of June 30, 2021 to reflect the transformative nature</w:t>
      </w:r>
      <w:r>
        <w:rPr>
          <w:rFonts w:eastAsia="Times New Roman"/>
          <w:color w:val="000000"/>
          <w:sz w:val="20"/>
          <w:szCs w:val="20"/>
        </w:rPr>
        <w:t xml:space="preserve"> of the Venerable transaction. </w:t>
      </w:r>
    </w:p>
    <w:p w:rsidR="00000000" w:rsidRDefault="00897B14">
      <w:pPr>
        <w:divId w:val="301272911"/>
        <w:rPr>
          <w:rFonts w:eastAsia="Times New Roman"/>
        </w:rPr>
      </w:pPr>
    </w:p>
    <w:p w:rsidR="00000000" w:rsidRDefault="00897B14">
      <w:pPr>
        <w:jc w:val="center"/>
        <w:divId w:val="1537355889"/>
        <w:rPr>
          <w:rFonts w:eastAsia="Times New Roman"/>
        </w:rPr>
      </w:pPr>
    </w:p>
    <w:p w:rsidR="00000000" w:rsidRDefault="00897B14">
      <w:pPr>
        <w:jc w:val="center"/>
        <w:divId w:val="1537355889"/>
        <w:rPr>
          <w:rFonts w:eastAsia="Times New Roman"/>
        </w:rPr>
      </w:pPr>
      <w:r>
        <w:rPr>
          <w:rFonts w:eastAsia="Times New Roman"/>
          <w:color w:val="000000"/>
          <w:sz w:val="20"/>
          <w:szCs w:val="20"/>
        </w:rPr>
        <w:t>60</w:t>
      </w:r>
    </w:p>
    <w:p w:rsidR="00000000" w:rsidRDefault="00897B14">
      <w:pPr>
        <w:rPr>
          <w:rFonts w:eastAsia="Times New Roman"/>
        </w:rPr>
      </w:pPr>
      <w:r>
        <w:rPr>
          <w:rFonts w:eastAsia="Times New Roman"/>
        </w:rPr>
        <w:pict>
          <v:rect id="_x0000_i1086" style="width:0;height:1.5pt" o:hralign="center" o:hrstd="t" o:hr="t" fillcolor="#a0a0a0" stroked="f"/>
        </w:pict>
      </w:r>
    </w:p>
    <w:p w:rsidR="00000000" w:rsidRDefault="00897B14">
      <w:pPr>
        <w:divId w:val="1640266433"/>
        <w:rPr>
          <w:rFonts w:eastAsia="Times New Roman"/>
        </w:rPr>
      </w:pPr>
      <w:r>
        <w:rPr>
          <w:rFonts w:eastAsia="Times New Roman"/>
          <w:b/>
          <w:bCs/>
          <w:color w:val="0000FF"/>
          <w:sz w:val="20"/>
          <w:szCs w:val="20"/>
          <w:u w:val="single"/>
        </w:rPr>
        <w:t>Table of Contents</w:t>
      </w:r>
    </w:p>
    <w:p w:rsidR="00000000" w:rsidRDefault="00897B14">
      <w:pPr>
        <w:jc w:val="center"/>
        <w:divId w:val="1740244767"/>
        <w:rPr>
          <w:rFonts w:eastAsia="Times New Roman"/>
        </w:rPr>
      </w:pPr>
      <w:r>
        <w:rPr>
          <w:rFonts w:eastAsia="Times New Roman"/>
          <w:b/>
          <w:bCs/>
          <w:color w:val="000000"/>
          <w:sz w:val="20"/>
          <w:szCs w:val="20"/>
        </w:rPr>
        <w:t>EQUITABLE HOLDINGS, INC.</w:t>
      </w:r>
    </w:p>
    <w:p w:rsidR="00000000" w:rsidRDefault="00897B14">
      <w:pPr>
        <w:jc w:val="center"/>
        <w:divId w:val="1740244767"/>
        <w:rPr>
          <w:rFonts w:eastAsia="Times New Roman"/>
        </w:rPr>
      </w:pPr>
      <w:r>
        <w:rPr>
          <w:rFonts w:eastAsia="Times New Roman"/>
          <w:b/>
          <w:bCs/>
          <w:color w:val="000000"/>
          <w:sz w:val="20"/>
          <w:szCs w:val="20"/>
        </w:rPr>
        <w:t>Notes to Consolidated Financial Statements (Unaudited), Continued</w:t>
      </w:r>
    </w:p>
    <w:p w:rsidR="00000000" w:rsidRDefault="00897B14">
      <w:pPr>
        <w:divId w:val="1683974968"/>
        <w:rPr>
          <w:rFonts w:eastAsia="Times New Roman"/>
        </w:rPr>
      </w:pPr>
    </w:p>
    <w:p w:rsidR="00000000" w:rsidRDefault="00897B14">
      <w:pPr>
        <w:divId w:val="1153135268"/>
        <w:rPr>
          <w:rFonts w:eastAsia="Times New Roman"/>
        </w:rPr>
      </w:pPr>
      <w:r>
        <w:rPr>
          <w:rFonts w:eastAsia="Times New Roman"/>
          <w:b/>
          <w:bCs/>
          <w:color w:val="000000"/>
          <w:sz w:val="20"/>
          <w:szCs w:val="20"/>
        </w:rPr>
        <w:t>11)    </w:t>
      </w:r>
      <w:r>
        <w:rPr>
          <w:rFonts w:eastAsia="Times New Roman"/>
          <w:b/>
          <w:bCs/>
          <w:color w:val="000000"/>
          <w:sz w:val="20"/>
          <w:szCs w:val="20"/>
        </w:rPr>
        <w:t xml:space="preserve">REDEEMABLE NONCONTROLLING INTEREST </w:t>
      </w:r>
    </w:p>
    <w:p w:rsidR="00000000" w:rsidRDefault="00897B14">
      <w:pPr>
        <w:divId w:val="545534723"/>
        <w:rPr>
          <w:rFonts w:eastAsia="Times New Roman"/>
        </w:rPr>
      </w:pPr>
      <w:r>
        <w:rPr>
          <w:rFonts w:eastAsia="Times New Roman"/>
          <w:color w:val="000000"/>
          <w:sz w:val="20"/>
          <w:szCs w:val="20"/>
        </w:rPr>
        <w:t>The changes in the components of redeemable noncontrolling interests are presented in the table that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88"/>
        <w:gridCol w:w="38"/>
        <w:gridCol w:w="120"/>
        <w:gridCol w:w="844"/>
        <w:gridCol w:w="36"/>
        <w:gridCol w:w="36"/>
        <w:gridCol w:w="36"/>
        <w:gridCol w:w="36"/>
        <w:gridCol w:w="120"/>
        <w:gridCol w:w="844"/>
        <w:gridCol w:w="36"/>
        <w:gridCol w:w="36"/>
        <w:gridCol w:w="36"/>
        <w:gridCol w:w="36"/>
        <w:gridCol w:w="133"/>
        <w:gridCol w:w="789"/>
        <w:gridCol w:w="36"/>
        <w:gridCol w:w="36"/>
        <w:gridCol w:w="78"/>
        <w:gridCol w:w="36"/>
        <w:gridCol w:w="120"/>
        <w:gridCol w:w="845"/>
        <w:gridCol w:w="36"/>
        <w:gridCol w:w="36"/>
        <w:gridCol w:w="36"/>
        <w:gridCol w:w="36"/>
        <w:gridCol w:w="36"/>
        <w:gridCol w:w="36"/>
        <w:gridCol w:w="36"/>
      </w:tblGrid>
      <w:tr w:rsidR="00000000">
        <w:trPr>
          <w:divId w:val="481702083"/>
          <w:jc w:val="center"/>
        </w:trPr>
        <w:tc>
          <w:tcPr>
            <w:tcW w:w="50" w:type="pct"/>
            <w:vAlign w:val="center"/>
            <w:hideMark/>
          </w:tcPr>
          <w:p w:rsidR="00000000" w:rsidRDefault="00897B14">
            <w:pPr>
              <w:rPr>
                <w:rFonts w:eastAsia="Times New Roman"/>
              </w:rPr>
            </w:pPr>
          </w:p>
        </w:tc>
        <w:tc>
          <w:tcPr>
            <w:tcW w:w="23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8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81702083"/>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481702083"/>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81702083"/>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481702083"/>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beginning of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ascii="Calibri" w:eastAsia="Times New Roman" w:hAnsi="Calibri" w:cs="Calibri"/>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ascii="Calibri" w:eastAsia="Times New Roman" w:hAnsi="Calibri" w:cs="Calibri"/>
                <w:color w:val="000000"/>
                <w:sz w:val="18"/>
                <w:szCs w:val="18"/>
              </w:rPr>
              <w:t>143 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81702083"/>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earnings (loss) attributable to redeemable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ascii="Calibri" w:eastAsia="Times New Roman" w:hAnsi="Calibri" w:cs="Calibri"/>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81702083"/>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Purchase/change of redeemable noncontrolling interests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81702083"/>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Balance,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ascii="Calibri" w:eastAsia="Times New Roman" w:hAnsi="Calibri" w:cs="Calibri"/>
                <w:b/>
                <w:bCs/>
                <w:color w:val="000000"/>
                <w:sz w:val="22"/>
                <w:szCs w:val="22"/>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ascii="Calibri" w:eastAsia="Times New Roman" w:hAnsi="Calibri" w:cs="Calibri"/>
                <w:b/>
                <w:bCs/>
                <w:color w:val="000000"/>
                <w:sz w:val="22"/>
                <w:szCs w:val="22"/>
              </w:rPr>
              <w:t>42</w:t>
            </w:r>
            <w:r>
              <w:rPr>
                <w:rFonts w:ascii="Calibri" w:eastAsia="Times New Roman" w:hAnsi="Calibri" w:cs="Calibri"/>
                <w:color w:val="000000"/>
                <w:sz w:val="22"/>
                <w:szCs w:val="22"/>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813907582"/>
        <w:rPr>
          <w:rFonts w:eastAsia="Times New Roman"/>
        </w:rPr>
      </w:pPr>
    </w:p>
    <w:p w:rsidR="00000000" w:rsidRDefault="00897B14">
      <w:pPr>
        <w:divId w:val="271010676"/>
        <w:rPr>
          <w:rFonts w:eastAsia="Times New Roman"/>
        </w:rPr>
      </w:pPr>
      <w:r>
        <w:rPr>
          <w:rFonts w:eastAsia="Times New Roman"/>
          <w:b/>
          <w:bCs/>
          <w:color w:val="000000"/>
          <w:sz w:val="20"/>
          <w:szCs w:val="20"/>
        </w:rPr>
        <w:t>12)    COMMITMENTS AND CONTINGENT LIABILITIES</w:t>
      </w:r>
    </w:p>
    <w:p w:rsidR="00000000" w:rsidRDefault="00897B14">
      <w:pPr>
        <w:divId w:val="862674705"/>
        <w:rPr>
          <w:rFonts w:eastAsia="Times New Roman"/>
        </w:rPr>
      </w:pPr>
      <w:r>
        <w:rPr>
          <w:rFonts w:eastAsia="Times New Roman"/>
          <w:color w:val="000000"/>
          <w:sz w:val="20"/>
          <w:szCs w:val="20"/>
          <w:u w:val="single"/>
        </w:rPr>
        <w:t>Litigation and Regulatory Matters</w:t>
      </w:r>
    </w:p>
    <w:p w:rsidR="00000000" w:rsidRDefault="00897B14">
      <w:pPr>
        <w:divId w:val="854726825"/>
        <w:rPr>
          <w:rFonts w:eastAsia="Times New Roman"/>
        </w:rPr>
      </w:pPr>
      <w:r>
        <w:rPr>
          <w:rFonts w:eastAsia="Times New Roman"/>
          <w:color w:val="000000"/>
          <w:sz w:val="20"/>
          <w:szCs w:val="20"/>
        </w:rPr>
        <w:t>Litigation, reg</w:t>
      </w:r>
      <w:r>
        <w:rPr>
          <w:rFonts w:eastAsia="Times New Roman"/>
          <w:color w:val="000000"/>
          <w:sz w:val="20"/>
          <w:szCs w:val="20"/>
        </w:rPr>
        <w:t xml:space="preserve">ulatory and other loss contingencies arise in the ordinary course of the Company’s activities as a diversified financial services firm. The Company is a defendant in a number of litigation matters arising from the conduct of its business. In some of these </w:t>
      </w:r>
      <w:r>
        <w:rPr>
          <w:rFonts w:eastAsia="Times New Roman"/>
          <w:color w:val="000000"/>
          <w:sz w:val="20"/>
          <w:szCs w:val="20"/>
        </w:rPr>
        <w:t>matters, claimants seek to recover very large or indeterminate amounts, including compensatory, punitive, treble and exemplary damages. Modern pleading practice permits considerable variation in the assertion of monetary damages and other relief. Claimants</w:t>
      </w:r>
      <w:r>
        <w:rPr>
          <w:rFonts w:eastAsia="Times New Roman"/>
          <w:color w:val="000000"/>
          <w:sz w:val="20"/>
          <w:szCs w:val="20"/>
        </w:rPr>
        <w:t xml:space="preserve"> are not always required to specify the monetary damages they seek, or they may be required only to state an amount sufficient to meet a court’s jurisdictional requirements. Moreover, some jurisdictions allow claimants to allege monetary damages that far e</w:t>
      </w:r>
      <w:r>
        <w:rPr>
          <w:rFonts w:eastAsia="Times New Roman"/>
          <w:color w:val="000000"/>
          <w:sz w:val="20"/>
          <w:szCs w:val="20"/>
        </w:rPr>
        <w:t>xceed any reasonably possible verdict. The variability in pleading requirements and past experience demonstrates that the monetary and other relief that may be requested in a lawsuit or claim often bears little relevance to the merits or potential value of</w:t>
      </w:r>
      <w:r>
        <w:rPr>
          <w:rFonts w:eastAsia="Times New Roman"/>
          <w:color w:val="000000"/>
          <w:sz w:val="20"/>
          <w:szCs w:val="20"/>
        </w:rPr>
        <w:t xml:space="preserve"> a claim. Litigation against the Company includes a variety of claims including, among other things, insurers’ sales practices, alleged agent misconduct, alleged failure to properly supervise agents, contract administration, product design, features and ac</w:t>
      </w:r>
      <w:r>
        <w:rPr>
          <w:rFonts w:eastAsia="Times New Roman"/>
          <w:color w:val="000000"/>
          <w:sz w:val="20"/>
          <w:szCs w:val="20"/>
        </w:rPr>
        <w:t>companying disclosure, cost of insurance increases, payments of death benefits and the reporting and escheatment of unclaimed property, alleged breach of fiduciary duties, alleged mismanagement of client funds and other matters.</w:t>
      </w:r>
    </w:p>
    <w:p w:rsidR="00000000" w:rsidRDefault="00897B14">
      <w:pPr>
        <w:divId w:val="394160763"/>
        <w:rPr>
          <w:rFonts w:eastAsia="Times New Roman"/>
        </w:rPr>
      </w:pPr>
      <w:r>
        <w:rPr>
          <w:rFonts w:eastAsia="Times New Roman"/>
          <w:color w:val="000000"/>
          <w:sz w:val="20"/>
          <w:szCs w:val="20"/>
        </w:rPr>
        <w:t>The outcome of a litigation</w:t>
      </w:r>
      <w:r>
        <w:rPr>
          <w:rFonts w:eastAsia="Times New Roman"/>
          <w:color w:val="000000"/>
          <w:sz w:val="20"/>
          <w:szCs w:val="20"/>
        </w:rPr>
        <w:t xml:space="preserve"> or regulatory matter is difficult to predict, and the amount or range of potential losses associated with these or other loss contingencies requires significant management judgment. It is not possible to predict the ultimate outcome or to provide reasonab</w:t>
      </w:r>
      <w:r>
        <w:rPr>
          <w:rFonts w:eastAsia="Times New Roman"/>
          <w:color w:val="000000"/>
          <w:sz w:val="20"/>
          <w:szCs w:val="20"/>
        </w:rPr>
        <w:t>ly possible losses or ranges of losses for all pending regulatory matters, litigation and other loss contingencies. While it is possible that an adverse outcome in certain cases could have a material adverse effect upon the Company’s financial position, ba</w:t>
      </w:r>
      <w:r>
        <w:rPr>
          <w:rFonts w:eastAsia="Times New Roman"/>
          <w:color w:val="000000"/>
          <w:sz w:val="20"/>
          <w:szCs w:val="20"/>
        </w:rPr>
        <w:t>sed on information currently known, management believes that neither the outcome of pending litigation and regulatory matters, nor potential liabilities associated with other loss contingencies, are likely to have such an effect. However, given the large a</w:t>
      </w:r>
      <w:r>
        <w:rPr>
          <w:rFonts w:eastAsia="Times New Roman"/>
          <w:color w:val="000000"/>
          <w:sz w:val="20"/>
          <w:szCs w:val="20"/>
        </w:rPr>
        <w:t>nd indeterminate amounts sought in certain litigation and the inherent unpredictability of all such matters, it is possible that an adverse outcome in certain of the Company’s litigation or regulatory matters, or liabilities arising from other loss conting</w:t>
      </w:r>
      <w:r>
        <w:rPr>
          <w:rFonts w:eastAsia="Times New Roman"/>
          <w:color w:val="000000"/>
          <w:sz w:val="20"/>
          <w:szCs w:val="20"/>
        </w:rPr>
        <w:t>encies, could, from time to time, have a material adverse effect upon the Company’s results of operations or cash flows in a particular quarterly or annual period.</w:t>
      </w:r>
    </w:p>
    <w:p w:rsidR="00000000" w:rsidRDefault="00897B14">
      <w:pPr>
        <w:divId w:val="684985477"/>
        <w:rPr>
          <w:rFonts w:eastAsia="Times New Roman"/>
        </w:rPr>
      </w:pPr>
      <w:r>
        <w:rPr>
          <w:rFonts w:eastAsia="Times New Roman"/>
          <w:color w:val="000000"/>
          <w:sz w:val="20"/>
          <w:szCs w:val="20"/>
        </w:rPr>
        <w:t>For some matters, the Company is able to estimate a possible range of loss. For such matters</w:t>
      </w:r>
      <w:r>
        <w:rPr>
          <w:rFonts w:eastAsia="Times New Roman"/>
          <w:color w:val="000000"/>
          <w:sz w:val="20"/>
          <w:szCs w:val="20"/>
        </w:rPr>
        <w:t xml:space="preserve"> in which a loss is probable, an accrual has been made. For matters where the Company believes a loss is reasonably possible, but not probable, no accrual is required. For matters for which an accrual has been made, but there remains a reasonably possible </w:t>
      </w:r>
      <w:r>
        <w:rPr>
          <w:rFonts w:eastAsia="Times New Roman"/>
          <w:color w:val="000000"/>
          <w:sz w:val="20"/>
          <w:szCs w:val="20"/>
        </w:rPr>
        <w:t>range of loss in excess of the amounts accrued or for matters where no accrual is required, the Company develops an estimate of the unaccrued amounts of the reasonably possible range of losses. As of June 30, 2021, the Company estimates the aggregate range</w:t>
      </w:r>
      <w:r>
        <w:rPr>
          <w:rFonts w:eastAsia="Times New Roman"/>
          <w:color w:val="000000"/>
          <w:sz w:val="20"/>
          <w:szCs w:val="20"/>
        </w:rPr>
        <w:t xml:space="preserve"> of reasonably possible losses, in excess of any amounts accrued for these matters as of such date, to be up to approximately $150 million.</w:t>
      </w:r>
    </w:p>
    <w:p w:rsidR="00000000" w:rsidRDefault="00897B14">
      <w:pPr>
        <w:divId w:val="1304626175"/>
        <w:rPr>
          <w:rFonts w:eastAsia="Times New Roman"/>
        </w:rPr>
      </w:pPr>
      <w:r>
        <w:rPr>
          <w:rFonts w:eastAsia="Times New Roman"/>
          <w:color w:val="000000"/>
          <w:sz w:val="20"/>
          <w:szCs w:val="20"/>
        </w:rPr>
        <w:t xml:space="preserve">For other matters, the Company is currently not able to estimate the reasonably possible loss or range of loss. The </w:t>
      </w:r>
      <w:r>
        <w:rPr>
          <w:rFonts w:eastAsia="Times New Roman"/>
          <w:color w:val="000000"/>
          <w:sz w:val="20"/>
          <w:szCs w:val="20"/>
        </w:rPr>
        <w:t>Company is often unable to estimate the possible loss or range of loss until developments in such matters have provided sufficient information to support an assessment of the range of possible loss, such as quantification of a damage demand from plaintiffs</w:t>
      </w:r>
      <w:r>
        <w:rPr>
          <w:rFonts w:eastAsia="Times New Roman"/>
          <w:color w:val="000000"/>
          <w:sz w:val="20"/>
          <w:szCs w:val="20"/>
        </w:rPr>
        <w:t xml:space="preserve">, discovery from plaintiffs and other parties, investigation of factual allegations, rulings by a court on motions or appeals, analysis by experts and the progress of settlement discussions. On a quarterly and </w:t>
      </w:r>
    </w:p>
    <w:p w:rsidR="00000000" w:rsidRDefault="00897B14">
      <w:pPr>
        <w:jc w:val="center"/>
        <w:divId w:val="1562207135"/>
        <w:rPr>
          <w:rFonts w:eastAsia="Times New Roman"/>
        </w:rPr>
      </w:pPr>
    </w:p>
    <w:p w:rsidR="00000000" w:rsidRDefault="00897B14">
      <w:pPr>
        <w:jc w:val="center"/>
        <w:divId w:val="1562207135"/>
        <w:rPr>
          <w:rFonts w:eastAsia="Times New Roman"/>
        </w:rPr>
      </w:pPr>
      <w:r>
        <w:rPr>
          <w:rFonts w:eastAsia="Times New Roman"/>
          <w:color w:val="000000"/>
          <w:sz w:val="20"/>
          <w:szCs w:val="20"/>
        </w:rPr>
        <w:t>61</w:t>
      </w:r>
    </w:p>
    <w:p w:rsidR="00000000" w:rsidRDefault="00897B14">
      <w:pPr>
        <w:rPr>
          <w:rFonts w:eastAsia="Times New Roman"/>
        </w:rPr>
      </w:pPr>
      <w:r>
        <w:rPr>
          <w:rFonts w:eastAsia="Times New Roman"/>
        </w:rPr>
        <w:pict>
          <v:rect id="_x0000_i1087" style="width:0;height:1.5pt" o:hralign="center" o:hrstd="t" o:hr="t" fillcolor="#a0a0a0" stroked="f"/>
        </w:pict>
      </w:r>
    </w:p>
    <w:p w:rsidR="00000000" w:rsidRDefault="00897B14">
      <w:pPr>
        <w:divId w:val="942957420"/>
        <w:rPr>
          <w:rFonts w:eastAsia="Times New Roman"/>
        </w:rPr>
      </w:pPr>
      <w:r>
        <w:rPr>
          <w:rFonts w:eastAsia="Times New Roman"/>
          <w:b/>
          <w:bCs/>
          <w:color w:val="0000FF"/>
          <w:sz w:val="20"/>
          <w:szCs w:val="20"/>
          <w:u w:val="single"/>
        </w:rPr>
        <w:t>Tabl</w:t>
      </w:r>
      <w:r>
        <w:rPr>
          <w:rFonts w:eastAsia="Times New Roman"/>
          <w:b/>
          <w:bCs/>
          <w:color w:val="0000FF"/>
          <w:sz w:val="20"/>
          <w:szCs w:val="20"/>
          <w:u w:val="single"/>
        </w:rPr>
        <w:t>e of Contents</w:t>
      </w:r>
    </w:p>
    <w:p w:rsidR="00000000" w:rsidRDefault="00897B14">
      <w:pPr>
        <w:jc w:val="center"/>
        <w:divId w:val="1114137211"/>
        <w:rPr>
          <w:rFonts w:eastAsia="Times New Roman"/>
        </w:rPr>
      </w:pPr>
      <w:r>
        <w:rPr>
          <w:rFonts w:eastAsia="Times New Roman"/>
          <w:b/>
          <w:bCs/>
          <w:color w:val="000000"/>
          <w:sz w:val="20"/>
          <w:szCs w:val="20"/>
        </w:rPr>
        <w:t>EQUITABLE HOLDINGS, INC.</w:t>
      </w:r>
    </w:p>
    <w:p w:rsidR="00000000" w:rsidRDefault="00897B14">
      <w:pPr>
        <w:jc w:val="center"/>
        <w:divId w:val="1114137211"/>
        <w:rPr>
          <w:rFonts w:eastAsia="Times New Roman"/>
        </w:rPr>
      </w:pPr>
      <w:r>
        <w:rPr>
          <w:rFonts w:eastAsia="Times New Roman"/>
          <w:b/>
          <w:bCs/>
          <w:color w:val="000000"/>
          <w:sz w:val="20"/>
          <w:szCs w:val="20"/>
        </w:rPr>
        <w:t>Notes to Consolidated Financial Statements (Unaudited), Continued</w:t>
      </w:r>
    </w:p>
    <w:p w:rsidR="00000000" w:rsidRDefault="00897B14">
      <w:pPr>
        <w:divId w:val="989092201"/>
        <w:rPr>
          <w:rFonts w:eastAsia="Times New Roman"/>
        </w:rPr>
      </w:pPr>
    </w:p>
    <w:p w:rsidR="00000000" w:rsidRDefault="00897B14">
      <w:pPr>
        <w:divId w:val="744185442"/>
        <w:rPr>
          <w:rFonts w:eastAsia="Times New Roman"/>
        </w:rPr>
      </w:pPr>
      <w:r>
        <w:rPr>
          <w:rFonts w:eastAsia="Times New Roman"/>
          <w:color w:val="000000"/>
          <w:sz w:val="20"/>
          <w:szCs w:val="20"/>
        </w:rPr>
        <w:t>annua</w:t>
      </w:r>
      <w:r>
        <w:rPr>
          <w:rFonts w:eastAsia="Times New Roman"/>
          <w:color w:val="000000"/>
          <w:sz w:val="20"/>
          <w:szCs w:val="20"/>
        </w:rPr>
        <w:t>l basis, the Company reviews relevant information with respect to litigation and regulatory contingencies and updates the Company’s accruals, disclosures and reasonably possible losses or ranges of loss based on such reviews.</w:t>
      </w:r>
    </w:p>
    <w:p w:rsidR="00000000" w:rsidRDefault="00897B14">
      <w:pPr>
        <w:divId w:val="118426709"/>
        <w:rPr>
          <w:rFonts w:eastAsia="Times New Roman"/>
        </w:rPr>
      </w:pPr>
      <w:r>
        <w:rPr>
          <w:rFonts w:eastAsia="Times New Roman"/>
          <w:color w:val="000000"/>
          <w:sz w:val="20"/>
          <w:szCs w:val="20"/>
        </w:rPr>
        <w:t xml:space="preserve">In August 2015, a lawsuit was </w:t>
      </w:r>
      <w:r>
        <w:rPr>
          <w:rFonts w:eastAsia="Times New Roman"/>
          <w:color w:val="000000"/>
          <w:sz w:val="20"/>
          <w:szCs w:val="20"/>
        </w:rPr>
        <w:t>filed in Connecticut Superior Court entitled Richard T. O’Donnell, on behalf of himself and all others similarly situated v. AXA Equitable Life Insurance Company. This lawsuit is a putative class action on behalf of all persons who purchased variable annui</w:t>
      </w:r>
      <w:r>
        <w:rPr>
          <w:rFonts w:eastAsia="Times New Roman"/>
          <w:color w:val="000000"/>
          <w:sz w:val="20"/>
          <w:szCs w:val="20"/>
        </w:rPr>
        <w:t>ties from Equitable Financial, which were subsequently subjected to the volatility management strategy and who suffered injury as a result thereof. Plaintiff asserts a claim for breach of contract alleging that Equitable Financial implemented the volatilit</w:t>
      </w:r>
      <w:r>
        <w:rPr>
          <w:rFonts w:eastAsia="Times New Roman"/>
          <w:color w:val="000000"/>
          <w:sz w:val="20"/>
          <w:szCs w:val="20"/>
        </w:rPr>
        <w:t xml:space="preserve">y management strategy in violation of applicable law. Plaintiff seeks an award of damages individually and on a classwide basis, and costs and disbursements, including attorneys’ fees, expert witness fees and other costs. In 2015, the case was transferred </w:t>
      </w:r>
      <w:r>
        <w:rPr>
          <w:rFonts w:eastAsia="Times New Roman"/>
          <w:color w:val="000000"/>
          <w:sz w:val="20"/>
          <w:szCs w:val="20"/>
        </w:rPr>
        <w:t xml:space="preserve">to the Southern District of New York and, in 2018, transferred back to Connecticut Superior Court. In August 2019, the court granted Equitable Financial’s motion to strike, which sought dismissal of the complaint, and in September 2019, Plaintiff filed an </w:t>
      </w:r>
      <w:r>
        <w:rPr>
          <w:rFonts w:eastAsia="Times New Roman"/>
          <w:color w:val="000000"/>
          <w:sz w:val="20"/>
          <w:szCs w:val="20"/>
        </w:rPr>
        <w:t xml:space="preserve">Amended Class Action Complaint. Equitable Financial filed renewed motions to strike and to dismiss and for an entry of judgment in October 2019. In August 2020, the court granted Equitable Financial’s motion for entry of judgment. Plaintiff filed a notice </w:t>
      </w:r>
      <w:r>
        <w:rPr>
          <w:rFonts w:eastAsia="Times New Roman"/>
          <w:color w:val="000000"/>
          <w:sz w:val="20"/>
          <w:szCs w:val="20"/>
        </w:rPr>
        <w:t>of appeal. We are vigorously defending this matter.</w:t>
      </w:r>
    </w:p>
    <w:p w:rsidR="00000000" w:rsidRDefault="00897B14">
      <w:pPr>
        <w:divId w:val="344598102"/>
        <w:rPr>
          <w:rFonts w:eastAsia="Times New Roman"/>
        </w:rPr>
      </w:pPr>
      <w:r>
        <w:rPr>
          <w:rFonts w:eastAsia="Times New Roman"/>
          <w:color w:val="000000"/>
          <w:sz w:val="20"/>
          <w:szCs w:val="20"/>
        </w:rPr>
        <w:t>In February 2016, a lawsuit was filed in the Southern District of New York entitled Brach Family Foundation, Inc. v. AXA Equitable Life Insurance Company. This lawsuit is a putative class action brought o</w:t>
      </w:r>
      <w:r>
        <w:rPr>
          <w:rFonts w:eastAsia="Times New Roman"/>
          <w:color w:val="000000"/>
          <w:sz w:val="20"/>
          <w:szCs w:val="20"/>
        </w:rPr>
        <w:t>n behalf of all owners of UL policies subject to Equitable Financial’s COI rate increase. In early 2016, Equitable Financial raised COI rates for certain UL policies issued between 2004 and 2008, which had both issue ages 70 and above and a current face va</w:t>
      </w:r>
      <w:r>
        <w:rPr>
          <w:rFonts w:eastAsia="Times New Roman"/>
          <w:color w:val="000000"/>
          <w:sz w:val="20"/>
          <w:szCs w:val="20"/>
        </w:rPr>
        <w:t xml:space="preserve">lue amount of $1 million and above. A second putative class action was filed in Arizona in 2017 and consolidated with the Brach matter. The consolidated amended class action complaint alleges the following claims: breach of contract; misrepresentations in </w:t>
      </w:r>
      <w:r>
        <w:rPr>
          <w:rFonts w:eastAsia="Times New Roman"/>
          <w:color w:val="000000"/>
          <w:sz w:val="20"/>
          <w:szCs w:val="20"/>
        </w:rPr>
        <w:t>violation of Section 4226 of the New York Insurance Law; violations of New York General Business Law Section 349; and violations of the California Unfair Competition Law, and the California Elder Abuse Statute. Plaintiffs seek: (a) compensatory damages, co</w:t>
      </w:r>
      <w:r>
        <w:rPr>
          <w:rFonts w:eastAsia="Times New Roman"/>
          <w:color w:val="000000"/>
          <w:sz w:val="20"/>
          <w:szCs w:val="20"/>
        </w:rPr>
        <w:t>sts, and, pre- and post-judgment interest; (b) with respect to their claim concerning Section 4226, a penalty in the amount of premiums paid by the plaintiffs and the putative class; and (c) injunctive relief and attorneys’ fees in connection with their st</w:t>
      </w:r>
      <w:r>
        <w:rPr>
          <w:rFonts w:eastAsia="Times New Roman"/>
          <w:color w:val="000000"/>
          <w:sz w:val="20"/>
          <w:szCs w:val="20"/>
        </w:rPr>
        <w:t xml:space="preserve">atutory claims. In August 2020, the federal district court issued a decision certifying nationwide breach of contract and Section 4226 classes, and a New York State Section 349 class. Equitable Financial has commenced settlement discussions with the Brach </w:t>
      </w:r>
      <w:r>
        <w:rPr>
          <w:rFonts w:eastAsia="Times New Roman"/>
          <w:color w:val="000000"/>
          <w:sz w:val="20"/>
          <w:szCs w:val="20"/>
        </w:rPr>
        <w:t>class action plaintiffs through a non-binding mediation process. No assurances can be given about the outcome of that mediation process. Separately, a substantial number of policy owners have opted out of the Brach class action and are not participating in</w:t>
      </w:r>
      <w:r>
        <w:rPr>
          <w:rFonts w:eastAsia="Times New Roman"/>
          <w:color w:val="000000"/>
          <w:sz w:val="20"/>
          <w:szCs w:val="20"/>
        </w:rPr>
        <w:t xml:space="preserve"> that mediation process. Most have not yet filed suit. Others filed suit previously. They include five other federal actions challenging the COI rate increase that are also pending against Equitable Financial and have been coordinated with the Brach action</w:t>
      </w:r>
      <w:r>
        <w:rPr>
          <w:rFonts w:eastAsia="Times New Roman"/>
          <w:color w:val="000000"/>
          <w:sz w:val="20"/>
          <w:szCs w:val="20"/>
        </w:rPr>
        <w:t xml:space="preserve"> for the purposes of pre-trial activities. They contain allegations similar to those in the Brach action as well as additional allegations for violations of various states’ consumer protection statutes and common law fraud. Two actions are also pending aga</w:t>
      </w:r>
      <w:r>
        <w:rPr>
          <w:rFonts w:eastAsia="Times New Roman"/>
          <w:color w:val="000000"/>
          <w:sz w:val="20"/>
          <w:szCs w:val="20"/>
        </w:rPr>
        <w:t>inst Equitable Financial in New York state court. Equitable Financial is vigorously defending each of these matters.</w:t>
      </w:r>
    </w:p>
    <w:p w:rsidR="00000000" w:rsidRDefault="00897B14">
      <w:pPr>
        <w:divId w:val="1250701757"/>
        <w:rPr>
          <w:rFonts w:eastAsia="Times New Roman"/>
        </w:rPr>
      </w:pPr>
      <w:r>
        <w:rPr>
          <w:rFonts w:eastAsia="Times New Roman"/>
          <w:color w:val="000000"/>
          <w:sz w:val="20"/>
          <w:szCs w:val="20"/>
        </w:rPr>
        <w:t>As with other financial services companies, the Company periodically receives informal and formal requests for information from various sta</w:t>
      </w:r>
      <w:r>
        <w:rPr>
          <w:rFonts w:eastAsia="Times New Roman"/>
          <w:color w:val="000000"/>
          <w:sz w:val="20"/>
          <w:szCs w:val="20"/>
        </w:rPr>
        <w:t xml:space="preserve">te and federal governmental agencies and self-regulatory organizations in connection with inquiries and investigations of the products and practices of the Company or the financial services industry. It is the practice of the Company to cooperate fully in </w:t>
      </w:r>
      <w:r>
        <w:rPr>
          <w:rFonts w:eastAsia="Times New Roman"/>
          <w:color w:val="000000"/>
          <w:sz w:val="20"/>
          <w:szCs w:val="20"/>
        </w:rPr>
        <w:t>these matters. For example, among other matters, the Company has been cooperating with the U.S. Securities and Exchange Commission (the “SEC”) concerning the SEC’s investigation into the Company’s non-ERISA K-12 403(b) and 457 sales and disclosure practice</w:t>
      </w:r>
      <w:r>
        <w:rPr>
          <w:rFonts w:eastAsia="Times New Roman"/>
          <w:color w:val="000000"/>
          <w:sz w:val="20"/>
          <w:szCs w:val="20"/>
        </w:rPr>
        <w:t>s.</w:t>
      </w:r>
    </w:p>
    <w:p w:rsidR="00000000" w:rsidRDefault="00897B14">
      <w:pPr>
        <w:divId w:val="763648903"/>
        <w:rPr>
          <w:rFonts w:eastAsia="Times New Roman"/>
        </w:rPr>
      </w:pPr>
      <w:r>
        <w:rPr>
          <w:rFonts w:eastAsia="Times New Roman"/>
          <w:color w:val="000000"/>
          <w:sz w:val="20"/>
          <w:szCs w:val="20"/>
          <w:u w:val="single"/>
        </w:rPr>
        <w:t>Obligations under Funding Agreements</w:t>
      </w:r>
    </w:p>
    <w:p w:rsidR="00000000" w:rsidRDefault="00897B14">
      <w:pPr>
        <w:divId w:val="2006080876"/>
        <w:rPr>
          <w:rFonts w:eastAsia="Times New Roman"/>
        </w:rPr>
      </w:pPr>
      <w:r>
        <w:rPr>
          <w:rFonts w:eastAsia="Times New Roman"/>
          <w:b/>
          <w:bCs/>
          <w:i/>
          <w:iCs/>
          <w:color w:val="000000"/>
          <w:sz w:val="20"/>
          <w:szCs w:val="20"/>
        </w:rPr>
        <w:t>Pre-Capitalized Trust Securities (“P-Caps”)</w:t>
      </w:r>
    </w:p>
    <w:p w:rsidR="00000000" w:rsidRDefault="00897B14">
      <w:pPr>
        <w:divId w:val="680938512"/>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Tru</w:t>
      </w:r>
      <w:r>
        <w:rPr>
          <w:rFonts w:eastAsia="Times New Roman"/>
          <w:color w:val="000000"/>
          <w:sz w:val="20"/>
          <w:szCs w:val="20"/>
        </w:rPr>
        <w:t xml:space="preserve">sts (as defined below), Pine Street Trust I, a Delaware statutory trust (the “2029 Trust”), completed the issuance and sale of 600,000 of its Pre-Capitalized Trust Securities redeemable February 15, 2029 (the “2029 P-Caps”) for an aggregate purchase price </w:t>
      </w:r>
      <w:r>
        <w:rPr>
          <w:rFonts w:eastAsia="Times New Roman"/>
          <w:color w:val="000000"/>
          <w:sz w:val="20"/>
          <w:szCs w:val="20"/>
        </w:rPr>
        <w:t>of $600 million and Pine Street Trust II, a Delaware statutory trust (the “2049 Trust” and, together with the 2029 Trust, the “Trusts”), completed the issuance and sale of 400,000 of its Pre-Capitalized Trust Securities redeemable February 15, 2049 (the “2</w:t>
      </w:r>
      <w:r>
        <w:rPr>
          <w:rFonts w:eastAsia="Times New Roman"/>
          <w:color w:val="000000"/>
          <w:sz w:val="20"/>
          <w:szCs w:val="20"/>
        </w:rPr>
        <w:t>049 P-Caps” and, together with the 2029 P-Caps, the “P-Caps”) for an aggregate purchase price of $400 million in each case to qualified institutional buyers in reliance on Rule 144A that are also “qualified purchasers” for purposes of Section 3(c)(7) of th</w:t>
      </w:r>
      <w:r>
        <w:rPr>
          <w:rFonts w:eastAsia="Times New Roman"/>
          <w:color w:val="000000"/>
          <w:sz w:val="20"/>
          <w:szCs w:val="20"/>
        </w:rPr>
        <w:t xml:space="preserve">e Investment Company Act of 1940, as amended. </w:t>
      </w:r>
    </w:p>
    <w:p w:rsidR="00000000" w:rsidRDefault="00897B14">
      <w:pPr>
        <w:jc w:val="center"/>
        <w:divId w:val="431126929"/>
        <w:rPr>
          <w:rFonts w:eastAsia="Times New Roman"/>
        </w:rPr>
      </w:pPr>
      <w:r>
        <w:rPr>
          <w:rFonts w:eastAsia="Times New Roman"/>
          <w:color w:val="000000"/>
          <w:sz w:val="20"/>
          <w:szCs w:val="20"/>
        </w:rPr>
        <w:t>62</w:t>
      </w:r>
    </w:p>
    <w:p w:rsidR="00000000" w:rsidRDefault="00897B14">
      <w:pPr>
        <w:rPr>
          <w:rFonts w:eastAsia="Times New Roman"/>
        </w:rPr>
      </w:pPr>
      <w:r>
        <w:rPr>
          <w:rFonts w:eastAsia="Times New Roman"/>
        </w:rPr>
        <w:pict>
          <v:rect id="_x0000_i1088" style="width:0;height:1.5pt" o:hralign="center" o:hrstd="t" o:hr="t" fillcolor="#a0a0a0" stroked="f"/>
        </w:pict>
      </w:r>
    </w:p>
    <w:p w:rsidR="00000000" w:rsidRDefault="00897B14">
      <w:pPr>
        <w:divId w:val="435834010"/>
        <w:rPr>
          <w:rFonts w:eastAsia="Times New Roman"/>
        </w:rPr>
      </w:pPr>
      <w:r>
        <w:rPr>
          <w:rFonts w:eastAsia="Times New Roman"/>
          <w:b/>
          <w:bCs/>
          <w:color w:val="0000FF"/>
          <w:sz w:val="20"/>
          <w:szCs w:val="20"/>
          <w:u w:val="single"/>
        </w:rPr>
        <w:t>Table of Contents</w:t>
      </w:r>
    </w:p>
    <w:p w:rsidR="00000000" w:rsidRDefault="00897B14">
      <w:pPr>
        <w:jc w:val="center"/>
        <w:divId w:val="1618100872"/>
        <w:rPr>
          <w:rFonts w:eastAsia="Times New Roman"/>
        </w:rPr>
      </w:pPr>
      <w:r>
        <w:rPr>
          <w:rFonts w:eastAsia="Times New Roman"/>
          <w:b/>
          <w:bCs/>
          <w:color w:val="000000"/>
          <w:sz w:val="20"/>
          <w:szCs w:val="20"/>
        </w:rPr>
        <w:t>EQUITABLE HOLDINGS, INC.</w:t>
      </w:r>
    </w:p>
    <w:p w:rsidR="00000000" w:rsidRDefault="00897B14">
      <w:pPr>
        <w:jc w:val="center"/>
        <w:divId w:val="1618100872"/>
        <w:rPr>
          <w:rFonts w:eastAsia="Times New Roman"/>
        </w:rPr>
      </w:pPr>
      <w:r>
        <w:rPr>
          <w:rFonts w:eastAsia="Times New Roman"/>
          <w:b/>
          <w:bCs/>
          <w:color w:val="000000"/>
          <w:sz w:val="20"/>
          <w:szCs w:val="20"/>
        </w:rPr>
        <w:t>Notes to Consolidated Financial Statements (Unaudited), Continued</w:t>
      </w:r>
    </w:p>
    <w:p w:rsidR="00000000" w:rsidRDefault="00897B14">
      <w:pPr>
        <w:divId w:val="1576862336"/>
        <w:rPr>
          <w:rFonts w:eastAsia="Times New Roman"/>
        </w:rPr>
      </w:pPr>
    </w:p>
    <w:p w:rsidR="00000000" w:rsidRDefault="00897B14">
      <w:pPr>
        <w:divId w:val="4138505"/>
        <w:rPr>
          <w:rFonts w:eastAsia="Times New Roman"/>
        </w:rPr>
      </w:pPr>
      <w:r>
        <w:rPr>
          <w:rFonts w:eastAsia="Times New Roman"/>
          <w:color w:val="000000"/>
          <w:sz w:val="20"/>
          <w:szCs w:val="20"/>
        </w:rPr>
        <w:t>The P-Caps are an off-balance sheet contingent funding arra</w:t>
      </w:r>
      <w:r>
        <w:rPr>
          <w:rFonts w:eastAsia="Times New Roman"/>
          <w:color w:val="000000"/>
          <w:sz w:val="20"/>
          <w:szCs w:val="20"/>
        </w:rPr>
        <w:t>ngement that, upon Holdings’ election, gives Holdings the right over a ten-year period (in the case of the 2029 Trust) or over a thirty-year period (in the case of the 2049 Trust) to issue senior notes to the Trusts. The Trusts each invested the proceeds f</w:t>
      </w:r>
      <w:r>
        <w:rPr>
          <w:rFonts w:eastAsia="Times New Roman"/>
          <w:color w:val="000000"/>
          <w:sz w:val="20"/>
          <w:szCs w:val="20"/>
        </w:rPr>
        <w:t>rom the sale of their P-Caps in separate portfolios of principal and/or interest strips of U.S. Treasury securities. In return, Holdings will pay a semi-annual facility fee to the 2029 Trust and 2049 Trust calculated at a rate of 2.125% and 2.715% per annu</w:t>
      </w:r>
      <w:r>
        <w:rPr>
          <w:rFonts w:eastAsia="Times New Roman"/>
          <w:color w:val="000000"/>
          <w:sz w:val="20"/>
          <w:szCs w:val="20"/>
        </w:rPr>
        <w:t>m, respectively, which will be applied to the unexercised portion of the contingent funding arrangement and Holdings will reimburse the Trusts for certain expenses. The facility fees are recorded in Other operating costs and expenses in the Consolidated St</w:t>
      </w:r>
      <w:r>
        <w:rPr>
          <w:rFonts w:eastAsia="Times New Roman"/>
          <w:color w:val="000000"/>
          <w:sz w:val="20"/>
          <w:szCs w:val="20"/>
        </w:rPr>
        <w:t>atements of Income (Loss).</w:t>
      </w:r>
    </w:p>
    <w:p w:rsidR="00000000" w:rsidRDefault="00897B14">
      <w:pPr>
        <w:jc w:val="both"/>
        <w:divId w:val="1012532625"/>
        <w:rPr>
          <w:rFonts w:eastAsia="Times New Roman"/>
        </w:rPr>
      </w:pPr>
      <w:r>
        <w:rPr>
          <w:rFonts w:eastAsia="Times New Roman"/>
          <w:b/>
          <w:bCs/>
          <w:i/>
          <w:iCs/>
          <w:color w:val="000000"/>
          <w:sz w:val="20"/>
          <w:szCs w:val="20"/>
        </w:rPr>
        <w:t>Federal Home Loan Bank</w:t>
      </w:r>
    </w:p>
    <w:p w:rsidR="00000000" w:rsidRDefault="00897B14">
      <w:pPr>
        <w:divId w:val="629289585"/>
        <w:rPr>
          <w:rFonts w:eastAsia="Times New Roman"/>
        </w:rPr>
      </w:pPr>
      <w:r>
        <w:rPr>
          <w:rFonts w:eastAsia="Times New Roman"/>
          <w:color w:val="000000"/>
          <w:sz w:val="20"/>
          <w:szCs w:val="20"/>
        </w:rPr>
        <w:t>As a member of the FHLB, Equitable Financial has access to collateralized borrowings. It also may issue funding agreements to the FHLB. Both the collateralized borrowings and funding agreements would requir</w:t>
      </w:r>
      <w:r>
        <w:rPr>
          <w:rFonts w:eastAsia="Times New Roman"/>
          <w:color w:val="000000"/>
          <w:sz w:val="20"/>
          <w:szCs w:val="20"/>
        </w:rPr>
        <w:t>e Equitable Financial to pledge qualified mortgage-backed assets and/or government securities as collateral. Equitable Financial issues short-term funding agreements to the FHLB and uses the funds for asset, liability, and cash management purposes. Equitab</w:t>
      </w:r>
      <w:r>
        <w:rPr>
          <w:rFonts w:eastAsia="Times New Roman"/>
          <w:color w:val="000000"/>
          <w:sz w:val="20"/>
          <w:szCs w:val="20"/>
        </w:rPr>
        <w:t xml:space="preserve">le Financial issues long-term funding agreements to the FHLB and uses the funds for spread lending purposes. </w:t>
      </w:r>
    </w:p>
    <w:p w:rsidR="00000000" w:rsidRDefault="00897B14">
      <w:pPr>
        <w:divId w:val="508184260"/>
        <w:rPr>
          <w:rFonts w:eastAsia="Times New Roman"/>
        </w:rPr>
      </w:pPr>
      <w:r>
        <w:rPr>
          <w:rFonts w:eastAsia="Times New Roman"/>
          <w:color w:val="000000"/>
          <w:sz w:val="20"/>
          <w:szCs w:val="20"/>
        </w:rPr>
        <w:t>Entering into FHLB membership, borrowings and funding agreements requires the ownership of FHLB stock and the pledge of assets as collateral. Equi</w:t>
      </w:r>
      <w:r>
        <w:rPr>
          <w:rFonts w:eastAsia="Times New Roman"/>
          <w:color w:val="000000"/>
          <w:sz w:val="20"/>
          <w:szCs w:val="20"/>
        </w:rPr>
        <w:t xml:space="preserve">table Financial has purchased FHLB stock of $382 million and pledged collateral with a carrying value of </w:t>
      </w:r>
      <w:r>
        <w:rPr>
          <w:rFonts w:eastAsia="Times New Roman"/>
          <w:color w:val="000000"/>
          <w:sz w:val="20"/>
          <w:szCs w:val="20"/>
          <w:shd w:val="clear" w:color="auto" w:fill="FFFFFF"/>
        </w:rPr>
        <w:t>$10.8 billion</w:t>
      </w:r>
      <w:r>
        <w:rPr>
          <w:rFonts w:eastAsia="Times New Roman"/>
          <w:color w:val="000000"/>
          <w:sz w:val="20"/>
          <w:szCs w:val="20"/>
        </w:rPr>
        <w:t xml:space="preserve"> as of June 30, 2021.  </w:t>
      </w:r>
    </w:p>
    <w:p w:rsidR="00000000" w:rsidRDefault="00897B14">
      <w:pPr>
        <w:divId w:val="2047442711"/>
        <w:rPr>
          <w:rFonts w:eastAsia="Times New Roman"/>
        </w:rPr>
      </w:pPr>
      <w:r>
        <w:rPr>
          <w:rFonts w:eastAsia="Times New Roman"/>
          <w:color w:val="000000"/>
          <w:sz w:val="20"/>
          <w:szCs w:val="20"/>
        </w:rPr>
        <w:t xml:space="preserve">Funding agreements are reported in policyholders’ </w:t>
      </w:r>
      <w:r>
        <w:rPr>
          <w:rFonts w:eastAsia="Times New Roman"/>
          <w:color w:val="000000"/>
          <w:sz w:val="20"/>
          <w:szCs w:val="20"/>
        </w:rPr>
        <w:t>account balances in the consolidated balance sheets. For other instruments used for asset/liability and cash management purposes, see “Derivative and offsetting assets and liabilities” included in Note 4. The table below summarizes the Company’s activity o</w:t>
      </w:r>
      <w:r>
        <w:rPr>
          <w:rFonts w:eastAsia="Times New Roman"/>
          <w:color w:val="000000"/>
          <w:sz w:val="20"/>
          <w:szCs w:val="20"/>
        </w:rPr>
        <w:t>f funding agreements with the FHLB.</w:t>
      </w:r>
    </w:p>
    <w:p w:rsidR="00000000" w:rsidRDefault="00897B14">
      <w:pPr>
        <w:jc w:val="center"/>
        <w:rPr>
          <w:rFonts w:eastAsia="Times New Roman"/>
        </w:rPr>
      </w:pPr>
      <w:r>
        <w:rPr>
          <w:rFonts w:eastAsia="Times New Roman"/>
          <w:b/>
          <w:bCs/>
          <w:color w:val="000000"/>
          <w:sz w:val="20"/>
          <w:szCs w:val="20"/>
        </w:rPr>
        <w:t xml:space="preserve">Change in FHLB Funding Agreements during the Six Months Ended June 30, 2021 </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2333"/>
        <w:gridCol w:w="37"/>
        <w:gridCol w:w="121"/>
        <w:gridCol w:w="807"/>
        <w:gridCol w:w="36"/>
        <w:gridCol w:w="36"/>
        <w:gridCol w:w="36"/>
        <w:gridCol w:w="36"/>
        <w:gridCol w:w="120"/>
        <w:gridCol w:w="600"/>
        <w:gridCol w:w="36"/>
        <w:gridCol w:w="36"/>
        <w:gridCol w:w="36"/>
        <w:gridCol w:w="36"/>
        <w:gridCol w:w="120"/>
        <w:gridCol w:w="600"/>
        <w:gridCol w:w="36"/>
        <w:gridCol w:w="36"/>
        <w:gridCol w:w="36"/>
        <w:gridCol w:w="36"/>
        <w:gridCol w:w="121"/>
        <w:gridCol w:w="827"/>
        <w:gridCol w:w="36"/>
        <w:gridCol w:w="36"/>
        <w:gridCol w:w="36"/>
        <w:gridCol w:w="36"/>
        <w:gridCol w:w="121"/>
        <w:gridCol w:w="779"/>
        <w:gridCol w:w="36"/>
        <w:gridCol w:w="36"/>
        <w:gridCol w:w="36"/>
        <w:gridCol w:w="36"/>
        <w:gridCol w:w="121"/>
        <w:gridCol w:w="804"/>
        <w:gridCol w:w="36"/>
      </w:tblGrid>
      <w:tr w:rsidR="00000000">
        <w:trPr>
          <w:jc w:val="right"/>
        </w:trPr>
        <w:tc>
          <w:tcPr>
            <w:tcW w:w="50" w:type="pct"/>
            <w:vAlign w:val="center"/>
            <w:hideMark/>
          </w:tcPr>
          <w:p w:rsidR="00000000" w:rsidRDefault="00897B14">
            <w:pPr>
              <w:jc w:val="center"/>
              <w:rPr>
                <w:rFonts w:eastAsia="Times New Roman"/>
              </w:rPr>
            </w:pPr>
          </w:p>
        </w:tc>
        <w:tc>
          <w:tcPr>
            <w:tcW w:w="145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4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Outstanding Balance at June 30, 2021</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3"/>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5,634 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32,276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30,948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6,890 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32,276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30,948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jc w:val="right"/>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right"/>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720"/>
        <w:divId w:val="794637310"/>
        <w:rPr>
          <w:rFonts w:eastAsia="Times New Roman"/>
        </w:rPr>
      </w:pPr>
      <w:r>
        <w:rPr>
          <w:rFonts w:eastAsia="Times New Roman"/>
          <w:color w:val="000000"/>
          <w:sz w:val="18"/>
          <w:szCs w:val="18"/>
        </w:rPr>
        <w:t>_____________</w:t>
      </w:r>
    </w:p>
    <w:p w:rsidR="00000000" w:rsidRDefault="00897B14">
      <w:pPr>
        <w:ind w:hanging="360"/>
        <w:divId w:val="933248112"/>
        <w:rPr>
          <w:rFonts w:eastAsia="Times New Roman"/>
        </w:rPr>
      </w:pPr>
      <w:r>
        <w:rPr>
          <w:rFonts w:eastAsia="Times New Roman"/>
          <w:color w:val="000000"/>
          <w:sz w:val="18"/>
          <w:szCs w:val="18"/>
        </w:rPr>
        <w:t>(1)</w:t>
      </w:r>
      <w:r>
        <w:rPr>
          <w:rFonts w:eastAsia="Times New Roman"/>
          <w:color w:val="000000"/>
          <w:sz w:val="18"/>
          <w:szCs w:val="18"/>
        </w:rPr>
        <w:t>The $6 million and $7 million difference between the funding agreements carrying value shown in fair value table for June 30, 2021 and December 31, 2020, respectively, reflects the remaining amortization of a hedge implemented and closed, which locked in t</w:t>
      </w:r>
      <w:r>
        <w:rPr>
          <w:rFonts w:eastAsia="Times New Roman"/>
          <w:color w:val="000000"/>
          <w:sz w:val="18"/>
          <w:szCs w:val="18"/>
        </w:rPr>
        <w:t>he funding agreements borrowing rates.</w:t>
      </w:r>
    </w:p>
    <w:p w:rsidR="00000000" w:rsidRDefault="00897B14">
      <w:pPr>
        <w:jc w:val="both"/>
        <w:divId w:val="926891143"/>
        <w:rPr>
          <w:rFonts w:eastAsia="Times New Roman"/>
        </w:rPr>
      </w:pPr>
      <w:r>
        <w:rPr>
          <w:rFonts w:eastAsia="Times New Roman"/>
          <w:b/>
          <w:bCs/>
          <w:i/>
          <w:iCs/>
          <w:color w:val="000000"/>
          <w:sz w:val="20"/>
          <w:szCs w:val="20"/>
        </w:rPr>
        <w:t>Funding Agreement-Backed Notes Program</w:t>
      </w:r>
    </w:p>
    <w:p w:rsidR="00000000" w:rsidRDefault="00897B14">
      <w:pPr>
        <w:divId w:val="789981434"/>
        <w:rPr>
          <w:rFonts w:eastAsia="Times New Roman"/>
        </w:rPr>
      </w:pPr>
      <w:r>
        <w:rPr>
          <w:rFonts w:eastAsia="Times New Roman"/>
          <w:color w:val="000000"/>
          <w:sz w:val="20"/>
          <w:szCs w:val="20"/>
        </w:rPr>
        <w:t>Under the FABN program, Equitable Financial may issue funding agreements in U.S. dollar or other foreign currencies to a Delaware special purpose statutory trust (the “Trust”) in</w:t>
      </w:r>
      <w:r>
        <w:rPr>
          <w:rFonts w:eastAsia="Times New Roman"/>
          <w:color w:val="000000"/>
          <w:sz w:val="20"/>
          <w:szCs w:val="20"/>
        </w:rPr>
        <w:t xml:space="preserve"> exchange for the proceeds from issuances of fixed and floating rate medium-term marketable notes issued by the Trust from time to time (the “Trust notes”). The funding agreements have matching interest, maturity and currency payment terms to the applicabl</w:t>
      </w:r>
      <w:r>
        <w:rPr>
          <w:rFonts w:eastAsia="Times New Roman"/>
          <w:color w:val="000000"/>
          <w:sz w:val="20"/>
          <w:szCs w:val="20"/>
        </w:rPr>
        <w:t>e Trust notes. The Company hedges the foreign currency exposure of foreign currency denominated funding agreements using cross currency swaps as discussed in Note 4. As of May 2021, the maximum aggregate principal amount of Trust notes permitted to be outs</w:t>
      </w:r>
      <w:r>
        <w:rPr>
          <w:rFonts w:eastAsia="Times New Roman"/>
          <w:color w:val="000000"/>
          <w:sz w:val="20"/>
          <w:szCs w:val="20"/>
        </w:rPr>
        <w:t>tanding at any one time is $10 billion. Funding agreements issued to the Trust, including any foreign currency transaction adjustments, are reported in policyholders’ account balances in the consolidated balance sheets. The table below summarizes Equitable</w:t>
      </w:r>
      <w:r>
        <w:rPr>
          <w:rFonts w:eastAsia="Times New Roman"/>
          <w:color w:val="000000"/>
          <w:sz w:val="20"/>
          <w:szCs w:val="20"/>
        </w:rPr>
        <w:t xml:space="preserve"> Financial’s activity of funding agreements under the FABN. Foreign currency transaction adjustments to policyholder’s account balances are recognized in net income (loss) as an </w:t>
      </w:r>
    </w:p>
    <w:p w:rsidR="00000000" w:rsidRDefault="00897B14">
      <w:pPr>
        <w:jc w:val="center"/>
        <w:divId w:val="492526128"/>
        <w:rPr>
          <w:rFonts w:eastAsia="Times New Roman"/>
        </w:rPr>
      </w:pPr>
      <w:r>
        <w:rPr>
          <w:rFonts w:eastAsia="Times New Roman"/>
          <w:color w:val="000000"/>
          <w:sz w:val="20"/>
          <w:szCs w:val="20"/>
        </w:rPr>
        <w:t>63</w:t>
      </w:r>
    </w:p>
    <w:p w:rsidR="00000000" w:rsidRDefault="00897B14">
      <w:pPr>
        <w:rPr>
          <w:rFonts w:eastAsia="Times New Roman"/>
        </w:rPr>
      </w:pPr>
      <w:r>
        <w:rPr>
          <w:rFonts w:eastAsia="Times New Roman"/>
        </w:rPr>
        <w:pict>
          <v:rect id="_x0000_i1089" style="width:0;height:1.5pt" o:hralign="center" o:hrstd="t" o:hr="t" fillcolor="#a0a0a0" stroked="f"/>
        </w:pict>
      </w:r>
    </w:p>
    <w:p w:rsidR="00000000" w:rsidRDefault="00897B14">
      <w:pPr>
        <w:divId w:val="1154302575"/>
        <w:rPr>
          <w:rFonts w:eastAsia="Times New Roman"/>
        </w:rPr>
      </w:pPr>
      <w:r>
        <w:rPr>
          <w:rFonts w:eastAsia="Times New Roman"/>
          <w:b/>
          <w:bCs/>
          <w:color w:val="0000FF"/>
          <w:sz w:val="20"/>
          <w:szCs w:val="20"/>
          <w:u w:val="single"/>
        </w:rPr>
        <w:t>Table of Contents</w:t>
      </w:r>
    </w:p>
    <w:p w:rsidR="00000000" w:rsidRDefault="00897B14">
      <w:pPr>
        <w:jc w:val="center"/>
        <w:divId w:val="1688630846"/>
        <w:rPr>
          <w:rFonts w:eastAsia="Times New Roman"/>
        </w:rPr>
      </w:pPr>
      <w:r>
        <w:rPr>
          <w:rFonts w:eastAsia="Times New Roman"/>
          <w:b/>
          <w:bCs/>
          <w:color w:val="000000"/>
          <w:sz w:val="20"/>
          <w:szCs w:val="20"/>
        </w:rPr>
        <w:t xml:space="preserve">EQUITABLE HOLDINGS, </w:t>
      </w:r>
      <w:r>
        <w:rPr>
          <w:rFonts w:eastAsia="Times New Roman"/>
          <w:b/>
          <w:bCs/>
          <w:color w:val="000000"/>
          <w:sz w:val="20"/>
          <w:szCs w:val="20"/>
        </w:rPr>
        <w:t>INC.</w:t>
      </w:r>
    </w:p>
    <w:p w:rsidR="00000000" w:rsidRDefault="00897B14">
      <w:pPr>
        <w:jc w:val="center"/>
        <w:divId w:val="1688630846"/>
        <w:rPr>
          <w:rFonts w:eastAsia="Times New Roman"/>
        </w:rPr>
      </w:pPr>
      <w:r>
        <w:rPr>
          <w:rFonts w:eastAsia="Times New Roman"/>
          <w:b/>
          <w:bCs/>
          <w:color w:val="000000"/>
          <w:sz w:val="20"/>
          <w:szCs w:val="20"/>
        </w:rPr>
        <w:t>Notes to Consolidated Financial Statements (Unaudited), Continued</w:t>
      </w:r>
    </w:p>
    <w:p w:rsidR="00000000" w:rsidRDefault="00897B14">
      <w:pPr>
        <w:divId w:val="895240860"/>
        <w:rPr>
          <w:rFonts w:eastAsia="Times New Roman"/>
        </w:rPr>
      </w:pPr>
    </w:p>
    <w:p w:rsidR="00000000" w:rsidRDefault="00897B14">
      <w:pPr>
        <w:divId w:val="1164972376"/>
        <w:rPr>
          <w:rFonts w:eastAsia="Times New Roman"/>
        </w:rPr>
      </w:pPr>
      <w:r>
        <w:rPr>
          <w:rFonts w:eastAsia="Times New Roman"/>
          <w:color w:val="000000"/>
          <w:sz w:val="20"/>
          <w:szCs w:val="20"/>
        </w:rPr>
        <w:t>adjustment to interest credited to policyholders’ account balances and are offset in interest credited to policyholders’ account balances by a release of AOCI from deferred changes in</w:t>
      </w:r>
      <w:r>
        <w:rPr>
          <w:rFonts w:eastAsia="Times New Roman"/>
          <w:color w:val="000000"/>
          <w:sz w:val="20"/>
          <w:szCs w:val="20"/>
        </w:rPr>
        <w:t xml:space="preserve"> fair value of designated and qualifying cross currency swap cash flow hedges. The table below summarizes the Equitable Financial’s activity of funding agreements under the FABN. </w:t>
      </w:r>
    </w:p>
    <w:p w:rsidR="00000000" w:rsidRDefault="00897B14">
      <w:pPr>
        <w:divId w:val="1467628609"/>
        <w:rPr>
          <w:rFonts w:eastAsia="Times New Roman"/>
        </w:rPr>
      </w:pPr>
    </w:p>
    <w:p w:rsidR="00000000" w:rsidRDefault="00897B14">
      <w:pPr>
        <w:jc w:val="center"/>
        <w:rPr>
          <w:rFonts w:eastAsia="Times New Roman"/>
        </w:rPr>
      </w:pPr>
      <w:r>
        <w:rPr>
          <w:rFonts w:eastAsia="Times New Roman"/>
          <w:b/>
          <w:bCs/>
          <w:color w:val="000000"/>
          <w:sz w:val="20"/>
          <w:szCs w:val="20"/>
        </w:rPr>
        <w:t>Change in FABN Funding Agreements during the Six Months Ended June 30, 202</w:t>
      </w:r>
      <w:r>
        <w:rPr>
          <w:rFonts w:eastAsia="Times New Roman"/>
          <w:b/>
          <w:bCs/>
          <w:color w:val="000000"/>
          <w:sz w:val="20"/>
          <w:szCs w:val="20"/>
        </w:rPr>
        <w:t>1</w:t>
      </w:r>
    </w:p>
    <w:tbl>
      <w:tblPr>
        <w:tblW w:w="4956" w:type="pct"/>
        <w:tblCellMar>
          <w:top w:w="15" w:type="dxa"/>
          <w:left w:w="15" w:type="dxa"/>
          <w:bottom w:w="15" w:type="dxa"/>
          <w:right w:w="15" w:type="dxa"/>
        </w:tblCellMar>
        <w:tblLook w:val="04A0" w:firstRow="1" w:lastRow="0" w:firstColumn="1" w:lastColumn="0" w:noHBand="0" w:noVBand="1"/>
      </w:tblPr>
      <w:tblGrid>
        <w:gridCol w:w="45"/>
        <w:gridCol w:w="1538"/>
        <w:gridCol w:w="37"/>
        <w:gridCol w:w="121"/>
        <w:gridCol w:w="808"/>
        <w:gridCol w:w="36"/>
        <w:gridCol w:w="36"/>
        <w:gridCol w:w="36"/>
        <w:gridCol w:w="36"/>
        <w:gridCol w:w="120"/>
        <w:gridCol w:w="500"/>
        <w:gridCol w:w="36"/>
        <w:gridCol w:w="36"/>
        <w:gridCol w:w="36"/>
        <w:gridCol w:w="36"/>
        <w:gridCol w:w="121"/>
        <w:gridCol w:w="457"/>
        <w:gridCol w:w="36"/>
        <w:gridCol w:w="36"/>
        <w:gridCol w:w="36"/>
        <w:gridCol w:w="36"/>
        <w:gridCol w:w="121"/>
        <w:gridCol w:w="785"/>
        <w:gridCol w:w="36"/>
        <w:gridCol w:w="36"/>
        <w:gridCol w:w="36"/>
        <w:gridCol w:w="36"/>
        <w:gridCol w:w="121"/>
        <w:gridCol w:w="750"/>
        <w:gridCol w:w="36"/>
        <w:gridCol w:w="36"/>
        <w:gridCol w:w="36"/>
        <w:gridCol w:w="36"/>
        <w:gridCol w:w="121"/>
        <w:gridCol w:w="776"/>
        <w:gridCol w:w="36"/>
        <w:gridCol w:w="36"/>
        <w:gridCol w:w="36"/>
        <w:gridCol w:w="36"/>
        <w:gridCol w:w="121"/>
        <w:gridCol w:w="791"/>
        <w:gridCol w:w="36"/>
      </w:tblGrid>
      <w:tr w:rsidR="00000000">
        <w:trPr>
          <w:divId w:val="456414027"/>
        </w:trPr>
        <w:tc>
          <w:tcPr>
            <w:tcW w:w="50" w:type="pct"/>
            <w:vAlign w:val="center"/>
            <w:hideMark/>
          </w:tcPr>
          <w:p w:rsidR="00000000" w:rsidRDefault="00897B14">
            <w:pPr>
              <w:jc w:val="center"/>
              <w:rPr>
                <w:rFonts w:eastAsia="Times New Roman"/>
              </w:rPr>
            </w:pPr>
          </w:p>
        </w:tc>
        <w:tc>
          <w:tcPr>
            <w:tcW w:w="126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5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5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Foreign Currency Transaction Adjustment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Outstanding Balance at June 30,</w:t>
            </w:r>
            <w:r>
              <w:rPr>
                <w:rFonts w:eastAsia="Times New Roman"/>
                <w:b/>
                <w:bCs/>
                <w:color w:val="000000"/>
                <w:sz w:val="16"/>
                <w:szCs w:val="16"/>
              </w:rPr>
              <w:br/>
              <w:t>2021</w:t>
            </w:r>
          </w:p>
        </w:tc>
      </w:tr>
      <w:tr w:rsidR="00000000">
        <w:trPr>
          <w:divId w:val="456414027"/>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9"/>
            <w:tcBorders>
              <w:top w:val="single" w:sz="8"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45641402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897B14">
        <w:trPr>
          <w:divId w:val="456414027"/>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641402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1,150 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6414027"/>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6414027"/>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4,742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897B14">
        <w:trPr>
          <w:divId w:val="45641402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4,742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56414027"/>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5641402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720"/>
        <w:divId w:val="167138900"/>
        <w:rPr>
          <w:rFonts w:eastAsia="Times New Roman"/>
        </w:rPr>
      </w:pPr>
      <w:r>
        <w:rPr>
          <w:rFonts w:eastAsia="Times New Roman"/>
          <w:color w:val="000000"/>
          <w:sz w:val="18"/>
          <w:szCs w:val="18"/>
        </w:rPr>
        <w:t>_____________</w:t>
      </w:r>
    </w:p>
    <w:p w:rsidR="00000000" w:rsidRDefault="00897B14">
      <w:pPr>
        <w:ind w:hanging="360"/>
        <w:divId w:val="142544343"/>
        <w:rPr>
          <w:rFonts w:eastAsia="Times New Roman"/>
        </w:rPr>
      </w:pPr>
      <w:r>
        <w:rPr>
          <w:rFonts w:eastAsia="Times New Roman"/>
          <w:color w:val="000000"/>
          <w:sz w:val="18"/>
          <w:szCs w:val="18"/>
        </w:rPr>
        <w:t xml:space="preserve">(1)The $23 million and $11 </w:t>
      </w:r>
      <w:r>
        <w:rPr>
          <w:rFonts w:eastAsia="Times New Roman"/>
          <w:color w:val="000000"/>
          <w:sz w:val="18"/>
          <w:szCs w:val="18"/>
        </w:rPr>
        <w:t>million difference between the funding agreements notional value shown and carrying value table as of June 30, 2021 and December 31, 2020, respectively, reflects the remaining amortization of the issuance cost of the funding agreements and the foreign curr</w:t>
      </w:r>
      <w:r>
        <w:rPr>
          <w:rFonts w:eastAsia="Times New Roman"/>
          <w:color w:val="000000"/>
          <w:sz w:val="18"/>
          <w:szCs w:val="18"/>
        </w:rPr>
        <w:t xml:space="preserve">ency transaction adjustment. </w:t>
      </w:r>
    </w:p>
    <w:p w:rsidR="00000000" w:rsidRDefault="00897B14">
      <w:pPr>
        <w:divId w:val="246693745"/>
        <w:rPr>
          <w:rFonts w:eastAsia="Times New Roman"/>
        </w:rPr>
      </w:pPr>
      <w:r>
        <w:rPr>
          <w:rFonts w:eastAsia="Times New Roman"/>
          <w:color w:val="000000"/>
          <w:sz w:val="20"/>
          <w:szCs w:val="20"/>
          <w:u w:val="single"/>
        </w:rPr>
        <w:t>Credit Facilities</w:t>
      </w:r>
    </w:p>
    <w:p w:rsidR="00000000" w:rsidRDefault="00897B14">
      <w:pPr>
        <w:jc w:val="both"/>
        <w:divId w:val="1794402191"/>
        <w:rPr>
          <w:rFonts w:eastAsia="Times New Roman"/>
        </w:rPr>
      </w:pPr>
      <w:r>
        <w:rPr>
          <w:rFonts w:eastAsia="Times New Roman"/>
          <w:b/>
          <w:bCs/>
          <w:i/>
          <w:iCs/>
          <w:color w:val="000000"/>
          <w:sz w:val="20"/>
          <w:szCs w:val="20"/>
        </w:rPr>
        <w:t>Holdings Revolving Credit Facility</w:t>
      </w:r>
    </w:p>
    <w:p w:rsidR="00000000" w:rsidRDefault="00897B14">
      <w:pPr>
        <w:divId w:val="237374164"/>
        <w:rPr>
          <w:rFonts w:eastAsia="Times New Roman"/>
        </w:rPr>
      </w:pPr>
      <w:r>
        <w:rPr>
          <w:rFonts w:eastAsia="Times New Roman"/>
          <w:color w:val="000000"/>
          <w:sz w:val="20"/>
          <w:szCs w:val="20"/>
        </w:rPr>
        <w:t>In February 2018, Holdings entered into a $2.5 billion five-year senior unsecured revolving credit facility with a syndicate of banks. In June 2021, Holdings entered into an</w:t>
      </w:r>
      <w:r>
        <w:rPr>
          <w:rFonts w:eastAsia="Times New Roman"/>
          <w:color w:val="000000"/>
          <w:sz w:val="20"/>
          <w:szCs w:val="20"/>
        </w:rPr>
        <w:t xml:space="preserve"> amended and restated revolving credit agreement, which lowered the facility amount to $1.5 billion and extended the maturity date to June 24, 2026, among other changes. The revolving credit facility has a sub-limit of $1.5 billion for the issuance of lett</w:t>
      </w:r>
      <w:r>
        <w:rPr>
          <w:rFonts w:eastAsia="Times New Roman"/>
          <w:color w:val="000000"/>
          <w:sz w:val="20"/>
          <w:szCs w:val="20"/>
        </w:rPr>
        <w:t xml:space="preserve">ers of credit to support the life insurance business reinsured by EQ AZ Life Re. As of June 30, 2021, the Company had $205 million of undrawn letters of credit issued out of the $1.5 billion sub-limit for Equitable Financial as beneficiary. </w:t>
      </w:r>
    </w:p>
    <w:p w:rsidR="00000000" w:rsidRDefault="00897B14">
      <w:pPr>
        <w:jc w:val="both"/>
        <w:divId w:val="35854476"/>
        <w:rPr>
          <w:rFonts w:eastAsia="Times New Roman"/>
        </w:rPr>
      </w:pPr>
      <w:r>
        <w:rPr>
          <w:rFonts w:eastAsia="Times New Roman"/>
          <w:b/>
          <w:bCs/>
          <w:i/>
          <w:iCs/>
          <w:color w:val="000000"/>
          <w:sz w:val="20"/>
          <w:szCs w:val="20"/>
        </w:rPr>
        <w:t>Bilateral Lett</w:t>
      </w:r>
      <w:r>
        <w:rPr>
          <w:rFonts w:eastAsia="Times New Roman"/>
          <w:b/>
          <w:bCs/>
          <w:i/>
          <w:iCs/>
          <w:color w:val="000000"/>
          <w:sz w:val="20"/>
          <w:szCs w:val="20"/>
        </w:rPr>
        <w:t>er of Credit Facilities</w:t>
      </w:r>
    </w:p>
    <w:p w:rsidR="00000000" w:rsidRDefault="00897B14">
      <w:pPr>
        <w:divId w:val="1358431335"/>
        <w:rPr>
          <w:rFonts w:eastAsia="Times New Roman"/>
        </w:rPr>
      </w:pPr>
      <w:r>
        <w:rPr>
          <w:rFonts w:eastAsia="Times New Roman"/>
          <w:color w:val="000000"/>
          <w:sz w:val="20"/>
          <w:szCs w:val="20"/>
        </w:rPr>
        <w:t>In February 2018, the Company entered into bilateral letter of credit facilities, each guaranteed by Holdings, with an aggregate principal amount of approximately $1.9 billion, with multiple counterparties. In June 2021, Holdings en</w:t>
      </w:r>
      <w:r>
        <w:rPr>
          <w:rFonts w:eastAsia="Times New Roman"/>
          <w:color w:val="000000"/>
          <w:sz w:val="20"/>
          <w:szCs w:val="20"/>
        </w:rPr>
        <w:t>tered into amendments with each of the issuers of its bilateral letter of credit facilities to effect changes similar to those effected in the amended and restated revolving credit agreement. The respective facility limits of the bilateral letter of credit</w:t>
      </w:r>
      <w:r>
        <w:rPr>
          <w:rFonts w:eastAsia="Times New Roman"/>
          <w:color w:val="000000"/>
          <w:sz w:val="20"/>
          <w:szCs w:val="20"/>
        </w:rPr>
        <w:t xml:space="preserve"> facilities remained unchanged. These facilities support the life insurance business reinsured by EQ AZ Life Re. The HSBC facility matures on February 16, 2024 and the rest of the facilities mature on February 16, 2026.</w:t>
      </w:r>
    </w:p>
    <w:p w:rsidR="00000000" w:rsidRDefault="00897B14">
      <w:pPr>
        <w:divId w:val="1878657100"/>
        <w:rPr>
          <w:rFonts w:eastAsia="Times New Roman"/>
        </w:rPr>
      </w:pPr>
      <w:r>
        <w:rPr>
          <w:rFonts w:eastAsia="Times New Roman"/>
          <w:color w:val="000000"/>
          <w:sz w:val="20"/>
          <w:szCs w:val="20"/>
          <w:u w:val="single"/>
        </w:rPr>
        <w:t>Guarantees and Other Commitments</w:t>
      </w:r>
    </w:p>
    <w:p w:rsidR="00000000" w:rsidRDefault="00897B14">
      <w:pPr>
        <w:divId w:val="1617177324"/>
        <w:rPr>
          <w:rFonts w:eastAsia="Times New Roman"/>
        </w:rPr>
      </w:pPr>
      <w:r>
        <w:rPr>
          <w:rFonts w:eastAsia="Times New Roman"/>
          <w:color w:val="000000"/>
          <w:sz w:val="20"/>
          <w:szCs w:val="20"/>
        </w:rPr>
        <w:t>The</w:t>
      </w:r>
      <w:r>
        <w:rPr>
          <w:rFonts w:eastAsia="Times New Roman"/>
          <w:color w:val="000000"/>
          <w:sz w:val="20"/>
          <w:szCs w:val="20"/>
        </w:rPr>
        <w:t xml:space="preserve"> Company provides certain guarantees or commitments to affiliates and others. As of June 30, 2021, these arrangements include commitments by the Company to provide equity financing of $1.4 billion (including $182 million with affiliates) to certain limited</w:t>
      </w:r>
      <w:r>
        <w:rPr>
          <w:rFonts w:eastAsia="Times New Roman"/>
          <w:color w:val="000000"/>
          <w:sz w:val="20"/>
          <w:szCs w:val="20"/>
        </w:rPr>
        <w:t xml:space="preserve"> partnerships and real estate joint ventures under certain conditions. Management believes the Company will not incur material losses as a result of these commitments.</w:t>
      </w:r>
    </w:p>
    <w:p w:rsidR="00000000" w:rsidRDefault="00897B14">
      <w:pPr>
        <w:divId w:val="675034750"/>
        <w:rPr>
          <w:rFonts w:eastAsia="Times New Roman"/>
        </w:rPr>
      </w:pPr>
      <w:r>
        <w:rPr>
          <w:rFonts w:eastAsia="Times New Roman"/>
          <w:color w:val="000000"/>
          <w:sz w:val="20"/>
          <w:szCs w:val="20"/>
        </w:rPr>
        <w:t>The Company had $17 million of undrawn letters of credit related to reinsurance as of Ju</w:t>
      </w:r>
      <w:r>
        <w:rPr>
          <w:rFonts w:eastAsia="Times New Roman"/>
          <w:color w:val="000000"/>
          <w:sz w:val="20"/>
          <w:szCs w:val="20"/>
        </w:rPr>
        <w:t>ne 30, 2021. The Company had $543 million of commitments under existing mortgage loan agreements as of June 30, 2021.</w:t>
      </w:r>
    </w:p>
    <w:p w:rsidR="00000000" w:rsidRDefault="00897B14">
      <w:pPr>
        <w:divId w:val="540634190"/>
        <w:rPr>
          <w:rFonts w:eastAsia="Times New Roman"/>
        </w:rPr>
      </w:pPr>
      <w:r>
        <w:rPr>
          <w:rFonts w:eastAsia="Times New Roman"/>
          <w:color w:val="000000"/>
          <w:sz w:val="20"/>
          <w:szCs w:val="20"/>
        </w:rPr>
        <w:t>The Company is the obligor under certain structured settlement agreements it had entered into with unaffiliated insurance companies and be</w:t>
      </w:r>
      <w:r>
        <w:rPr>
          <w:rFonts w:eastAsia="Times New Roman"/>
          <w:color w:val="000000"/>
          <w:sz w:val="20"/>
          <w:szCs w:val="20"/>
        </w:rPr>
        <w:t xml:space="preserve">neficiaries. To satisfy its obligations under these agreements, the Company owns single premium annuities issued by previously wholly-owned life insurance subsidiaries. The Company has directed payment </w:t>
      </w:r>
    </w:p>
    <w:p w:rsidR="00000000" w:rsidRDefault="00897B14">
      <w:pPr>
        <w:jc w:val="center"/>
        <w:divId w:val="158081896"/>
        <w:rPr>
          <w:rFonts w:eastAsia="Times New Roman"/>
        </w:rPr>
      </w:pPr>
      <w:r>
        <w:rPr>
          <w:rFonts w:eastAsia="Times New Roman"/>
          <w:color w:val="000000"/>
          <w:sz w:val="20"/>
          <w:szCs w:val="20"/>
        </w:rPr>
        <w:t>64</w:t>
      </w:r>
    </w:p>
    <w:p w:rsidR="00000000" w:rsidRDefault="00897B14">
      <w:pPr>
        <w:rPr>
          <w:rFonts w:eastAsia="Times New Roman"/>
        </w:rPr>
      </w:pPr>
      <w:r>
        <w:rPr>
          <w:rFonts w:eastAsia="Times New Roman"/>
        </w:rPr>
        <w:pict>
          <v:rect id="_x0000_i1090" style="width:0;height:1.5pt" o:hralign="center" o:hrstd="t" o:hr="t" fillcolor="#a0a0a0" stroked="f"/>
        </w:pict>
      </w:r>
    </w:p>
    <w:p w:rsidR="00000000" w:rsidRDefault="00897B14">
      <w:pPr>
        <w:divId w:val="1700859984"/>
        <w:rPr>
          <w:rFonts w:eastAsia="Times New Roman"/>
        </w:rPr>
      </w:pPr>
      <w:r>
        <w:rPr>
          <w:rFonts w:eastAsia="Times New Roman"/>
          <w:b/>
          <w:bCs/>
          <w:color w:val="0000FF"/>
          <w:sz w:val="20"/>
          <w:szCs w:val="20"/>
          <w:u w:val="single"/>
        </w:rPr>
        <w:t>Table of Conte</w:t>
      </w:r>
      <w:r>
        <w:rPr>
          <w:rFonts w:eastAsia="Times New Roman"/>
          <w:b/>
          <w:bCs/>
          <w:color w:val="0000FF"/>
          <w:sz w:val="20"/>
          <w:szCs w:val="20"/>
          <w:u w:val="single"/>
        </w:rPr>
        <w:t>nts</w:t>
      </w:r>
    </w:p>
    <w:p w:rsidR="00000000" w:rsidRDefault="00897B14">
      <w:pPr>
        <w:jc w:val="center"/>
        <w:divId w:val="1485511507"/>
        <w:rPr>
          <w:rFonts w:eastAsia="Times New Roman"/>
        </w:rPr>
      </w:pPr>
      <w:r>
        <w:rPr>
          <w:rFonts w:eastAsia="Times New Roman"/>
          <w:b/>
          <w:bCs/>
          <w:color w:val="000000"/>
          <w:sz w:val="20"/>
          <w:szCs w:val="20"/>
        </w:rPr>
        <w:t>EQUITABLE HOLDINGS, INC.</w:t>
      </w:r>
    </w:p>
    <w:p w:rsidR="00000000" w:rsidRDefault="00897B14">
      <w:pPr>
        <w:jc w:val="center"/>
        <w:divId w:val="1485511507"/>
        <w:rPr>
          <w:rFonts w:eastAsia="Times New Roman"/>
        </w:rPr>
      </w:pPr>
      <w:r>
        <w:rPr>
          <w:rFonts w:eastAsia="Times New Roman"/>
          <w:b/>
          <w:bCs/>
          <w:color w:val="000000"/>
          <w:sz w:val="20"/>
          <w:szCs w:val="20"/>
        </w:rPr>
        <w:t>Notes to Consolidated Financial Statements (Unaudited), Continued</w:t>
      </w:r>
    </w:p>
    <w:p w:rsidR="00000000" w:rsidRDefault="00897B14">
      <w:pPr>
        <w:divId w:val="1352103763"/>
        <w:rPr>
          <w:rFonts w:eastAsia="Times New Roman"/>
        </w:rPr>
      </w:pPr>
    </w:p>
    <w:p w:rsidR="00000000" w:rsidRDefault="00897B14">
      <w:pPr>
        <w:divId w:val="1102070789"/>
        <w:rPr>
          <w:rFonts w:eastAsia="Times New Roman"/>
        </w:rPr>
      </w:pPr>
      <w:r>
        <w:rPr>
          <w:rFonts w:eastAsia="Times New Roman"/>
          <w:color w:val="000000"/>
          <w:sz w:val="20"/>
          <w:szCs w:val="20"/>
        </w:rPr>
        <w:t>under these annuities to be made directly to the beneficiaries under the structured settlement agreements. A contingent liability exists with respect to these agreements should the previously wholly-owned subsidiaries be unable to meet their obligations. M</w:t>
      </w:r>
      <w:r>
        <w:rPr>
          <w:rFonts w:eastAsia="Times New Roman"/>
          <w:color w:val="000000"/>
          <w:sz w:val="20"/>
          <w:szCs w:val="20"/>
        </w:rPr>
        <w:t>anagement believes the need for the Company to satisfy those obligations is remote.</w:t>
      </w:r>
    </w:p>
    <w:p w:rsidR="00000000" w:rsidRDefault="00897B14">
      <w:pPr>
        <w:divId w:val="316031222"/>
        <w:rPr>
          <w:rFonts w:eastAsia="Times New Roman"/>
        </w:rPr>
      </w:pPr>
      <w:r>
        <w:rPr>
          <w:rFonts w:eastAsia="Times New Roman"/>
          <w:b/>
          <w:bCs/>
          <w:color w:val="000000"/>
          <w:sz w:val="20"/>
          <w:szCs w:val="20"/>
        </w:rPr>
        <w:t>13)    BUSINESS SEGMENT INFORMATION</w:t>
      </w:r>
    </w:p>
    <w:p w:rsidR="00000000" w:rsidRDefault="00897B14">
      <w:pPr>
        <w:divId w:val="1216237551"/>
        <w:rPr>
          <w:rFonts w:eastAsia="Times New Roman"/>
        </w:rPr>
      </w:pPr>
      <w:r>
        <w:rPr>
          <w:rFonts w:eastAsia="Times New Roman"/>
          <w:color w:val="000000"/>
          <w:sz w:val="20"/>
          <w:szCs w:val="20"/>
        </w:rPr>
        <w:t>The Company has four reportable segments: Individual Retirement, Group Retirement, Investment Management and Research and Protection Sol</w:t>
      </w:r>
      <w:r>
        <w:rPr>
          <w:rFonts w:eastAsia="Times New Roman"/>
          <w:color w:val="000000"/>
          <w:sz w:val="20"/>
          <w:szCs w:val="20"/>
        </w:rPr>
        <w:t>utions.</w:t>
      </w:r>
    </w:p>
    <w:p w:rsidR="00000000" w:rsidRDefault="00897B14">
      <w:pPr>
        <w:divId w:val="407073661"/>
        <w:rPr>
          <w:rFonts w:eastAsia="Times New Roman"/>
        </w:rPr>
      </w:pPr>
      <w:r>
        <w:rPr>
          <w:rFonts w:eastAsia="Times New Roman"/>
          <w:color w:val="000000"/>
          <w:sz w:val="20"/>
          <w:szCs w:val="20"/>
        </w:rPr>
        <w:t>These segments reflect the manner by which the Company’s chief operating decision maker views and manages the business. A brief description of these segments follows:</w:t>
      </w:r>
    </w:p>
    <w:p w:rsidR="00000000" w:rsidRDefault="00897B14">
      <w:pPr>
        <w:ind w:hanging="360"/>
        <w:jc w:val="both"/>
        <w:divId w:val="560989765"/>
        <w:rPr>
          <w:rFonts w:eastAsia="Times New Roman"/>
        </w:rPr>
      </w:pPr>
      <w:r>
        <w:rPr>
          <w:rFonts w:eastAsia="Times New Roman"/>
          <w:color w:val="000000"/>
          <w:sz w:val="20"/>
          <w:szCs w:val="20"/>
        </w:rPr>
        <w:t>•</w:t>
      </w: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p w:rsidR="00000000" w:rsidRDefault="00897B14">
      <w:pPr>
        <w:ind w:hanging="360"/>
        <w:jc w:val="both"/>
        <w:divId w:val="530260692"/>
        <w:rPr>
          <w:rFonts w:eastAsia="Times New Roman"/>
        </w:rPr>
      </w:pPr>
      <w:r>
        <w:rPr>
          <w:rFonts w:eastAsia="Times New Roman"/>
          <w:color w:val="000000"/>
          <w:sz w:val="20"/>
          <w:szCs w:val="20"/>
        </w:rPr>
        <w:t xml:space="preserve">•The Group Retirement segment offers tax-deferred </w:t>
      </w:r>
      <w:r>
        <w:rPr>
          <w:rFonts w:eastAsia="Times New Roman"/>
          <w:color w:val="000000"/>
          <w:sz w:val="20"/>
          <w:szCs w:val="20"/>
        </w:rPr>
        <w:t>investment and retirement services or products to plans sponsored by educational entities, municipalities and not-for-profit entities, as well as small and medium-sized businesses.</w:t>
      </w:r>
    </w:p>
    <w:p w:rsidR="00000000" w:rsidRDefault="00897B14">
      <w:pPr>
        <w:ind w:hanging="360"/>
        <w:jc w:val="both"/>
        <w:divId w:val="891964017"/>
        <w:rPr>
          <w:rFonts w:eastAsia="Times New Roman"/>
        </w:rPr>
      </w:pPr>
      <w:r>
        <w:rPr>
          <w:rFonts w:eastAsia="Times New Roman"/>
          <w:color w:val="000000"/>
          <w:sz w:val="20"/>
          <w:szCs w:val="20"/>
        </w:rPr>
        <w:t>•The Investment Management and Research segment provides diversified invest</w:t>
      </w:r>
      <w:r>
        <w:rPr>
          <w:rFonts w:eastAsia="Times New Roman"/>
          <w:color w:val="000000"/>
          <w:sz w:val="20"/>
          <w:szCs w:val="20"/>
        </w:rPr>
        <w:t>ment management, research and related solutions globally to a broad range of clients through three main client channels - Institutional, Retail and Private Wealth Management - and distributes its institutional research products and solutions through Bernst</w:t>
      </w:r>
      <w:r>
        <w:rPr>
          <w:rFonts w:eastAsia="Times New Roman"/>
          <w:color w:val="000000"/>
          <w:sz w:val="20"/>
          <w:szCs w:val="20"/>
        </w:rPr>
        <w:t>ein Research Services.</w:t>
      </w:r>
    </w:p>
    <w:p w:rsidR="00000000" w:rsidRDefault="00897B14">
      <w:pPr>
        <w:ind w:hanging="360"/>
        <w:divId w:val="8069254"/>
        <w:rPr>
          <w:rFonts w:eastAsia="Times New Roman"/>
        </w:rPr>
      </w:pPr>
      <w:r>
        <w:rPr>
          <w:rFonts w:eastAsia="Times New Roman"/>
          <w:color w:val="000000"/>
          <w:sz w:val="20"/>
          <w:szCs w:val="20"/>
        </w:rPr>
        <w:t xml:space="preserve">•The Protection Solutions segment includes our life insurance and group employee benefits businesses. Our life insurance business offers a variety of VUL, UL and term life products to help affluent and high net worth individuals, as </w:t>
      </w:r>
      <w:r>
        <w:rPr>
          <w:rFonts w:eastAsia="Times New Roman"/>
          <w:color w:val="000000"/>
          <w:sz w:val="20"/>
          <w:szCs w:val="20"/>
        </w:rPr>
        <w:t>well as small and medium-sized business owners, with their wealth protection, wealth transfer and corporate needs. Our group employee benefits business offers a suite of dental, vision, life, and short- and long-term disability and other insurance products</w:t>
      </w:r>
      <w:r>
        <w:rPr>
          <w:rFonts w:eastAsia="Times New Roman"/>
          <w:color w:val="000000"/>
          <w:sz w:val="20"/>
          <w:szCs w:val="20"/>
        </w:rPr>
        <w:t xml:space="preserve"> to small and medium-size businesses across the United States.</w:t>
      </w:r>
    </w:p>
    <w:p w:rsidR="00000000" w:rsidRDefault="00897B14">
      <w:pPr>
        <w:divId w:val="1463111767"/>
        <w:rPr>
          <w:rFonts w:eastAsia="Times New Roman"/>
        </w:rPr>
      </w:pPr>
      <w:r>
        <w:rPr>
          <w:rFonts w:eastAsia="Times New Roman"/>
          <w:color w:val="000000"/>
          <w:sz w:val="20"/>
          <w:szCs w:val="20"/>
          <w:u w:val="single"/>
        </w:rPr>
        <w:t>Measurement</w:t>
      </w:r>
    </w:p>
    <w:p w:rsidR="00000000" w:rsidRDefault="00897B14">
      <w:pPr>
        <w:divId w:val="968052212"/>
        <w:rPr>
          <w:rFonts w:eastAsia="Times New Roman"/>
        </w:rPr>
      </w:pPr>
      <w:r>
        <w:rPr>
          <w:rFonts w:eastAsia="Times New Roman"/>
          <w:color w:val="000000"/>
          <w:sz w:val="20"/>
          <w:szCs w:val="20"/>
        </w:rPr>
        <w:t xml:space="preserve">Operating earnings (loss) is the financial measure which primarily focuses on the Company’s segments’ results of operations as well as the underlying profitability of the Company’s </w:t>
      </w:r>
      <w:r>
        <w:rPr>
          <w:rFonts w:eastAsia="Times New Roman"/>
          <w:color w:val="000000"/>
          <w:sz w:val="20"/>
          <w:szCs w:val="20"/>
        </w:rPr>
        <w:t>core business. By excluding items that can be distortive and unpredictable such as investment gains (losses) and investment income (loss) from derivative instruments, the Company believes operating earnings (loss) by segment enhances the understanding of t</w:t>
      </w:r>
      <w:r>
        <w:rPr>
          <w:rFonts w:eastAsia="Times New Roman"/>
          <w:color w:val="000000"/>
          <w:sz w:val="20"/>
          <w:szCs w:val="20"/>
        </w:rPr>
        <w:t>he Company’s underlying drivers of profitability and trends in the Company’s segments.</w:t>
      </w:r>
    </w:p>
    <w:p w:rsidR="00000000" w:rsidRDefault="00897B14">
      <w:pPr>
        <w:divId w:val="968785519"/>
        <w:rPr>
          <w:rFonts w:eastAsia="Times New Roman"/>
        </w:rPr>
      </w:pPr>
      <w:r>
        <w:rPr>
          <w:rFonts w:eastAsia="Times New Roman"/>
          <w:color w:val="000000"/>
          <w:sz w:val="20"/>
          <w:szCs w:val="20"/>
        </w:rPr>
        <w:t>Operating earnings is calculated by adjusting each segment’s net income (loss) attributable to Holdings for the following items:</w:t>
      </w:r>
    </w:p>
    <w:p w:rsidR="00000000" w:rsidRDefault="00897B14">
      <w:pPr>
        <w:ind w:hanging="360"/>
        <w:jc w:val="both"/>
        <w:divId w:val="506091587"/>
        <w:rPr>
          <w:rFonts w:eastAsia="Times New Roman"/>
        </w:rPr>
      </w:pPr>
      <w:r>
        <w:rPr>
          <w:rFonts w:eastAsia="Times New Roman"/>
          <w:color w:val="000000"/>
          <w:sz w:val="20"/>
          <w:szCs w:val="20"/>
        </w:rPr>
        <w:t>•Items related to variable annuity produ</w:t>
      </w:r>
      <w:r>
        <w:rPr>
          <w:rFonts w:eastAsia="Times New Roman"/>
          <w:color w:val="000000"/>
          <w:sz w:val="20"/>
          <w:szCs w:val="20"/>
        </w:rPr>
        <w:t>ct features, which include: (i) certain changes in the fair value of the derivatives and other securities we use to hedge these features; (ii) the effect of benefit ratio unlock adjustments, including extraordinary economic conditions or events such as COV</w:t>
      </w:r>
      <w:r>
        <w:rPr>
          <w:rFonts w:eastAsia="Times New Roman"/>
          <w:color w:val="000000"/>
          <w:sz w:val="20"/>
          <w:szCs w:val="20"/>
        </w:rPr>
        <w:t xml:space="preserve">ID-19; and (iii) changes in the fair value of the embedded derivatives reflected within variable annuity products’ net derivative results and the impact of these items on DAC amortization on our SCS product; </w:t>
      </w:r>
    </w:p>
    <w:p w:rsidR="00000000" w:rsidRDefault="00897B14">
      <w:pPr>
        <w:ind w:hanging="360"/>
        <w:jc w:val="both"/>
        <w:divId w:val="380328583"/>
        <w:rPr>
          <w:rFonts w:eastAsia="Times New Roman"/>
        </w:rPr>
      </w:pPr>
      <w:r>
        <w:rPr>
          <w:rFonts w:eastAsia="Times New Roman"/>
          <w:color w:val="000000"/>
          <w:sz w:val="20"/>
          <w:szCs w:val="20"/>
        </w:rPr>
        <w:t>•Investment (gains) losses, which includes cred</w:t>
      </w:r>
      <w:r>
        <w:rPr>
          <w:rFonts w:eastAsia="Times New Roman"/>
          <w:color w:val="000000"/>
          <w:sz w:val="20"/>
          <w:szCs w:val="20"/>
        </w:rPr>
        <w:t>it loss impairments of securities/investments, sales or disposals of securities/investments, realized capital gains/losses and valuation allowances;</w:t>
      </w:r>
    </w:p>
    <w:p w:rsidR="00000000" w:rsidRDefault="00897B14">
      <w:pPr>
        <w:ind w:hanging="360"/>
        <w:jc w:val="both"/>
        <w:divId w:val="570233400"/>
        <w:rPr>
          <w:rFonts w:eastAsia="Times New Roman"/>
        </w:rPr>
      </w:pPr>
      <w:r>
        <w:rPr>
          <w:rFonts w:eastAsia="Times New Roman"/>
          <w:color w:val="000000"/>
          <w:sz w:val="20"/>
          <w:szCs w:val="20"/>
        </w:rPr>
        <w:t>•Net actuarial (gains) losses, which includes actuarial gains and losses as a result of differences between</w:t>
      </w:r>
      <w:r>
        <w:rPr>
          <w:rFonts w:eastAsia="Times New Roman"/>
          <w:color w:val="000000"/>
          <w:sz w:val="20"/>
          <w:szCs w:val="20"/>
        </w:rPr>
        <w:t xml:space="preserve"> actual and expected experience on pension plan assets or projected benefit obligation during a given period related to pension, other postretirement benefit obligations, and the one-time impact of the settlement of the defined benefit obligation;</w:t>
      </w:r>
    </w:p>
    <w:p w:rsidR="00000000" w:rsidRDefault="00897B14">
      <w:pPr>
        <w:ind w:hanging="360"/>
        <w:jc w:val="both"/>
        <w:divId w:val="243495154"/>
        <w:rPr>
          <w:rFonts w:eastAsia="Times New Roman"/>
        </w:rPr>
      </w:pPr>
      <w:r>
        <w:rPr>
          <w:rFonts w:eastAsia="Times New Roman"/>
          <w:color w:val="000000"/>
          <w:sz w:val="20"/>
          <w:szCs w:val="20"/>
        </w:rPr>
        <w:t>•Other a</w:t>
      </w:r>
      <w:r>
        <w:rPr>
          <w:rFonts w:eastAsia="Times New Roman"/>
          <w:color w:val="000000"/>
          <w:sz w:val="20"/>
          <w:szCs w:val="20"/>
        </w:rPr>
        <w:t>djustments, which primarily include restructuring costs related to severance and separation, COVID-19 related impacts, net derivative gains (losses) on certain Non-GMxB derivatives, net investment income from certain items including consolidated VIE invest</w:t>
      </w:r>
      <w:r>
        <w:rPr>
          <w:rFonts w:eastAsia="Times New Roman"/>
          <w:color w:val="000000"/>
          <w:sz w:val="20"/>
          <w:szCs w:val="20"/>
        </w:rPr>
        <w:t xml:space="preserve">ments, seed capital mark-to-market adjustments, unrealized gain/losses associated with equity securities and certain legal accruals; and </w:t>
      </w:r>
    </w:p>
    <w:p w:rsidR="00000000" w:rsidRDefault="00897B14">
      <w:pPr>
        <w:ind w:hanging="360"/>
        <w:divId w:val="779105188"/>
        <w:rPr>
          <w:rFonts w:eastAsia="Times New Roman"/>
        </w:rPr>
      </w:pPr>
      <w:r>
        <w:rPr>
          <w:rFonts w:eastAsia="Times New Roman"/>
          <w:color w:val="000000"/>
          <w:sz w:val="20"/>
          <w:szCs w:val="20"/>
        </w:rPr>
        <w:t>•Income tax expense (benefit) related to the above items and non-recurring tax items, which includes the effect of unc</w:t>
      </w:r>
      <w:r>
        <w:rPr>
          <w:rFonts w:eastAsia="Times New Roman"/>
          <w:color w:val="000000"/>
          <w:sz w:val="20"/>
          <w:szCs w:val="20"/>
        </w:rPr>
        <w:t>ertain tax positions for a given audit period.</w:t>
      </w:r>
    </w:p>
    <w:p w:rsidR="00000000" w:rsidRDefault="00897B14">
      <w:pPr>
        <w:jc w:val="center"/>
        <w:divId w:val="563954453"/>
        <w:rPr>
          <w:rFonts w:eastAsia="Times New Roman"/>
        </w:rPr>
      </w:pPr>
      <w:r>
        <w:rPr>
          <w:rFonts w:eastAsia="Times New Roman"/>
          <w:color w:val="000000"/>
          <w:sz w:val="20"/>
          <w:szCs w:val="20"/>
        </w:rPr>
        <w:t>65</w:t>
      </w:r>
    </w:p>
    <w:p w:rsidR="00000000" w:rsidRDefault="00897B14">
      <w:pPr>
        <w:rPr>
          <w:rFonts w:eastAsia="Times New Roman"/>
        </w:rPr>
      </w:pPr>
      <w:r>
        <w:rPr>
          <w:rFonts w:eastAsia="Times New Roman"/>
        </w:rPr>
        <w:pict>
          <v:rect id="_x0000_i1091" style="width:0;height:1.5pt" o:hralign="center" o:hrstd="t" o:hr="t" fillcolor="#a0a0a0" stroked="f"/>
        </w:pict>
      </w:r>
    </w:p>
    <w:p w:rsidR="00000000" w:rsidRDefault="00897B14">
      <w:pPr>
        <w:divId w:val="748892103"/>
        <w:rPr>
          <w:rFonts w:eastAsia="Times New Roman"/>
        </w:rPr>
      </w:pPr>
      <w:r>
        <w:rPr>
          <w:rFonts w:eastAsia="Times New Roman"/>
          <w:b/>
          <w:bCs/>
          <w:color w:val="0000FF"/>
          <w:sz w:val="20"/>
          <w:szCs w:val="20"/>
          <w:u w:val="single"/>
        </w:rPr>
        <w:t>Table of Contents</w:t>
      </w:r>
    </w:p>
    <w:p w:rsidR="00000000" w:rsidRDefault="00897B14">
      <w:pPr>
        <w:jc w:val="center"/>
        <w:divId w:val="116146175"/>
        <w:rPr>
          <w:rFonts w:eastAsia="Times New Roman"/>
        </w:rPr>
      </w:pPr>
      <w:r>
        <w:rPr>
          <w:rFonts w:eastAsia="Times New Roman"/>
          <w:b/>
          <w:bCs/>
          <w:color w:val="000000"/>
          <w:sz w:val="20"/>
          <w:szCs w:val="20"/>
        </w:rPr>
        <w:t>EQUITABLE HOLDINGS, INC.</w:t>
      </w:r>
    </w:p>
    <w:p w:rsidR="00000000" w:rsidRDefault="00897B14">
      <w:pPr>
        <w:jc w:val="center"/>
        <w:divId w:val="116146175"/>
        <w:rPr>
          <w:rFonts w:eastAsia="Times New Roman"/>
        </w:rPr>
      </w:pPr>
      <w:r>
        <w:rPr>
          <w:rFonts w:eastAsia="Times New Roman"/>
          <w:b/>
          <w:bCs/>
          <w:color w:val="000000"/>
          <w:sz w:val="20"/>
          <w:szCs w:val="20"/>
        </w:rPr>
        <w:t>Notes to Consolidated Financial Statements (Unaudited), Continued</w:t>
      </w:r>
    </w:p>
    <w:p w:rsidR="00000000" w:rsidRDefault="00897B14">
      <w:pPr>
        <w:divId w:val="238833780"/>
        <w:rPr>
          <w:rFonts w:eastAsia="Times New Roman"/>
        </w:rPr>
      </w:pPr>
    </w:p>
    <w:p w:rsidR="00000000" w:rsidRDefault="00897B14">
      <w:pPr>
        <w:divId w:val="772014364"/>
        <w:rPr>
          <w:rFonts w:eastAsia="Times New Roman"/>
        </w:rPr>
      </w:pPr>
      <w:r>
        <w:rPr>
          <w:rFonts w:eastAsia="Times New Roman"/>
          <w:color w:val="000000"/>
          <w:sz w:val="20"/>
          <w:szCs w:val="20"/>
        </w:rPr>
        <w:t>Revenues derived from any customer did not exceed 10% of re</w:t>
      </w:r>
      <w:r>
        <w:rPr>
          <w:rFonts w:eastAsia="Times New Roman"/>
          <w:color w:val="000000"/>
          <w:sz w:val="20"/>
          <w:szCs w:val="20"/>
        </w:rPr>
        <w:t>venues for the three months and six months ended June 30, 2021 and 2020.</w:t>
      </w:r>
    </w:p>
    <w:p w:rsidR="00000000" w:rsidRDefault="00897B14">
      <w:pPr>
        <w:divId w:val="367871867"/>
        <w:rPr>
          <w:rFonts w:eastAsia="Times New Roman"/>
        </w:rPr>
      </w:pPr>
      <w:r>
        <w:rPr>
          <w:rFonts w:eastAsia="Times New Roman"/>
          <w:color w:val="000000"/>
          <w:sz w:val="20"/>
          <w:szCs w:val="20"/>
        </w:rPr>
        <w:t>The table below presents operating earnings (loss) by segment and Corporate and Other and a reconciliation to net income (loss) attributable to Holdings for the three months and six m</w:t>
      </w:r>
      <w:r>
        <w:rPr>
          <w:rFonts w:eastAsia="Times New Roman"/>
          <w:color w:val="000000"/>
          <w:sz w:val="20"/>
          <w:szCs w:val="20"/>
        </w:rPr>
        <w:t>onths ended June 30,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4084"/>
        <w:gridCol w:w="39"/>
        <w:gridCol w:w="121"/>
        <w:gridCol w:w="683"/>
        <w:gridCol w:w="36"/>
        <w:gridCol w:w="36"/>
        <w:gridCol w:w="36"/>
        <w:gridCol w:w="36"/>
        <w:gridCol w:w="120"/>
        <w:gridCol w:w="683"/>
        <w:gridCol w:w="36"/>
        <w:gridCol w:w="36"/>
        <w:gridCol w:w="36"/>
        <w:gridCol w:w="36"/>
        <w:gridCol w:w="120"/>
        <w:gridCol w:w="837"/>
        <w:gridCol w:w="36"/>
        <w:gridCol w:w="36"/>
        <w:gridCol w:w="36"/>
        <w:gridCol w:w="36"/>
        <w:gridCol w:w="120"/>
        <w:gridCol w:w="775"/>
        <w:gridCol w:w="36"/>
        <w:gridCol w:w="36"/>
        <w:gridCol w:w="36"/>
        <w:gridCol w:w="36"/>
        <w:gridCol w:w="36"/>
        <w:gridCol w:w="36"/>
        <w:gridCol w:w="36"/>
      </w:tblGrid>
      <w:tr w:rsidR="00000000">
        <w:trPr>
          <w:divId w:val="1723209921"/>
        </w:trPr>
        <w:tc>
          <w:tcPr>
            <w:tcW w:w="50" w:type="pct"/>
            <w:vAlign w:val="center"/>
            <w:hideMark/>
          </w:tcPr>
          <w:p w:rsidR="00000000" w:rsidRDefault="00897B14">
            <w:pPr>
              <w:rPr>
                <w:rFonts w:eastAsia="Times New Roman"/>
              </w:rPr>
            </w:pPr>
          </w:p>
        </w:tc>
        <w:tc>
          <w:tcPr>
            <w:tcW w:w="25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(4,019)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(1,365)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1,369 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Variable annuity product features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5,722 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(1,147)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adjustments (2) (3) (4)</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770 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Income tax expense (benefit) related to above adjustments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(1,188)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Non-recurring tax items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1,358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Operating earnings (loss) by segment: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Individual Retirement</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Group Retirement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Management and Research</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Protection Solutions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320992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Corporate and Other (6)</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720"/>
        <w:divId w:val="646596627"/>
        <w:rPr>
          <w:rFonts w:eastAsia="Times New Roman"/>
        </w:rPr>
      </w:pPr>
      <w:r>
        <w:rPr>
          <w:rFonts w:eastAsia="Times New Roman"/>
          <w:color w:val="000000"/>
          <w:sz w:val="18"/>
          <w:szCs w:val="18"/>
        </w:rPr>
        <w:t>______________</w:t>
      </w:r>
    </w:p>
    <w:p w:rsidR="00000000" w:rsidRDefault="00897B14">
      <w:pPr>
        <w:ind w:hanging="360"/>
        <w:divId w:val="605816121"/>
        <w:rPr>
          <w:rFonts w:eastAsia="Times New Roman"/>
        </w:rPr>
      </w:pPr>
      <w:r>
        <w:rPr>
          <w:rFonts w:eastAsia="Times New Roman"/>
          <w:color w:val="000000"/>
          <w:sz w:val="18"/>
          <w:szCs w:val="18"/>
        </w:rPr>
        <w:t>(1)Includes COVID-19 impact on variable annuity product features due to a first quarter 2020 assumption update of $1.5 billion a</w:t>
      </w:r>
      <w:r>
        <w:rPr>
          <w:rFonts w:eastAsia="Times New Roman"/>
          <w:color w:val="000000"/>
          <w:sz w:val="18"/>
          <w:szCs w:val="18"/>
        </w:rPr>
        <w:t xml:space="preserve">nd other COVID-19 related impacts of $35 million for the </w:t>
      </w:r>
      <w:r>
        <w:rPr>
          <w:rFonts w:eastAsia="Times New Roman"/>
          <w:color w:val="000000"/>
          <w:sz w:val="20"/>
          <w:szCs w:val="20"/>
        </w:rPr>
        <w:t>six months ended June 30, 2020</w:t>
      </w:r>
      <w:r>
        <w:rPr>
          <w:rFonts w:eastAsia="Times New Roman"/>
          <w:color w:val="000000"/>
          <w:sz w:val="18"/>
          <w:szCs w:val="18"/>
        </w:rPr>
        <w:t>.</w:t>
      </w:r>
    </w:p>
    <w:p w:rsidR="00000000" w:rsidRDefault="00897B14">
      <w:pPr>
        <w:ind w:hanging="360"/>
        <w:divId w:val="1985894003"/>
        <w:rPr>
          <w:rFonts w:eastAsia="Times New Roman"/>
        </w:rPr>
      </w:pPr>
      <w:r>
        <w:rPr>
          <w:rFonts w:eastAsia="Times New Roman"/>
          <w:color w:val="000000"/>
          <w:sz w:val="18"/>
          <w:szCs w:val="18"/>
        </w:rPr>
        <w:t>(2)Includes COVID-19 impact on other adjustments due to a first quarter 2020 assumption update of $1.0 billion and other COVID-19 related impacts of $35 million and $8</w:t>
      </w:r>
      <w:r>
        <w:rPr>
          <w:rFonts w:eastAsia="Times New Roman"/>
          <w:color w:val="000000"/>
          <w:sz w:val="18"/>
          <w:szCs w:val="18"/>
        </w:rPr>
        <w:t xml:space="preserve">6 million for the three and </w:t>
      </w:r>
      <w:r>
        <w:rPr>
          <w:rFonts w:eastAsia="Times New Roman"/>
          <w:color w:val="000000"/>
          <w:sz w:val="20"/>
          <w:szCs w:val="20"/>
        </w:rPr>
        <w:t>six months ended June 30, 2020</w:t>
      </w:r>
      <w:r>
        <w:rPr>
          <w:rFonts w:eastAsia="Times New Roman"/>
          <w:color w:val="000000"/>
          <w:sz w:val="18"/>
          <w:szCs w:val="18"/>
        </w:rPr>
        <w:t>.</w:t>
      </w:r>
    </w:p>
    <w:p w:rsidR="00000000" w:rsidRDefault="00897B14">
      <w:pPr>
        <w:ind w:hanging="360"/>
        <w:divId w:val="755981926"/>
        <w:rPr>
          <w:rFonts w:eastAsia="Times New Roman"/>
        </w:rPr>
      </w:pPr>
      <w:r>
        <w:rPr>
          <w:rFonts w:eastAsia="Times New Roman"/>
          <w:color w:val="000000"/>
          <w:sz w:val="18"/>
          <w:szCs w:val="18"/>
        </w:rPr>
        <w:t>(3)Include separation costs of $16 million, $39 million, $37 million and $71 million for the three months and six months ended June 30, 2021 and 2020, respectively.</w:t>
      </w:r>
    </w:p>
    <w:p w:rsidR="00000000" w:rsidRDefault="00897B14">
      <w:pPr>
        <w:ind w:hanging="360"/>
        <w:divId w:val="545259663"/>
        <w:rPr>
          <w:rFonts w:eastAsia="Times New Roman"/>
        </w:rPr>
      </w:pPr>
      <w:r>
        <w:rPr>
          <w:rFonts w:eastAsia="Times New Roman"/>
          <w:color w:val="000000"/>
          <w:sz w:val="18"/>
          <w:szCs w:val="18"/>
        </w:rPr>
        <w:t>(4)</w:t>
      </w:r>
      <w:r>
        <w:rPr>
          <w:rFonts w:eastAsia="Times New Roman"/>
          <w:color w:val="000000"/>
          <w:sz w:val="18"/>
          <w:szCs w:val="18"/>
        </w:rPr>
        <w:t xml:space="preserve">Includes certain legal accruals related to the COI litigation of $180 million for the </w:t>
      </w:r>
      <w:r>
        <w:rPr>
          <w:rFonts w:eastAsia="Times New Roman"/>
          <w:color w:val="000000"/>
          <w:sz w:val="20"/>
          <w:szCs w:val="20"/>
        </w:rPr>
        <w:t>six months ended June 30, 2021</w:t>
      </w:r>
      <w:r>
        <w:rPr>
          <w:rFonts w:eastAsia="Times New Roman"/>
          <w:color w:val="000000"/>
          <w:sz w:val="18"/>
          <w:szCs w:val="18"/>
        </w:rPr>
        <w:t xml:space="preserve">. No adjustments were made to prior period operating earnings as the impact was immaterial. </w:t>
      </w:r>
    </w:p>
    <w:p w:rsidR="00000000" w:rsidRDefault="00897B14">
      <w:pPr>
        <w:ind w:hanging="360"/>
        <w:divId w:val="1942294802"/>
        <w:rPr>
          <w:rFonts w:eastAsia="Times New Roman"/>
        </w:rPr>
      </w:pPr>
      <w:r>
        <w:rPr>
          <w:rFonts w:eastAsia="Times New Roman"/>
          <w:color w:val="000000"/>
          <w:sz w:val="18"/>
          <w:szCs w:val="18"/>
        </w:rPr>
        <w:t>(5)Includes income taxes of $7 million and $554</w:t>
      </w:r>
      <w:r>
        <w:rPr>
          <w:rFonts w:eastAsia="Times New Roman"/>
          <w:color w:val="000000"/>
          <w:sz w:val="18"/>
          <w:szCs w:val="18"/>
        </w:rPr>
        <w:t xml:space="preserve"> million for the above COVID-19 items for the three and </w:t>
      </w:r>
      <w:r>
        <w:rPr>
          <w:rFonts w:eastAsia="Times New Roman"/>
          <w:color w:val="000000"/>
          <w:sz w:val="20"/>
          <w:szCs w:val="20"/>
        </w:rPr>
        <w:t>six months ended June 30, 2020</w:t>
      </w:r>
      <w:r>
        <w:rPr>
          <w:rFonts w:eastAsia="Times New Roman"/>
          <w:color w:val="000000"/>
          <w:sz w:val="18"/>
          <w:szCs w:val="18"/>
        </w:rPr>
        <w:t>.</w:t>
      </w:r>
    </w:p>
    <w:p w:rsidR="00000000" w:rsidRDefault="00897B14">
      <w:pPr>
        <w:ind w:hanging="360"/>
        <w:divId w:val="1594894994"/>
        <w:rPr>
          <w:rFonts w:eastAsia="Times New Roman"/>
        </w:rPr>
      </w:pPr>
      <w:r>
        <w:rPr>
          <w:rFonts w:eastAsia="Times New Roman"/>
          <w:color w:val="000000"/>
          <w:sz w:val="18"/>
          <w:szCs w:val="18"/>
        </w:rPr>
        <w:t>(6)Includes interest expense and financing fees of $57 million, $52 million, $115 million and $108 million for the three months and six months ended June 30, 2021 and 2</w:t>
      </w:r>
      <w:r>
        <w:rPr>
          <w:rFonts w:eastAsia="Times New Roman"/>
          <w:color w:val="000000"/>
          <w:sz w:val="18"/>
          <w:szCs w:val="18"/>
        </w:rPr>
        <w:t>020, respectively.</w:t>
      </w:r>
    </w:p>
    <w:p w:rsidR="00000000" w:rsidRDefault="00897B14">
      <w:pPr>
        <w:divId w:val="1177040651"/>
        <w:rPr>
          <w:rFonts w:eastAsia="Times New Roman"/>
        </w:rPr>
      </w:pPr>
      <w:r>
        <w:rPr>
          <w:rFonts w:eastAsia="Times New Roman"/>
          <w:color w:val="000000"/>
          <w:sz w:val="20"/>
          <w:szCs w:val="20"/>
        </w:rPr>
        <w:t>Segment revenues is a measure of the Company’s revenue by segment as adjusted to exclude certain items. The following table reconciles segment revenues to total revenues by excluding the following items:</w:t>
      </w:r>
    </w:p>
    <w:p w:rsidR="00000000" w:rsidRDefault="00897B14">
      <w:pPr>
        <w:ind w:hanging="360"/>
        <w:jc w:val="both"/>
        <w:divId w:val="1198660940"/>
        <w:rPr>
          <w:rFonts w:eastAsia="Times New Roman"/>
        </w:rPr>
      </w:pPr>
      <w:r>
        <w:rPr>
          <w:rFonts w:eastAsia="Times New Roman"/>
          <w:color w:val="000000"/>
          <w:sz w:val="20"/>
          <w:szCs w:val="20"/>
        </w:rPr>
        <w:t>•Items related to variable annuit</w:t>
      </w:r>
      <w:r>
        <w:rPr>
          <w:rFonts w:eastAsia="Times New Roman"/>
          <w:color w:val="000000"/>
          <w:sz w:val="20"/>
          <w:szCs w:val="20"/>
        </w:rPr>
        <w:t>y product features, which include certain changes in the fair value of the derivatives and other securities we use to hedge these features and changes in the fair value of the embedded derivatives reflected within the net derivative results of variable ann</w:t>
      </w:r>
      <w:r>
        <w:rPr>
          <w:rFonts w:eastAsia="Times New Roman"/>
          <w:color w:val="000000"/>
          <w:sz w:val="20"/>
          <w:szCs w:val="20"/>
        </w:rPr>
        <w:t>uity product features;</w:t>
      </w:r>
    </w:p>
    <w:p w:rsidR="00000000" w:rsidRDefault="00897B14">
      <w:pPr>
        <w:ind w:hanging="360"/>
        <w:jc w:val="both"/>
        <w:divId w:val="1881087590"/>
        <w:rPr>
          <w:rFonts w:eastAsia="Times New Roman"/>
        </w:rPr>
      </w:pPr>
      <w:r>
        <w:rPr>
          <w:rFonts w:eastAsia="Times New Roman"/>
          <w:color w:val="000000"/>
          <w:sz w:val="20"/>
          <w:szCs w:val="20"/>
        </w:rPr>
        <w:t xml:space="preserve">•Investment (gains) losses, which includes credit loss impairments of securities/investments, sales or disposals of securities/investments, realized capital gains/losses and valuation allowances; </w:t>
      </w:r>
    </w:p>
    <w:p w:rsidR="00000000" w:rsidRDefault="00897B14">
      <w:pPr>
        <w:ind w:hanging="360"/>
        <w:divId w:val="1170675433"/>
        <w:rPr>
          <w:rFonts w:eastAsia="Times New Roman"/>
        </w:rPr>
      </w:pPr>
      <w:r>
        <w:rPr>
          <w:rFonts w:eastAsia="Times New Roman"/>
          <w:color w:val="000000"/>
          <w:sz w:val="20"/>
          <w:szCs w:val="20"/>
        </w:rPr>
        <w:t xml:space="preserve">•Other adjustments, which primarily </w:t>
      </w:r>
      <w:r>
        <w:rPr>
          <w:rFonts w:eastAsia="Times New Roman"/>
          <w:color w:val="000000"/>
          <w:sz w:val="20"/>
          <w:szCs w:val="20"/>
        </w:rPr>
        <w:t>includes net derivative gains (losses) on certain Non-GMxB derivatives and net investment income from certain items including consolidated VIE investments, seed capital mark-to-market adjustments and unrealized gain/losses associated with equity securities</w:t>
      </w:r>
      <w:r>
        <w:rPr>
          <w:rFonts w:eastAsia="Times New Roman"/>
          <w:color w:val="000000"/>
          <w:sz w:val="20"/>
          <w:szCs w:val="20"/>
        </w:rPr>
        <w:t>.</w:t>
      </w:r>
    </w:p>
    <w:p w:rsidR="00000000" w:rsidRDefault="00897B14">
      <w:pPr>
        <w:jc w:val="center"/>
        <w:divId w:val="4331098"/>
        <w:rPr>
          <w:rFonts w:eastAsia="Times New Roman"/>
        </w:rPr>
      </w:pPr>
      <w:r>
        <w:rPr>
          <w:rFonts w:eastAsia="Times New Roman"/>
          <w:color w:val="000000"/>
          <w:sz w:val="20"/>
          <w:szCs w:val="20"/>
        </w:rPr>
        <w:t>66</w:t>
      </w:r>
    </w:p>
    <w:p w:rsidR="00000000" w:rsidRDefault="00897B14">
      <w:pPr>
        <w:rPr>
          <w:rFonts w:eastAsia="Times New Roman"/>
        </w:rPr>
      </w:pPr>
      <w:r>
        <w:rPr>
          <w:rFonts w:eastAsia="Times New Roman"/>
        </w:rPr>
        <w:pict>
          <v:rect id="_x0000_i1092" style="width:0;height:1.5pt" o:hralign="center" o:hrstd="t" o:hr="t" fillcolor="#a0a0a0" stroked="f"/>
        </w:pict>
      </w:r>
    </w:p>
    <w:p w:rsidR="00000000" w:rsidRDefault="00897B14">
      <w:pPr>
        <w:divId w:val="636225413"/>
        <w:rPr>
          <w:rFonts w:eastAsia="Times New Roman"/>
        </w:rPr>
      </w:pPr>
      <w:r>
        <w:rPr>
          <w:rFonts w:eastAsia="Times New Roman"/>
          <w:b/>
          <w:bCs/>
          <w:color w:val="0000FF"/>
          <w:sz w:val="20"/>
          <w:szCs w:val="20"/>
          <w:u w:val="single"/>
        </w:rPr>
        <w:t>Table of Contents</w:t>
      </w:r>
    </w:p>
    <w:p w:rsidR="00000000" w:rsidRDefault="00897B14">
      <w:pPr>
        <w:jc w:val="center"/>
        <w:divId w:val="276907890"/>
        <w:rPr>
          <w:rFonts w:eastAsia="Times New Roman"/>
        </w:rPr>
      </w:pPr>
      <w:r>
        <w:rPr>
          <w:rFonts w:eastAsia="Times New Roman"/>
          <w:b/>
          <w:bCs/>
          <w:color w:val="000000"/>
          <w:sz w:val="20"/>
          <w:szCs w:val="20"/>
        </w:rPr>
        <w:t>EQUITABLE HOLDINGS, INC.</w:t>
      </w:r>
    </w:p>
    <w:p w:rsidR="00000000" w:rsidRDefault="00897B14">
      <w:pPr>
        <w:jc w:val="center"/>
        <w:divId w:val="276907890"/>
        <w:rPr>
          <w:rFonts w:eastAsia="Times New Roman"/>
        </w:rPr>
      </w:pPr>
      <w:r>
        <w:rPr>
          <w:rFonts w:eastAsia="Times New Roman"/>
          <w:b/>
          <w:bCs/>
          <w:color w:val="000000"/>
          <w:sz w:val="20"/>
          <w:szCs w:val="20"/>
        </w:rPr>
        <w:t>Notes to Consolidated Financial Statements (Unaudited), Continued</w:t>
      </w:r>
    </w:p>
    <w:p w:rsidR="00000000" w:rsidRDefault="00897B14">
      <w:pPr>
        <w:divId w:val="285091336"/>
        <w:rPr>
          <w:rFonts w:eastAsia="Times New Roman"/>
        </w:rPr>
      </w:pPr>
    </w:p>
    <w:p w:rsidR="00000000" w:rsidRDefault="00897B14">
      <w:pPr>
        <w:divId w:val="176384961"/>
        <w:rPr>
          <w:rFonts w:eastAsia="Times New Roman"/>
        </w:rPr>
      </w:pPr>
      <w:r>
        <w:rPr>
          <w:rFonts w:eastAsia="Times New Roman"/>
          <w:color w:val="000000"/>
          <w:sz w:val="20"/>
          <w:szCs w:val="20"/>
        </w:rPr>
        <w:t>The table below presents segment revenues for the three months and six months ended June 30, 2021 and 2</w:t>
      </w:r>
      <w:r>
        <w:rPr>
          <w:rFonts w:eastAsia="Times New Roman"/>
          <w:color w:val="000000"/>
          <w:sz w:val="20"/>
          <w:szCs w:val="20"/>
        </w:rPr>
        <w:t>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087"/>
        <w:gridCol w:w="38"/>
        <w:gridCol w:w="120"/>
        <w:gridCol w:w="683"/>
        <w:gridCol w:w="36"/>
        <w:gridCol w:w="36"/>
        <w:gridCol w:w="36"/>
        <w:gridCol w:w="36"/>
        <w:gridCol w:w="120"/>
        <w:gridCol w:w="683"/>
        <w:gridCol w:w="36"/>
        <w:gridCol w:w="36"/>
        <w:gridCol w:w="36"/>
        <w:gridCol w:w="36"/>
        <w:gridCol w:w="120"/>
        <w:gridCol w:w="837"/>
        <w:gridCol w:w="36"/>
        <w:gridCol w:w="36"/>
        <w:gridCol w:w="36"/>
        <w:gridCol w:w="36"/>
        <w:gridCol w:w="120"/>
        <w:gridCol w:w="775"/>
        <w:gridCol w:w="36"/>
        <w:gridCol w:w="36"/>
        <w:gridCol w:w="36"/>
        <w:gridCol w:w="36"/>
        <w:gridCol w:w="36"/>
        <w:gridCol w:w="36"/>
        <w:gridCol w:w="36"/>
      </w:tblGrid>
      <w:tr w:rsidR="00000000">
        <w:trPr>
          <w:divId w:val="1725834033"/>
          <w:jc w:val="center"/>
        </w:trPr>
        <w:tc>
          <w:tcPr>
            <w:tcW w:w="50" w:type="pct"/>
            <w:vAlign w:val="center"/>
            <w:hideMark/>
          </w:tcPr>
          <w:p w:rsidR="00000000" w:rsidRDefault="00897B14">
            <w:pPr>
              <w:rPr>
                <w:rFonts w:eastAsia="Times New Roman"/>
              </w:rPr>
            </w:pPr>
          </w:p>
        </w:tc>
        <w:tc>
          <w:tcPr>
            <w:tcW w:w="258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tcMar>
              <w:top w:w="30" w:type="dxa"/>
              <w:left w:w="20" w:type="dxa"/>
              <w:bottom w:w="30" w:type="dxa"/>
              <w:right w:w="20" w:type="dxa"/>
            </w:tcMar>
            <w:vAlign w:val="bottom"/>
            <w:hideMark/>
          </w:tcPr>
          <w:p w:rsidR="00000000" w:rsidRDefault="00897B14">
            <w:pPr>
              <w:spacing w:after="100"/>
              <w:divId w:val="42095119"/>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tcMar>
              <w:top w:w="30" w:type="dxa"/>
              <w:left w:w="20" w:type="dxa"/>
              <w:bottom w:w="30" w:type="dxa"/>
              <w:right w:w="20" w:type="dxa"/>
            </w:tcMar>
            <w:vAlign w:val="bottom"/>
            <w:hideMark/>
          </w:tcPr>
          <w:p w:rsidR="00000000" w:rsidRDefault="00897B14">
            <w:pPr>
              <w:spacing w:after="100"/>
              <w:divId w:val="426387444"/>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Segment revenues: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2,273 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Group Retirement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Management and Research (2)</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1,751 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Protection Solutions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1,593 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Corporate and Other (1)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Variable annuity product features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(1,212)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(5,673)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(3,494)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2,672 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adjustments to segment revenues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25834033"/>
          <w:jc w:val="center"/>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revenues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2,950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(2,550)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4,103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10,059 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771389981"/>
        <w:rPr>
          <w:rFonts w:eastAsia="Times New Roman"/>
        </w:rPr>
      </w:pPr>
      <w:r>
        <w:rPr>
          <w:rFonts w:eastAsia="Times New Roman"/>
          <w:color w:val="000000"/>
          <w:sz w:val="18"/>
          <w:szCs w:val="18"/>
        </w:rPr>
        <w:t>______________</w:t>
      </w:r>
    </w:p>
    <w:p w:rsidR="00000000" w:rsidRDefault="00897B14">
      <w:pPr>
        <w:ind w:hanging="360"/>
        <w:divId w:val="1586377976"/>
        <w:rPr>
          <w:rFonts w:eastAsia="Times New Roman"/>
        </w:rPr>
      </w:pPr>
      <w:r>
        <w:rPr>
          <w:rFonts w:eastAsia="Times New Roman"/>
          <w:color w:val="000000"/>
          <w:sz w:val="18"/>
          <w:szCs w:val="18"/>
        </w:rPr>
        <w:t xml:space="preserve">(1)Includes investment expenses charged by AB of $20 million, $17 million, $39 million and $35 million for the three months and six months ended </w:t>
      </w:r>
      <w:r>
        <w:rPr>
          <w:rFonts w:eastAsia="Times New Roman"/>
          <w:color w:val="000000"/>
          <w:sz w:val="18"/>
          <w:szCs w:val="18"/>
        </w:rPr>
        <w:t>June 30, 2021 and 2020, respectively, for services provided to the Company.</w:t>
      </w:r>
    </w:p>
    <w:p w:rsidR="00000000" w:rsidRDefault="00897B14">
      <w:pPr>
        <w:ind w:hanging="360"/>
        <w:divId w:val="807284602"/>
        <w:rPr>
          <w:rFonts w:eastAsia="Times New Roman"/>
        </w:rPr>
      </w:pPr>
      <w:r>
        <w:rPr>
          <w:rFonts w:eastAsia="Times New Roman"/>
          <w:color w:val="000000"/>
          <w:sz w:val="18"/>
          <w:szCs w:val="18"/>
        </w:rPr>
        <w:t>(2)Inter-segment investment management and other fees of $32 million, $27 million, $62 million and $54 million for the three months and six months ended June 30, 2021 and 2020, res</w:t>
      </w:r>
      <w:r>
        <w:rPr>
          <w:rFonts w:eastAsia="Times New Roman"/>
          <w:color w:val="000000"/>
          <w:sz w:val="18"/>
          <w:szCs w:val="18"/>
        </w:rPr>
        <w:t>pectively, are included in segment revenues of the Investment Management and Research segment.</w:t>
      </w:r>
    </w:p>
    <w:p w:rsidR="00000000" w:rsidRDefault="00897B14">
      <w:pPr>
        <w:ind w:hanging="360"/>
        <w:divId w:val="1759252002"/>
        <w:rPr>
          <w:rFonts w:eastAsia="Times New Roman"/>
        </w:rPr>
      </w:pPr>
      <w:r>
        <w:rPr>
          <w:rFonts w:eastAsia="Times New Roman"/>
          <w:color w:val="000000"/>
          <w:sz w:val="18"/>
          <w:szCs w:val="18"/>
        </w:rPr>
        <w:t xml:space="preserve">(3)Includes COVID-19 impact on other adjustments due to an assumption update of $46 million for the </w:t>
      </w:r>
      <w:r>
        <w:rPr>
          <w:rFonts w:eastAsia="Times New Roman"/>
          <w:color w:val="000000"/>
          <w:sz w:val="20"/>
          <w:szCs w:val="20"/>
        </w:rPr>
        <w:t>six months ended June 30, 2020 and</w:t>
      </w:r>
      <w:r>
        <w:rPr>
          <w:rFonts w:eastAsia="Times New Roman"/>
          <w:color w:val="000000"/>
          <w:sz w:val="18"/>
          <w:szCs w:val="18"/>
        </w:rPr>
        <w:t xml:space="preserve"> other COVID-19 related imp</w:t>
      </w:r>
      <w:r>
        <w:rPr>
          <w:rFonts w:eastAsia="Times New Roman"/>
          <w:color w:val="000000"/>
          <w:sz w:val="18"/>
          <w:szCs w:val="18"/>
        </w:rPr>
        <w:t xml:space="preserve">acts of $21 million and $(30) million for the </w:t>
      </w:r>
      <w:r>
        <w:rPr>
          <w:rFonts w:eastAsia="Times New Roman"/>
          <w:color w:val="000000"/>
          <w:sz w:val="20"/>
          <w:szCs w:val="20"/>
        </w:rPr>
        <w:t>three and six months ended June 30, 2020</w:t>
      </w:r>
      <w:r>
        <w:rPr>
          <w:rFonts w:eastAsia="Times New Roman"/>
          <w:color w:val="000000"/>
          <w:sz w:val="18"/>
          <w:szCs w:val="18"/>
        </w:rPr>
        <w:t xml:space="preserve">. </w:t>
      </w:r>
    </w:p>
    <w:p w:rsidR="00000000" w:rsidRDefault="00897B14">
      <w:pPr>
        <w:divId w:val="1169636288"/>
        <w:rPr>
          <w:rFonts w:eastAsia="Times New Roman"/>
        </w:rPr>
      </w:pPr>
      <w:r>
        <w:rPr>
          <w:rFonts w:eastAsia="Times New Roman"/>
          <w:color w:val="000000"/>
          <w:sz w:val="20"/>
          <w:szCs w:val="20"/>
        </w:rPr>
        <w:t>The table below presents total assets by segment as of June 30, 2021 and December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78"/>
        <w:gridCol w:w="38"/>
        <w:gridCol w:w="120"/>
        <w:gridCol w:w="982"/>
        <w:gridCol w:w="36"/>
        <w:gridCol w:w="36"/>
        <w:gridCol w:w="36"/>
        <w:gridCol w:w="36"/>
        <w:gridCol w:w="120"/>
        <w:gridCol w:w="948"/>
        <w:gridCol w:w="36"/>
      </w:tblGrid>
      <w:tr w:rsidR="00000000">
        <w:trPr>
          <w:divId w:val="944776344"/>
          <w:jc w:val="center"/>
        </w:trPr>
        <w:tc>
          <w:tcPr>
            <w:tcW w:w="50" w:type="pct"/>
            <w:vAlign w:val="center"/>
            <w:hideMark/>
          </w:tcPr>
          <w:p w:rsidR="00000000" w:rsidRDefault="00897B14">
            <w:pPr>
              <w:rPr>
                <w:rFonts w:eastAsia="Times New Roman"/>
              </w:rPr>
            </w:pPr>
          </w:p>
        </w:tc>
        <w:tc>
          <w:tcPr>
            <w:tcW w:w="356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944776344"/>
          <w:jc w:val="center"/>
        </w:trPr>
        <w:tc>
          <w:tcPr>
            <w:tcW w:w="0" w:type="auto"/>
            <w:gridSpan w:val="3"/>
            <w:tcMar>
              <w:top w:w="30" w:type="dxa"/>
              <w:left w:w="20" w:type="dxa"/>
              <w:bottom w:w="30" w:type="dxa"/>
              <w:right w:w="20" w:type="dxa"/>
            </w:tcMar>
            <w:vAlign w:val="bottom"/>
            <w:hideMark/>
          </w:tcPr>
          <w:p w:rsidR="00000000" w:rsidRDefault="00897B14">
            <w:pPr>
              <w:spacing w:after="100"/>
              <w:divId w:val="1012492811"/>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r>
      <w:tr w:rsidR="00000000">
        <w:trPr>
          <w:divId w:val="944776344"/>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944776344"/>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944776344"/>
          <w:jc w:val="center"/>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144,528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135,764 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44776344"/>
          <w:jc w:val="center"/>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51,466 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44776344"/>
          <w:jc w:val="center"/>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10,435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11,179 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44776344"/>
          <w:jc w:val="center"/>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47,602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48,568 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44776344"/>
          <w:jc w:val="center"/>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30,206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28,420 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44776344"/>
          <w:jc w:val="center"/>
        </w:trPr>
        <w:tc>
          <w:tcPr>
            <w:tcW w:w="0" w:type="auto"/>
            <w:gridSpan w:val="3"/>
            <w:shd w:val="clear" w:color="auto" w:fill="FFFF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assets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285,982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275,397 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1757551329"/>
        <w:rPr>
          <w:rFonts w:eastAsia="Times New Roman"/>
        </w:rPr>
      </w:pPr>
      <w:r>
        <w:rPr>
          <w:rFonts w:eastAsia="Times New Roman"/>
          <w:color w:val="000000"/>
          <w:sz w:val="18"/>
          <w:szCs w:val="18"/>
        </w:rPr>
        <w:t>______________</w:t>
      </w:r>
    </w:p>
    <w:p w:rsidR="00000000" w:rsidRDefault="00897B14">
      <w:pPr>
        <w:ind w:hanging="360"/>
        <w:divId w:val="687608468"/>
        <w:rPr>
          <w:rFonts w:eastAsia="Times New Roman"/>
        </w:rPr>
      </w:pPr>
      <w:r>
        <w:rPr>
          <w:rFonts w:eastAsia="Times New Roman"/>
          <w:color w:val="000000"/>
          <w:sz w:val="18"/>
          <w:szCs w:val="18"/>
        </w:rPr>
        <w:t>(1) Increase in Individual Retirement as of June </w:t>
      </w:r>
      <w:r>
        <w:rPr>
          <w:rFonts w:eastAsia="Times New Roman"/>
          <w:color w:val="000000"/>
          <w:sz w:val="18"/>
          <w:szCs w:val="18"/>
        </w:rPr>
        <w:t>30, 2021 is primarily due to Amounts due from Reinsurers related to ceded reserves on the Venerable transaction (see Note 1 Organization).</w:t>
      </w:r>
    </w:p>
    <w:p w:rsidR="00000000" w:rsidRDefault="00897B14">
      <w:pPr>
        <w:divId w:val="1481924259"/>
        <w:rPr>
          <w:rFonts w:eastAsia="Times New Roman"/>
        </w:rPr>
      </w:pPr>
    </w:p>
    <w:p w:rsidR="00000000" w:rsidRDefault="00897B14">
      <w:pPr>
        <w:divId w:val="1079136776"/>
        <w:rPr>
          <w:rFonts w:eastAsia="Times New Roman"/>
        </w:rPr>
      </w:pPr>
      <w:r>
        <w:rPr>
          <w:rFonts w:eastAsia="Times New Roman"/>
          <w:b/>
          <w:bCs/>
          <w:color w:val="000000"/>
          <w:sz w:val="20"/>
          <w:szCs w:val="20"/>
        </w:rPr>
        <w:t>14)    EARNINGS PER COMMON SHARE</w:t>
      </w:r>
    </w:p>
    <w:p w:rsidR="00000000" w:rsidRDefault="00897B14">
      <w:pPr>
        <w:divId w:val="662120878"/>
        <w:rPr>
          <w:rFonts w:eastAsia="Times New Roman"/>
        </w:rPr>
      </w:pPr>
      <w:r>
        <w:rPr>
          <w:rFonts w:eastAsia="Times New Roman"/>
          <w:color w:val="000000"/>
          <w:sz w:val="20"/>
          <w:szCs w:val="20"/>
        </w:rPr>
        <w:t>The following table presents a reconciliation of Net income (loss) and Weighted-av</w:t>
      </w:r>
      <w:r>
        <w:rPr>
          <w:rFonts w:eastAsia="Times New Roman"/>
          <w:color w:val="000000"/>
          <w:sz w:val="20"/>
          <w:szCs w:val="20"/>
        </w:rPr>
        <w:t>erage common shares used in calculating basic and diluted Earnings per common share for the periods indicated:</w:t>
      </w:r>
    </w:p>
    <w:p w:rsidR="00000000" w:rsidRDefault="00897B14">
      <w:pPr>
        <w:jc w:val="center"/>
        <w:divId w:val="251478711"/>
        <w:rPr>
          <w:rFonts w:eastAsia="Times New Roman"/>
        </w:rPr>
      </w:pPr>
      <w:r>
        <w:rPr>
          <w:rFonts w:eastAsia="Times New Roman"/>
          <w:color w:val="000000"/>
          <w:sz w:val="20"/>
          <w:szCs w:val="20"/>
        </w:rPr>
        <w:t>67</w:t>
      </w:r>
    </w:p>
    <w:p w:rsidR="00000000" w:rsidRDefault="00897B14">
      <w:pPr>
        <w:rPr>
          <w:rFonts w:eastAsia="Times New Roman"/>
        </w:rPr>
      </w:pPr>
      <w:r>
        <w:rPr>
          <w:rFonts w:eastAsia="Times New Roman"/>
        </w:rPr>
        <w:pict>
          <v:rect id="_x0000_i1093" style="width:0;height:1.5pt" o:hralign="center" o:hrstd="t" o:hr="t" fillcolor="#a0a0a0" stroked="f"/>
        </w:pict>
      </w:r>
    </w:p>
    <w:p w:rsidR="00000000" w:rsidRDefault="00897B14">
      <w:pPr>
        <w:divId w:val="1150366491"/>
        <w:rPr>
          <w:rFonts w:eastAsia="Times New Roman"/>
        </w:rPr>
      </w:pPr>
      <w:r>
        <w:rPr>
          <w:rFonts w:eastAsia="Times New Roman"/>
          <w:b/>
          <w:bCs/>
          <w:color w:val="0000FF"/>
          <w:sz w:val="20"/>
          <w:szCs w:val="20"/>
          <w:u w:val="single"/>
        </w:rPr>
        <w:t>Table of Contents</w:t>
      </w:r>
    </w:p>
    <w:p w:rsidR="00000000" w:rsidRDefault="00897B14">
      <w:pPr>
        <w:jc w:val="center"/>
        <w:divId w:val="1260718895"/>
        <w:rPr>
          <w:rFonts w:eastAsia="Times New Roman"/>
        </w:rPr>
      </w:pPr>
      <w:r>
        <w:rPr>
          <w:rFonts w:eastAsia="Times New Roman"/>
          <w:b/>
          <w:bCs/>
          <w:color w:val="000000"/>
          <w:sz w:val="20"/>
          <w:szCs w:val="20"/>
        </w:rPr>
        <w:t>EQUITABLE HOLDINGS, INC.</w:t>
      </w:r>
    </w:p>
    <w:p w:rsidR="00000000" w:rsidRDefault="00897B14">
      <w:pPr>
        <w:jc w:val="center"/>
        <w:divId w:val="1260718895"/>
        <w:rPr>
          <w:rFonts w:eastAsia="Times New Roman"/>
        </w:rPr>
      </w:pPr>
      <w:r>
        <w:rPr>
          <w:rFonts w:eastAsia="Times New Roman"/>
          <w:b/>
          <w:bCs/>
          <w:color w:val="000000"/>
          <w:sz w:val="20"/>
          <w:szCs w:val="20"/>
        </w:rPr>
        <w:t>Notes to Consolidated Financial Statements (Unaudited), Continued</w:t>
      </w:r>
    </w:p>
    <w:p w:rsidR="00000000" w:rsidRDefault="00897B14">
      <w:pPr>
        <w:divId w:val="616638165"/>
        <w:rPr>
          <w:rFonts w:eastAsia="Times New Roman"/>
        </w:rPr>
      </w:pPr>
    </w:p>
    <w:tbl>
      <w:tblPr>
        <w:tblW w:w="4678" w:type="pct"/>
        <w:tblCellMar>
          <w:top w:w="15" w:type="dxa"/>
          <w:left w:w="15" w:type="dxa"/>
          <w:bottom w:w="15" w:type="dxa"/>
          <w:right w:w="15" w:type="dxa"/>
        </w:tblCellMar>
        <w:tblLook w:val="04A0" w:firstRow="1" w:lastRow="0" w:firstColumn="1" w:lastColumn="0" w:noHBand="0" w:noVBand="1"/>
      </w:tblPr>
      <w:tblGrid>
        <w:gridCol w:w="42"/>
        <w:gridCol w:w="2913"/>
        <w:gridCol w:w="38"/>
        <w:gridCol w:w="120"/>
        <w:gridCol w:w="918"/>
        <w:gridCol w:w="36"/>
        <w:gridCol w:w="36"/>
        <w:gridCol w:w="36"/>
        <w:gridCol w:w="36"/>
        <w:gridCol w:w="120"/>
        <w:gridCol w:w="919"/>
        <w:gridCol w:w="36"/>
        <w:gridCol w:w="36"/>
        <w:gridCol w:w="36"/>
        <w:gridCol w:w="36"/>
        <w:gridCol w:w="120"/>
        <w:gridCol w:w="919"/>
        <w:gridCol w:w="36"/>
        <w:gridCol w:w="36"/>
        <w:gridCol w:w="36"/>
        <w:gridCol w:w="36"/>
        <w:gridCol w:w="120"/>
        <w:gridCol w:w="858"/>
        <w:gridCol w:w="36"/>
        <w:gridCol w:w="36"/>
        <w:gridCol w:w="36"/>
        <w:gridCol w:w="36"/>
        <w:gridCol w:w="36"/>
        <w:gridCol w:w="36"/>
        <w:gridCol w:w="36"/>
      </w:tblGrid>
      <w:tr w:rsidR="00000000">
        <w:trPr>
          <w:divId w:val="1236478162"/>
        </w:trPr>
        <w:tc>
          <w:tcPr>
            <w:tcW w:w="50" w:type="pct"/>
            <w:vAlign w:val="center"/>
            <w:hideMark/>
          </w:tcPr>
          <w:p w:rsidR="00000000" w:rsidRDefault="00897B14">
            <w:pPr>
              <w:rPr>
                <w:rFonts w:eastAsia="Times New Roman"/>
              </w:rPr>
            </w:pPr>
          </w:p>
        </w:tc>
        <w:tc>
          <w:tcPr>
            <w:tcW w:w="19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5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5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5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5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tcMar>
              <w:top w:w="30" w:type="dxa"/>
              <w:left w:w="20" w:type="dxa"/>
              <w:bottom w:w="30" w:type="dxa"/>
              <w:right w:w="20" w:type="dxa"/>
            </w:tcMar>
            <w:vAlign w:val="bottom"/>
            <w:hideMark/>
          </w:tcPr>
          <w:p w:rsidR="00000000" w:rsidRDefault="00897B14">
            <w:pPr>
              <w:spacing w:after="100"/>
              <w:divId w:val="450982560"/>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443961665"/>
              <w:rPr>
                <w:rFonts w:eastAsia="Times New Roman"/>
              </w:rPr>
            </w:pPr>
            <w:r>
              <w:rPr>
                <w:rFonts w:eastAsia="Times New Roman"/>
                <w:color w:val="000000"/>
                <w:sz w:val="20"/>
                <w:szCs w:val="20"/>
              </w:rPr>
              <w:t xml:space="preserve">Weighted-average common shares outstanding </w:t>
            </w:r>
            <w:r>
              <w:rPr>
                <w:rFonts w:eastAsia="Times New Roman"/>
                <w:color w:val="000000"/>
                <w:sz w:val="20"/>
                <w:szCs w:val="20"/>
                <w:shd w:val="clear" w:color="auto" w:fill="CCEEFF"/>
              </w:rPr>
              <w:t>—</w:t>
            </w:r>
            <w:r>
              <w:rPr>
                <w:rFonts w:eastAsia="Times New Roman"/>
                <w:color w:val="000000"/>
                <w:sz w:val="20"/>
                <w:szCs w:val="20"/>
              </w:rPr>
              <w:t xml:space="preserve"> basic</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455.8 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Effect of dilutive potential common shares: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CCEE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Employee share awards (1)</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1298223666"/>
              <w:rPr>
                <w:rFonts w:eastAsia="Times New Roman"/>
              </w:rPr>
            </w:pPr>
            <w:r>
              <w:rPr>
                <w:rFonts w:eastAsia="Times New Roman"/>
                <w:color w:val="000000"/>
                <w:sz w:val="20"/>
                <w:szCs w:val="20"/>
              </w:rPr>
              <w:t>Weighted-average common shares outstanding — diluted (2)</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428.3</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450.4 </w:t>
            </w:r>
          </w:p>
        </w:tc>
        <w:tc>
          <w:tcPr>
            <w:tcW w:w="0" w:type="auto"/>
            <w:tcBorders>
              <w:top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429.2</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457.1 </w:t>
            </w:r>
          </w:p>
        </w:tc>
        <w:tc>
          <w:tcPr>
            <w:tcW w:w="0" w:type="auto"/>
            <w:tcBorders>
              <w:top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1,492 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(4,019)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30" w:type="dxa"/>
              <w:left w:w="51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Earnings per common share:</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(8.94)</w:t>
            </w:r>
          </w:p>
        </w:tc>
        <w:tc>
          <w:tcPr>
            <w:tcW w:w="0" w:type="auto"/>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color w:val="000000"/>
                <w:sz w:val="20"/>
                <w:szCs w:val="20"/>
              </w:rPr>
              <w:t>2.95 </w:t>
            </w:r>
          </w:p>
        </w:tc>
        <w:tc>
          <w:tcPr>
            <w:tcW w:w="0" w:type="auto"/>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36478162"/>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356933760"/>
        <w:rPr>
          <w:rFonts w:eastAsia="Times New Roman"/>
        </w:rPr>
      </w:pPr>
      <w:r>
        <w:rPr>
          <w:rFonts w:eastAsia="Times New Roman"/>
          <w:color w:val="000000"/>
          <w:sz w:val="18"/>
          <w:szCs w:val="18"/>
        </w:rPr>
        <w:t>_____________</w:t>
      </w:r>
    </w:p>
    <w:p w:rsidR="00000000" w:rsidRDefault="00897B14">
      <w:pPr>
        <w:ind w:hanging="360"/>
        <w:divId w:val="586428067"/>
        <w:rPr>
          <w:rFonts w:eastAsia="Times New Roman"/>
        </w:rPr>
      </w:pPr>
      <w:r>
        <w:rPr>
          <w:rFonts w:eastAsia="Times New Roman"/>
          <w:color w:val="000000"/>
          <w:sz w:val="18"/>
          <w:szCs w:val="18"/>
        </w:rPr>
        <w:t>(1)Calculated using the treasury stock method.</w:t>
      </w:r>
    </w:p>
    <w:p w:rsidR="00000000" w:rsidRDefault="00897B14">
      <w:pPr>
        <w:ind w:hanging="360"/>
        <w:divId w:val="1190532346"/>
        <w:rPr>
          <w:rFonts w:eastAsia="Times New Roman"/>
        </w:rPr>
      </w:pPr>
      <w:r>
        <w:rPr>
          <w:rFonts w:eastAsia="Times New Roman"/>
          <w:color w:val="000000"/>
          <w:sz w:val="18"/>
          <w:szCs w:val="18"/>
        </w:rPr>
        <w:t>(2)Due to net loss for the six months ended June 30, 2021 and three months ended June 30, 2020 approximately 3.9 million and 1.0 million share awards were excluded from the diluted EPS calculatio</w:t>
      </w:r>
      <w:r>
        <w:rPr>
          <w:rFonts w:eastAsia="Times New Roman"/>
          <w:color w:val="000000"/>
          <w:sz w:val="18"/>
          <w:szCs w:val="18"/>
        </w:rPr>
        <w:t>n.</w:t>
      </w:r>
    </w:p>
    <w:p w:rsidR="00000000" w:rsidRDefault="00897B14">
      <w:pPr>
        <w:divId w:val="1088384544"/>
        <w:rPr>
          <w:rFonts w:eastAsia="Times New Roman"/>
        </w:rPr>
      </w:pPr>
      <w:r>
        <w:rPr>
          <w:rFonts w:eastAsia="Times New Roman"/>
          <w:color w:val="000000"/>
          <w:sz w:val="20"/>
          <w:szCs w:val="20"/>
        </w:rPr>
        <w:t>For the three months and six months ended June 30, 2021 and 2020, 4.5 million, 8.6 million, 8.3 million and 8.0 million of outstanding stock awards, respectively, were not included in the computation of diluted earnings per share because their effect wa</w:t>
      </w:r>
      <w:r>
        <w:rPr>
          <w:rFonts w:eastAsia="Times New Roman"/>
          <w:color w:val="000000"/>
          <w:sz w:val="20"/>
          <w:szCs w:val="20"/>
        </w:rPr>
        <w:t>s anti-dilutive.</w:t>
      </w:r>
    </w:p>
    <w:p w:rsidR="00000000" w:rsidRDefault="00897B14">
      <w:pPr>
        <w:divId w:val="1883784957"/>
        <w:rPr>
          <w:rFonts w:eastAsia="Times New Roman"/>
        </w:rPr>
      </w:pPr>
    </w:p>
    <w:p w:rsidR="00000000" w:rsidRDefault="00897B14">
      <w:pPr>
        <w:divId w:val="1994944810"/>
        <w:rPr>
          <w:rFonts w:eastAsia="Times New Roman"/>
        </w:rPr>
      </w:pPr>
      <w:r>
        <w:rPr>
          <w:rFonts w:eastAsia="Times New Roman"/>
          <w:b/>
          <w:bCs/>
          <w:color w:val="000000"/>
          <w:sz w:val="20"/>
          <w:szCs w:val="20"/>
        </w:rPr>
        <w:t xml:space="preserve">15)     HELD-FOR-SALE: </w:t>
      </w:r>
    </w:p>
    <w:p w:rsidR="00000000" w:rsidRDefault="00897B14">
      <w:pPr>
        <w:divId w:val="125319333"/>
        <w:rPr>
          <w:rFonts w:eastAsia="Times New Roman"/>
        </w:rPr>
      </w:pPr>
      <w:r>
        <w:rPr>
          <w:rFonts w:eastAsia="Times New Roman"/>
          <w:color w:val="000000"/>
          <w:sz w:val="20"/>
          <w:szCs w:val="20"/>
        </w:rPr>
        <w:t>Assets and liabilities related to the business classified as HFS are separately reported in the Consolidated Balance Sheets beginning in the period in which the business is classified as HFS.</w:t>
      </w:r>
    </w:p>
    <w:p w:rsidR="00000000" w:rsidRDefault="00897B14">
      <w:pPr>
        <w:jc w:val="both"/>
        <w:divId w:val="572397587"/>
        <w:rPr>
          <w:rFonts w:eastAsia="Times New Roman"/>
        </w:rPr>
      </w:pPr>
      <w:r>
        <w:rPr>
          <w:rFonts w:eastAsia="Times New Roman"/>
          <w:b/>
          <w:bCs/>
          <w:i/>
          <w:iCs/>
          <w:color w:val="000000"/>
          <w:sz w:val="20"/>
          <w:szCs w:val="20"/>
          <w:shd w:val="clear" w:color="auto" w:fill="FFFFFF"/>
        </w:rPr>
        <w:t>Corporate Solutions L</w:t>
      </w:r>
      <w:r>
        <w:rPr>
          <w:rFonts w:eastAsia="Times New Roman"/>
          <w:b/>
          <w:bCs/>
          <w:i/>
          <w:iCs/>
          <w:color w:val="000000"/>
          <w:sz w:val="20"/>
          <w:szCs w:val="20"/>
          <w:shd w:val="clear" w:color="auto" w:fill="FFFFFF"/>
        </w:rPr>
        <w:t xml:space="preserve">ife Reinsurance Company </w:t>
      </w:r>
    </w:p>
    <w:p w:rsidR="00000000" w:rsidRDefault="00897B14">
      <w:pPr>
        <w:divId w:val="276304035"/>
        <w:rPr>
          <w:rFonts w:eastAsia="Times New Roman"/>
        </w:rPr>
      </w:pPr>
      <w:r>
        <w:rPr>
          <w:rFonts w:eastAsia="Times New Roman"/>
          <w:color w:val="000000"/>
          <w:sz w:val="20"/>
          <w:szCs w:val="20"/>
          <w:shd w:val="clear" w:color="auto" w:fill="FFFFFF"/>
        </w:rPr>
        <w:t>On</w:t>
      </w:r>
      <w:r>
        <w:rPr>
          <w:rFonts w:eastAsia="Times New Roman"/>
          <w:color w:val="000000"/>
          <w:sz w:val="20"/>
          <w:szCs w:val="20"/>
        </w:rPr>
        <w:t xml:space="preserve"> October 27, 2020, Holdings entered into a Master Transaction Agreement with VIAC. See note 1 of the financial statements for further information. As a resu</w:t>
      </w:r>
      <w:r>
        <w:rPr>
          <w:rFonts w:eastAsia="Times New Roman"/>
          <w:color w:val="000000"/>
          <w:sz w:val="20"/>
          <w:szCs w:val="20"/>
          <w:shd w:val="clear" w:color="auto" w:fill="FFFFFF"/>
        </w:rPr>
        <w:t xml:space="preserve">lt of the agreement, an estimated impairment loss of $15 million, net of </w:t>
      </w:r>
      <w:r>
        <w:rPr>
          <w:rFonts w:eastAsia="Times New Roman"/>
          <w:color w:val="000000"/>
          <w:sz w:val="20"/>
          <w:szCs w:val="20"/>
          <w:shd w:val="clear" w:color="auto" w:fill="FFFFFF"/>
        </w:rPr>
        <w:t>income tax, was recorded for the year ended December 31, 2020 and is included in investment gains (losses), net in the consolidated statements of income (los</w:t>
      </w:r>
      <w:r>
        <w:rPr>
          <w:rFonts w:eastAsia="Times New Roman"/>
          <w:color w:val="000000"/>
          <w:sz w:val="20"/>
          <w:szCs w:val="20"/>
        </w:rPr>
        <w:t>s). The transaction closed on June 1, 2021 with a gain on sale, net of income tax, of less than $1 </w:t>
      </w:r>
      <w:r>
        <w:rPr>
          <w:rFonts w:eastAsia="Times New Roman"/>
          <w:color w:val="000000"/>
          <w:sz w:val="20"/>
          <w:szCs w:val="20"/>
        </w:rPr>
        <w:t xml:space="preserve">million. Accordingly, the Company recovered the impairment previously recorded, thus reflecting a gain of </w:t>
      </w:r>
      <w:r>
        <w:rPr>
          <w:rFonts w:eastAsia="Times New Roman"/>
          <w:color w:val="000000"/>
          <w:sz w:val="20"/>
          <w:szCs w:val="20"/>
          <w:shd w:val="clear" w:color="auto" w:fill="FFFFFF"/>
        </w:rPr>
        <w:t xml:space="preserve">$15 million for the </w:t>
      </w:r>
      <w:r>
        <w:rPr>
          <w:rFonts w:eastAsia="Times New Roman"/>
          <w:color w:val="000000"/>
          <w:sz w:val="20"/>
          <w:szCs w:val="20"/>
        </w:rPr>
        <w:t>six months ended June 30, 2021.</w:t>
      </w:r>
    </w:p>
    <w:p w:rsidR="00000000" w:rsidRDefault="00897B14">
      <w:pPr>
        <w:divId w:val="1288849754"/>
        <w:rPr>
          <w:rFonts w:eastAsia="Times New Roman"/>
        </w:rPr>
      </w:pPr>
      <w:r>
        <w:rPr>
          <w:rFonts w:eastAsia="Times New Roman"/>
          <w:color w:val="000000"/>
          <w:sz w:val="20"/>
          <w:szCs w:val="20"/>
        </w:rPr>
        <w:t>As of December </w:t>
      </w:r>
      <w:r>
        <w:rPr>
          <w:rFonts w:eastAsia="Times New Roman"/>
          <w:color w:val="000000"/>
          <w:sz w:val="20"/>
          <w:szCs w:val="20"/>
        </w:rPr>
        <w:t xml:space="preserve">31, 2020, assets of CS Life and CS Life Re to be sold, net of the estimated impairment loss accrual, was $470 million which is reported in assets HFS and total liabilities of $322 million was reported in liabilities HFS. The assets and liabilities HFS are </w:t>
      </w:r>
      <w:r>
        <w:rPr>
          <w:rFonts w:eastAsia="Times New Roman"/>
          <w:color w:val="000000"/>
          <w:sz w:val="20"/>
          <w:szCs w:val="20"/>
        </w:rPr>
        <w:t>reported in the Corporate and Other segment.</w:t>
      </w:r>
    </w:p>
    <w:p w:rsidR="00000000" w:rsidRDefault="00897B14">
      <w:pPr>
        <w:divId w:val="632753634"/>
        <w:rPr>
          <w:rFonts w:eastAsia="Times New Roman"/>
        </w:rPr>
      </w:pPr>
      <w:r>
        <w:rPr>
          <w:rFonts w:eastAsia="Times New Roman"/>
          <w:color w:val="000000"/>
          <w:sz w:val="20"/>
          <w:szCs w:val="20"/>
        </w:rPr>
        <w:t>The following table summarizes the components of assets and liabilities HFS on the Consolidated Balance Sheets as of December 31, 2020:</w:t>
      </w:r>
    </w:p>
    <w:p w:rsidR="00000000" w:rsidRDefault="00897B14">
      <w:pPr>
        <w:divId w:val="289283636"/>
        <w:rPr>
          <w:rFonts w:eastAsia="Times New Roman"/>
        </w:rPr>
      </w:pPr>
    </w:p>
    <w:p w:rsidR="00000000" w:rsidRDefault="00897B14">
      <w:pPr>
        <w:jc w:val="center"/>
        <w:divId w:val="1097214297"/>
        <w:rPr>
          <w:rFonts w:eastAsia="Times New Roman"/>
        </w:rPr>
      </w:pPr>
      <w:r>
        <w:rPr>
          <w:rFonts w:eastAsia="Times New Roman"/>
          <w:color w:val="000000"/>
          <w:sz w:val="20"/>
          <w:szCs w:val="20"/>
        </w:rPr>
        <w:t>68</w:t>
      </w:r>
    </w:p>
    <w:p w:rsidR="00000000" w:rsidRDefault="00897B14">
      <w:pPr>
        <w:rPr>
          <w:rFonts w:eastAsia="Times New Roman"/>
        </w:rPr>
      </w:pPr>
      <w:r>
        <w:rPr>
          <w:rFonts w:eastAsia="Times New Roman"/>
        </w:rPr>
        <w:pict>
          <v:rect id="_x0000_i1094" style="width:0;height:1.5pt" o:hralign="center" o:hrstd="t" o:hr="t" fillcolor="#a0a0a0" stroked="f"/>
        </w:pict>
      </w:r>
    </w:p>
    <w:p w:rsidR="00000000" w:rsidRDefault="00897B14">
      <w:pPr>
        <w:divId w:val="369651209"/>
        <w:rPr>
          <w:rFonts w:eastAsia="Times New Roman"/>
        </w:rPr>
      </w:pPr>
      <w:r>
        <w:rPr>
          <w:rFonts w:eastAsia="Times New Roman"/>
          <w:b/>
          <w:bCs/>
          <w:color w:val="0000FF"/>
          <w:sz w:val="20"/>
          <w:szCs w:val="20"/>
          <w:u w:val="single"/>
        </w:rPr>
        <w:t>Table of Contents</w:t>
      </w:r>
    </w:p>
    <w:p w:rsidR="00000000" w:rsidRDefault="00897B14">
      <w:pPr>
        <w:jc w:val="center"/>
        <w:divId w:val="772171814"/>
        <w:rPr>
          <w:rFonts w:eastAsia="Times New Roman"/>
        </w:rPr>
      </w:pPr>
      <w:r>
        <w:rPr>
          <w:rFonts w:eastAsia="Times New Roman"/>
          <w:b/>
          <w:bCs/>
          <w:color w:val="000000"/>
          <w:sz w:val="20"/>
          <w:szCs w:val="20"/>
        </w:rPr>
        <w:t>EQUITABLE HOLDIN</w:t>
      </w:r>
      <w:r>
        <w:rPr>
          <w:rFonts w:eastAsia="Times New Roman"/>
          <w:b/>
          <w:bCs/>
          <w:color w:val="000000"/>
          <w:sz w:val="20"/>
          <w:szCs w:val="20"/>
        </w:rPr>
        <w:t>GS, INC.</w:t>
      </w:r>
    </w:p>
    <w:p w:rsidR="00000000" w:rsidRDefault="00897B14">
      <w:pPr>
        <w:jc w:val="center"/>
        <w:divId w:val="772171814"/>
        <w:rPr>
          <w:rFonts w:eastAsia="Times New Roman"/>
        </w:rPr>
      </w:pPr>
      <w:r>
        <w:rPr>
          <w:rFonts w:eastAsia="Times New Roman"/>
          <w:b/>
          <w:bCs/>
          <w:color w:val="000000"/>
          <w:sz w:val="20"/>
          <w:szCs w:val="20"/>
        </w:rPr>
        <w:t>Notes to Consolidated Financial Statements (Unaudited), Continued</w:t>
      </w:r>
    </w:p>
    <w:p w:rsidR="00000000" w:rsidRDefault="00897B14">
      <w:pPr>
        <w:divId w:val="1795981269"/>
        <w:rPr>
          <w:rFonts w:eastAsia="Times New Roman"/>
        </w:rPr>
      </w:pPr>
    </w:p>
    <w:tbl>
      <w:tblPr>
        <w:tblW w:w="4203" w:type="pct"/>
        <w:tblCellMar>
          <w:top w:w="15" w:type="dxa"/>
          <w:left w:w="15" w:type="dxa"/>
          <w:bottom w:w="15" w:type="dxa"/>
          <w:right w:w="15" w:type="dxa"/>
        </w:tblCellMar>
        <w:tblLook w:val="04A0" w:firstRow="1" w:lastRow="0" w:firstColumn="1" w:lastColumn="0" w:noHBand="0" w:noVBand="1"/>
      </w:tblPr>
      <w:tblGrid>
        <w:gridCol w:w="40"/>
        <w:gridCol w:w="5686"/>
        <w:gridCol w:w="38"/>
        <w:gridCol w:w="36"/>
        <w:gridCol w:w="36"/>
        <w:gridCol w:w="121"/>
        <w:gridCol w:w="881"/>
        <w:gridCol w:w="36"/>
        <w:gridCol w:w="36"/>
        <w:gridCol w:w="36"/>
        <w:gridCol w:w="36"/>
      </w:tblGrid>
      <w:tr w:rsidR="00000000">
        <w:trPr>
          <w:divId w:val="521940722"/>
        </w:trPr>
        <w:tc>
          <w:tcPr>
            <w:tcW w:w="50" w:type="pct"/>
            <w:vAlign w:val="center"/>
            <w:hideMark/>
          </w:tcPr>
          <w:p w:rsidR="00000000" w:rsidRDefault="00897B14">
            <w:pPr>
              <w:rPr>
                <w:rFonts w:eastAsia="Times New Roman"/>
              </w:rPr>
            </w:pPr>
          </w:p>
        </w:tc>
        <w:tc>
          <w:tcPr>
            <w:tcW w:w="42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7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Assets: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Fixed maturity securities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Trading securities, at fair value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invested assets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Cash and cash equivalents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assets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Assets held-for-sale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Less: Loss accrual</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assets held-for-sale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Height w:val="30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Liabilities: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Future policy benefits and other policyholder's liabilities: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Broker-dealer related payables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liabilities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52194072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liabilities held-for-sale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bl>
    <w:tbl>
      <w:tblPr>
        <w:tblW w:w="80" w:type="pct"/>
        <w:tblCellMar>
          <w:top w:w="15" w:type="dxa"/>
          <w:left w:w="15" w:type="dxa"/>
          <w:bottom w:w="15" w:type="dxa"/>
          <w:right w:w="15" w:type="dxa"/>
        </w:tblCellMar>
        <w:tblLook w:val="04A0" w:firstRow="1" w:lastRow="0" w:firstColumn="1" w:lastColumn="0" w:noHBand="0" w:noVBand="1"/>
      </w:tblPr>
      <w:tblGrid>
        <w:gridCol w:w="960"/>
        <w:gridCol w:w="1440"/>
        <w:gridCol w:w="1440"/>
        <w:gridCol w:w="480"/>
        <w:gridCol w:w="480"/>
        <w:gridCol w:w="480"/>
        <w:gridCol w:w="144"/>
        <w:gridCol w:w="144"/>
        <w:gridCol w:w="144"/>
      </w:tblGrid>
      <w:tr w:rsidR="00000000">
        <w:tc>
          <w:tcPr>
            <w:tcW w:w="0" w:type="auto"/>
            <w:vAlign w:val="center"/>
            <w:hideMark/>
          </w:tcPr>
          <w:p w:rsidR="00000000" w:rsidRDefault="00897B14">
            <w:pP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4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941066645"/>
        <w:rPr>
          <w:rFonts w:eastAsia="Times New Roman"/>
        </w:rPr>
      </w:pPr>
      <w:r>
        <w:rPr>
          <w:rFonts w:eastAsia="Times New Roman"/>
          <w:b/>
          <w:bCs/>
          <w:color w:val="000000"/>
          <w:sz w:val="20"/>
          <w:szCs w:val="20"/>
        </w:rPr>
        <w:t>16)    </w:t>
      </w:r>
      <w:r>
        <w:rPr>
          <w:rFonts w:eastAsia="Times New Roman"/>
          <w:b/>
          <w:bCs/>
          <w:color w:val="000000"/>
          <w:sz w:val="20"/>
          <w:szCs w:val="20"/>
        </w:rPr>
        <w:t>REVISION OF PRIOR PERIOD FINANCIAL STATEMENTS</w:t>
      </w:r>
    </w:p>
    <w:p w:rsidR="00000000" w:rsidRDefault="00897B14">
      <w:pPr>
        <w:divId w:val="246156236"/>
        <w:rPr>
          <w:rFonts w:eastAsia="Times New Roman"/>
        </w:rPr>
      </w:pPr>
      <w:r>
        <w:rPr>
          <w:rFonts w:eastAsia="Times New Roman"/>
          <w:color w:val="000000"/>
          <w:sz w:val="20"/>
          <w:szCs w:val="20"/>
        </w:rPr>
        <w:t xml:space="preserve">The Company identified certain errors primarily related to the calculation of actuarially determined insurance contract assets and liabilities that impacted previously issued consolidated financial statements. </w:t>
      </w:r>
      <w:r>
        <w:rPr>
          <w:rFonts w:eastAsia="Times New Roman"/>
          <w:color w:val="000000"/>
          <w:sz w:val="20"/>
          <w:szCs w:val="20"/>
        </w:rPr>
        <w:t>Management evaluated these adjustments and concluded they were not material to any previously reported quarterly or annual financial statements. In order to improve the consistency and comparability of the financial statements, management revised the finan</w:t>
      </w:r>
      <w:r>
        <w:rPr>
          <w:rFonts w:eastAsia="Times New Roman"/>
          <w:color w:val="000000"/>
          <w:sz w:val="20"/>
          <w:szCs w:val="20"/>
        </w:rPr>
        <w:t>cial statements and related disclosures to correct these errors as shown below.</w:t>
      </w:r>
    </w:p>
    <w:p w:rsidR="00000000" w:rsidRDefault="00897B14">
      <w:pPr>
        <w:divId w:val="782260763"/>
        <w:rPr>
          <w:rFonts w:eastAsia="Times New Roman"/>
        </w:rPr>
      </w:pPr>
      <w:r>
        <w:rPr>
          <w:rFonts w:eastAsia="Times New Roman"/>
          <w:color w:val="000000"/>
          <w:sz w:val="20"/>
          <w:szCs w:val="20"/>
        </w:rPr>
        <w:t>Management assessed the materiality of this change within prior period financial statements based upon SEC Staff Accounting Bulletin Number 99, Materiality, which is since codi</w:t>
      </w:r>
      <w:r>
        <w:rPr>
          <w:rFonts w:eastAsia="Times New Roman"/>
          <w:color w:val="000000"/>
          <w:sz w:val="20"/>
          <w:szCs w:val="20"/>
        </w:rPr>
        <w:t>fied in ASC 250, Accounting Changes and Error Corrections. The prior period comparative financial statements that are presented herein have been revised.</w:t>
      </w:r>
    </w:p>
    <w:p w:rsidR="00000000" w:rsidRDefault="00897B14">
      <w:pPr>
        <w:divId w:val="1869250385"/>
        <w:rPr>
          <w:rFonts w:eastAsia="Times New Roman"/>
        </w:rPr>
      </w:pPr>
      <w:r>
        <w:rPr>
          <w:rFonts w:eastAsia="Times New Roman"/>
          <w:color w:val="000000"/>
          <w:sz w:val="20"/>
          <w:szCs w:val="20"/>
        </w:rPr>
        <w:t xml:space="preserve">The following tables present line items for prior period financial statements that have been affected </w:t>
      </w:r>
      <w:r>
        <w:rPr>
          <w:rFonts w:eastAsia="Times New Roman"/>
          <w:color w:val="000000"/>
          <w:sz w:val="20"/>
          <w:szCs w:val="20"/>
        </w:rPr>
        <w:t>by the revision. For these line items, the tables detail the amounts as previously reported, the impact upon those line items due to the revision, and the amounts as currently revised within the financial statements.</w:t>
      </w:r>
    </w:p>
    <w:p w:rsidR="00000000" w:rsidRDefault="00897B14">
      <w:pPr>
        <w:divId w:val="1707561809"/>
        <w:rPr>
          <w:rFonts w:eastAsia="Times New Roman"/>
        </w:rPr>
      </w:pPr>
    </w:p>
    <w:p w:rsidR="00000000" w:rsidRDefault="00897B14">
      <w:pPr>
        <w:jc w:val="center"/>
        <w:divId w:val="1643922375"/>
        <w:rPr>
          <w:rFonts w:eastAsia="Times New Roman"/>
        </w:rPr>
      </w:pPr>
      <w:r>
        <w:rPr>
          <w:rFonts w:eastAsia="Times New Roman"/>
          <w:color w:val="000000"/>
          <w:sz w:val="20"/>
          <w:szCs w:val="20"/>
        </w:rPr>
        <w:t>69</w:t>
      </w:r>
    </w:p>
    <w:p w:rsidR="00000000" w:rsidRDefault="00897B14">
      <w:pPr>
        <w:rPr>
          <w:rFonts w:eastAsia="Times New Roman"/>
        </w:rPr>
      </w:pPr>
      <w:r>
        <w:rPr>
          <w:rFonts w:eastAsia="Times New Roman"/>
        </w:rPr>
        <w:pict>
          <v:rect id="_x0000_i1095" style="width:0;height:1.5pt" o:hralign="center" o:hrstd="t" o:hr="t" fillcolor="#a0a0a0" stroked="f"/>
        </w:pict>
      </w:r>
    </w:p>
    <w:p w:rsidR="00000000" w:rsidRDefault="00897B14">
      <w:pPr>
        <w:jc w:val="center"/>
        <w:divId w:val="1491824924"/>
        <w:rPr>
          <w:rFonts w:eastAsia="Times New Roman"/>
        </w:rPr>
      </w:pPr>
      <w:r>
        <w:rPr>
          <w:rFonts w:eastAsia="Times New Roman"/>
          <w:b/>
          <w:bCs/>
          <w:color w:val="000000"/>
          <w:sz w:val="20"/>
          <w:szCs w:val="20"/>
        </w:rPr>
        <w:t>EQUITABLE HOLDINGS, INC.</w:t>
      </w:r>
    </w:p>
    <w:p w:rsidR="00000000" w:rsidRDefault="00897B14">
      <w:pPr>
        <w:jc w:val="center"/>
        <w:divId w:val="1491824924"/>
        <w:rPr>
          <w:rFonts w:eastAsia="Times New Roman"/>
        </w:rPr>
      </w:pPr>
      <w:r>
        <w:rPr>
          <w:rFonts w:eastAsia="Times New Roman"/>
          <w:b/>
          <w:bCs/>
          <w:color w:val="000000"/>
          <w:sz w:val="20"/>
          <w:szCs w:val="20"/>
        </w:rPr>
        <w:t>NOTES TO CONSOLIDATED FINANCIAL STATEMENTS</w:t>
      </w:r>
    </w:p>
    <w:tbl>
      <w:tblPr>
        <w:tblW w:w="3494" w:type="pct"/>
        <w:tblCellMar>
          <w:top w:w="15" w:type="dxa"/>
          <w:left w:w="15" w:type="dxa"/>
          <w:bottom w:w="15" w:type="dxa"/>
          <w:right w:w="15" w:type="dxa"/>
        </w:tblCellMar>
        <w:tblLook w:val="04A0" w:firstRow="1" w:lastRow="0" w:firstColumn="1" w:lastColumn="0" w:noHBand="0" w:noVBand="1"/>
      </w:tblPr>
      <w:tblGrid>
        <w:gridCol w:w="39"/>
        <w:gridCol w:w="2013"/>
        <w:gridCol w:w="38"/>
        <w:gridCol w:w="36"/>
        <w:gridCol w:w="36"/>
        <w:gridCol w:w="74"/>
        <w:gridCol w:w="74"/>
        <w:gridCol w:w="74"/>
        <w:gridCol w:w="74"/>
        <w:gridCol w:w="74"/>
        <w:gridCol w:w="36"/>
        <w:gridCol w:w="36"/>
        <w:gridCol w:w="36"/>
        <w:gridCol w:w="36"/>
        <w:gridCol w:w="36"/>
        <w:gridCol w:w="36"/>
        <w:gridCol w:w="36"/>
        <w:gridCol w:w="36"/>
        <w:gridCol w:w="36"/>
        <w:gridCol w:w="101"/>
        <w:gridCol w:w="698"/>
        <w:gridCol w:w="36"/>
        <w:gridCol w:w="36"/>
        <w:gridCol w:w="36"/>
        <w:gridCol w:w="36"/>
        <w:gridCol w:w="36"/>
        <w:gridCol w:w="36"/>
        <w:gridCol w:w="36"/>
        <w:gridCol w:w="36"/>
        <w:gridCol w:w="36"/>
        <w:gridCol w:w="36"/>
        <w:gridCol w:w="36"/>
        <w:gridCol w:w="36"/>
        <w:gridCol w:w="36"/>
        <w:gridCol w:w="36"/>
        <w:gridCol w:w="36"/>
        <w:gridCol w:w="36"/>
        <w:gridCol w:w="101"/>
        <w:gridCol w:w="632"/>
        <w:gridCol w:w="36"/>
        <w:gridCol w:w="36"/>
        <w:gridCol w:w="36"/>
        <w:gridCol w:w="36"/>
        <w:gridCol w:w="100"/>
        <w:gridCol w:w="560"/>
        <w:gridCol w:w="36"/>
      </w:tblGrid>
      <w:tr w:rsidR="00000000">
        <w:trPr>
          <w:divId w:val="693921881"/>
        </w:trPr>
        <w:tc>
          <w:tcPr>
            <w:tcW w:w="50" w:type="pct"/>
            <w:vAlign w:val="center"/>
            <w:hideMark/>
          </w:tcPr>
          <w:p w:rsidR="00000000" w:rsidRDefault="00897B14">
            <w:pPr>
              <w:jc w:val="center"/>
              <w:rPr>
                <w:rFonts w:eastAsia="Times New Roman"/>
              </w:rPr>
            </w:pPr>
          </w:p>
        </w:tc>
        <w:tc>
          <w:tcPr>
            <w:tcW w:w="28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r>
      <w:tr w:rsidR="00000000">
        <w:trPr>
          <w:divId w:val="69392188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Consolidated Balance Sheet:</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Assets: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6"/>
                <w:szCs w:val="16"/>
              </w:rPr>
              <w:t>Deferred policy acquisition costs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4,182 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4,090 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Total Assets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254,110 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254,018 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Liabilities: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6"/>
                <w:szCs w:val="16"/>
              </w:rPr>
              <w:t>Future policy benefits and other policyholders’ liabilities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41,476 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41,506 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6"/>
                <w:szCs w:val="16"/>
              </w:rPr>
              <w:t>Current and deferred income taxes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Total Liabilities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234,889 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234,893 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EQUITY</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6"/>
                <w:szCs w:val="16"/>
              </w:rPr>
              <w:t>Retained earnings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12,995 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12,899 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Total equity attributable to Holdings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17,594 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17,498 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Total Equity</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19,134 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19,038 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93921881"/>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Total Liabilities, Redeemable Noncontrolling Interest and Equity</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254,110 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254,018 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93921881"/>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rPr>
          <w:rFonts w:eastAsia="Times New Roman"/>
        </w:rPr>
      </w:pPr>
    </w:p>
    <w:p w:rsidR="00000000" w:rsidRDefault="00897B14">
      <w:pPr>
        <w:divId w:val="111367024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753"/>
        <w:gridCol w:w="37"/>
        <w:gridCol w:w="101"/>
        <w:gridCol w:w="671"/>
        <w:gridCol w:w="37"/>
        <w:gridCol w:w="36"/>
        <w:gridCol w:w="36"/>
        <w:gridCol w:w="36"/>
        <w:gridCol w:w="36"/>
        <w:gridCol w:w="36"/>
        <w:gridCol w:w="36"/>
        <w:gridCol w:w="46"/>
        <w:gridCol w:w="101"/>
        <w:gridCol w:w="608"/>
        <w:gridCol w:w="36"/>
        <w:gridCol w:w="36"/>
        <w:gridCol w:w="36"/>
        <w:gridCol w:w="36"/>
        <w:gridCol w:w="100"/>
        <w:gridCol w:w="467"/>
        <w:gridCol w:w="36"/>
        <w:gridCol w:w="36"/>
        <w:gridCol w:w="36"/>
        <w:gridCol w:w="36"/>
        <w:gridCol w:w="101"/>
        <w:gridCol w:w="670"/>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06"/>
        <w:gridCol w:w="36"/>
      </w:tblGrid>
      <w:tr w:rsidR="00000000">
        <w:trPr>
          <w:divId w:val="264046197"/>
        </w:trPr>
        <w:tc>
          <w:tcPr>
            <w:tcW w:w="50" w:type="pct"/>
            <w:vAlign w:val="center"/>
            <w:hideMark/>
          </w:tcPr>
          <w:p w:rsidR="00000000" w:rsidRDefault="00897B14">
            <w:pPr>
              <w:rPr>
                <w:rFonts w:eastAsia="Times New Roman"/>
              </w:rPr>
            </w:pPr>
          </w:p>
        </w:tc>
        <w:tc>
          <w:tcPr>
            <w:tcW w:w="196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 2020</w:t>
            </w:r>
          </w:p>
        </w:tc>
        <w:tc>
          <w:tcPr>
            <w:tcW w:w="0" w:type="auto"/>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 2020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r>
      <w:tr w:rsidR="00000000">
        <w:trPr>
          <w:divId w:val="26404619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Consolidated Statements of Income (Loss)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Policy charges and fee income</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879 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877 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1,870 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1,873 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(6,033)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w:t>
            </w:r>
            <w:r>
              <w:rPr>
                <w:rFonts w:eastAsia="Times New Roman"/>
                <w:color w:val="000000"/>
                <w:sz w:val="16"/>
                <w:szCs w:val="16"/>
              </w:rPr>
              <w:t>6,038)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3,368 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3,362 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1,035 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1,651 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1,651 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Other Income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280 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279 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Total revenues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(2,530)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(2,550)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10,063 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10,059 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Height w:val="6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Policyholders' benefits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746 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736 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3,534 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3,512 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162 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1,431 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1,465 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Other operating costs and expenses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871 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872 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Total benefits and other deductions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2,489 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2,458 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8,195 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8,208 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Income (loss) from continuing operations, before income taxes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(5,019)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(5,008)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1,868 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1,851 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1,077 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1,075 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(363)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(359)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(3,942)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(3,933)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1,505 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1,492 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Net income (loss) attributable to Holdings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(4,028)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(4,019)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1,382 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Height w:val="24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EARNINGS PER COMMON SHARE</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64046197"/>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Basic</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(8.96)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0.02 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(8.94)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2.98 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(0.03)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6404619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Diluted</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(8.96)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0.02 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(8.94)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2.97 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(0.03)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2.94 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958026752"/>
        <w:rPr>
          <w:rFonts w:eastAsia="Times New Roman"/>
        </w:rPr>
      </w:pPr>
    </w:p>
    <w:p w:rsidR="00000000" w:rsidRDefault="00897B14">
      <w:pPr>
        <w:divId w:val="824124770"/>
        <w:rPr>
          <w:rFonts w:eastAsia="Times New Roman"/>
        </w:rPr>
      </w:pPr>
    </w:p>
    <w:p w:rsidR="00000000" w:rsidRDefault="00897B14">
      <w:pPr>
        <w:jc w:val="center"/>
        <w:divId w:val="566770099"/>
        <w:rPr>
          <w:rFonts w:eastAsia="Times New Roman"/>
        </w:rPr>
      </w:pPr>
      <w:r>
        <w:rPr>
          <w:rFonts w:eastAsia="Times New Roman"/>
          <w:color w:val="000000"/>
          <w:sz w:val="20"/>
          <w:szCs w:val="20"/>
        </w:rPr>
        <w:t>70</w:t>
      </w:r>
    </w:p>
    <w:p w:rsidR="00000000" w:rsidRDefault="00897B14">
      <w:pPr>
        <w:rPr>
          <w:rFonts w:eastAsia="Times New Roman"/>
        </w:rPr>
      </w:pPr>
      <w:r>
        <w:rPr>
          <w:rFonts w:eastAsia="Times New Roman"/>
        </w:rPr>
        <w:pict>
          <v:rect id="_x0000_i1096" style="width:0;height:1.5pt" o:hralign="center" o:hrstd="t" o:hr="t" fillcolor="#a0a0a0" stroked="f"/>
        </w:pict>
      </w:r>
    </w:p>
    <w:p w:rsidR="00000000" w:rsidRDefault="00897B14">
      <w:pPr>
        <w:jc w:val="center"/>
        <w:divId w:val="1628121403"/>
        <w:rPr>
          <w:rFonts w:eastAsia="Times New Roman"/>
        </w:rPr>
      </w:pPr>
      <w:r>
        <w:rPr>
          <w:rFonts w:eastAsia="Times New Roman"/>
          <w:b/>
          <w:bCs/>
          <w:color w:val="000000"/>
          <w:sz w:val="20"/>
          <w:szCs w:val="20"/>
        </w:rPr>
        <w:t>EQUITABLE HOLDINGS, INC.</w:t>
      </w:r>
    </w:p>
    <w:p w:rsidR="00000000" w:rsidRDefault="00897B14">
      <w:pPr>
        <w:jc w:val="center"/>
        <w:divId w:val="1628121403"/>
        <w:rPr>
          <w:rFonts w:eastAsia="Times New Roman"/>
        </w:rPr>
      </w:pPr>
      <w:r>
        <w:rPr>
          <w:rFonts w:eastAsia="Times New Roman"/>
          <w:b/>
          <w:bCs/>
          <w:color w:val="000000"/>
          <w:sz w:val="20"/>
          <w:szCs w:val="20"/>
        </w:rPr>
        <w:t>NOTES TO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2756"/>
        <w:gridCol w:w="37"/>
        <w:gridCol w:w="101"/>
        <w:gridCol w:w="671"/>
        <w:gridCol w:w="37"/>
        <w:gridCol w:w="36"/>
        <w:gridCol w:w="36"/>
        <w:gridCol w:w="36"/>
        <w:gridCol w:w="36"/>
        <w:gridCol w:w="36"/>
        <w:gridCol w:w="36"/>
        <w:gridCol w:w="46"/>
        <w:gridCol w:w="101"/>
        <w:gridCol w:w="608"/>
        <w:gridCol w:w="36"/>
        <w:gridCol w:w="36"/>
        <w:gridCol w:w="36"/>
        <w:gridCol w:w="36"/>
        <w:gridCol w:w="100"/>
        <w:gridCol w:w="467"/>
        <w:gridCol w:w="36"/>
        <w:gridCol w:w="36"/>
        <w:gridCol w:w="36"/>
        <w:gridCol w:w="36"/>
        <w:gridCol w:w="101"/>
        <w:gridCol w:w="666"/>
        <w:gridCol w:w="37"/>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1"/>
        <w:gridCol w:w="506"/>
        <w:gridCol w:w="36"/>
      </w:tblGrid>
      <w:tr w:rsidR="00000000">
        <w:trPr>
          <w:divId w:val="1717268300"/>
        </w:trPr>
        <w:tc>
          <w:tcPr>
            <w:tcW w:w="50" w:type="pct"/>
            <w:vAlign w:val="center"/>
            <w:hideMark/>
          </w:tcPr>
          <w:p w:rsidR="00000000" w:rsidRDefault="00897B14">
            <w:pPr>
              <w:jc w:val="center"/>
              <w:rPr>
                <w:rFonts w:eastAsia="Times New Roman"/>
              </w:rPr>
            </w:pPr>
          </w:p>
        </w:tc>
        <w:tc>
          <w:tcPr>
            <w:tcW w:w="196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71726830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 2020</w:t>
            </w:r>
          </w:p>
        </w:tc>
        <w:tc>
          <w:tcPr>
            <w:tcW w:w="0" w:type="auto"/>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 2020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1726830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r>
      <w:tr w:rsidR="00000000">
        <w:trPr>
          <w:divId w:val="171726830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1726830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Consolidated Statements of Comprehensive Income (Loss)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717268300"/>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(3,942)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(3,933)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1,505 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1,492 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1726830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1726830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Change in unrealized gains (losses), net of reclassification adjustment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1,614 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1,614 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3,048 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3,044 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1726830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17268300"/>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Other comprehensive income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1,642 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1,642 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3,083 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3,079 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17268300"/>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(2,300)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w:t>
            </w:r>
            <w:r>
              <w:rPr>
                <w:rFonts w:eastAsia="Times New Roman"/>
                <w:color w:val="000000"/>
                <w:sz w:val="16"/>
                <w:szCs w:val="16"/>
              </w:rPr>
              <w:t>2,291)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4,588 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4,571 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71726830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17268300"/>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Comprehensive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(2,389)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(2,380)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4,470 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4,453 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488592612"/>
        <w:rPr>
          <w:rFonts w:eastAsia="Times New Roman"/>
        </w:rPr>
      </w:pPr>
    </w:p>
    <w:p w:rsidR="00000000" w:rsidRDefault="00897B14">
      <w:pPr>
        <w:divId w:val="765659814"/>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7"/>
        <w:gridCol w:w="2706"/>
        <w:gridCol w:w="36"/>
        <w:gridCol w:w="101"/>
        <w:gridCol w:w="672"/>
        <w:gridCol w:w="37"/>
        <w:gridCol w:w="36"/>
        <w:gridCol w:w="36"/>
        <w:gridCol w:w="36"/>
        <w:gridCol w:w="36"/>
        <w:gridCol w:w="36"/>
        <w:gridCol w:w="36"/>
        <w:gridCol w:w="46"/>
        <w:gridCol w:w="101"/>
        <w:gridCol w:w="608"/>
        <w:gridCol w:w="36"/>
        <w:gridCol w:w="36"/>
        <w:gridCol w:w="36"/>
        <w:gridCol w:w="36"/>
        <w:gridCol w:w="100"/>
        <w:gridCol w:w="480"/>
        <w:gridCol w:w="36"/>
        <w:gridCol w:w="36"/>
        <w:gridCol w:w="36"/>
        <w:gridCol w:w="36"/>
        <w:gridCol w:w="101"/>
        <w:gridCol w:w="671"/>
        <w:gridCol w:w="36"/>
        <w:gridCol w:w="36"/>
        <w:gridCol w:w="36"/>
        <w:gridCol w:w="36"/>
        <w:gridCol w:w="36"/>
        <w:gridCol w:w="36"/>
        <w:gridCol w:w="36"/>
        <w:gridCol w:w="36"/>
        <w:gridCol w:w="36"/>
        <w:gridCol w:w="36"/>
        <w:gridCol w:w="36"/>
        <w:gridCol w:w="36"/>
        <w:gridCol w:w="36"/>
        <w:gridCol w:w="36"/>
        <w:gridCol w:w="36"/>
        <w:gridCol w:w="36"/>
        <w:gridCol w:w="101"/>
        <w:gridCol w:w="608"/>
        <w:gridCol w:w="36"/>
        <w:gridCol w:w="36"/>
        <w:gridCol w:w="36"/>
        <w:gridCol w:w="36"/>
        <w:gridCol w:w="100"/>
        <w:gridCol w:w="480"/>
        <w:gridCol w:w="36"/>
      </w:tblGrid>
      <w:tr w:rsidR="00000000">
        <w:trPr>
          <w:divId w:val="1878544360"/>
        </w:trPr>
        <w:tc>
          <w:tcPr>
            <w:tcW w:w="50" w:type="pct"/>
            <w:vAlign w:val="center"/>
            <w:hideMark/>
          </w:tcPr>
          <w:p w:rsidR="00000000" w:rsidRDefault="00897B14">
            <w:pPr>
              <w:rPr>
                <w:rFonts w:eastAsia="Times New Roman"/>
              </w:rPr>
            </w:pPr>
          </w:p>
        </w:tc>
        <w:tc>
          <w:tcPr>
            <w:tcW w:w="190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1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 2020</w:t>
            </w:r>
          </w:p>
        </w:tc>
        <w:tc>
          <w:tcPr>
            <w:tcW w:w="0" w:type="auto"/>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8"/>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 2020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r>
      <w:tr w:rsidR="00000000">
        <w:trPr>
          <w:divId w:val="187854436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8"/>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Consolidated Statement of Equity:</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Retained earnings, beginning of year</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17,112 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17,007 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11,827 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11,744 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7854436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(4,028)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w:t>
            </w:r>
            <w:r>
              <w:rPr>
                <w:rFonts w:eastAsia="Times New Roman"/>
                <w:color w:val="000000"/>
                <w:sz w:val="16"/>
                <w:szCs w:val="16"/>
              </w:rPr>
              <w:t>4,019)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1,382 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7854436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Retained earnings, end of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12,995 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12,899 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12,995 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12,899 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7854436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Total Holdings’ equity, end of period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17,594 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17,498 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17,594 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17,498 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878544360"/>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878544360"/>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Total equity, end of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19,134 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19,038 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19,134 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19,038 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505511065"/>
        <w:rPr>
          <w:rFonts w:eastAsia="Times New Roman"/>
        </w:rPr>
      </w:pPr>
    </w:p>
    <w:p w:rsidR="00000000" w:rsidRDefault="00897B14">
      <w:pPr>
        <w:divId w:val="942617338"/>
        <w:rPr>
          <w:rFonts w:eastAsia="Times New Roman"/>
        </w:rPr>
      </w:pPr>
    </w:p>
    <w:tbl>
      <w:tblPr>
        <w:tblW w:w="3494" w:type="pct"/>
        <w:tblCellMar>
          <w:top w:w="15" w:type="dxa"/>
          <w:left w:w="15" w:type="dxa"/>
          <w:bottom w:w="15" w:type="dxa"/>
          <w:right w:w="15" w:type="dxa"/>
        </w:tblCellMar>
        <w:tblLook w:val="04A0" w:firstRow="1" w:lastRow="0" w:firstColumn="1" w:lastColumn="0" w:noHBand="0" w:noVBand="1"/>
      </w:tblPr>
      <w:tblGrid>
        <w:gridCol w:w="38"/>
        <w:gridCol w:w="2047"/>
        <w:gridCol w:w="37"/>
        <w:gridCol w:w="36"/>
        <w:gridCol w:w="36"/>
        <w:gridCol w:w="74"/>
        <w:gridCol w:w="74"/>
        <w:gridCol w:w="74"/>
        <w:gridCol w:w="74"/>
        <w:gridCol w:w="74"/>
        <w:gridCol w:w="36"/>
        <w:gridCol w:w="36"/>
        <w:gridCol w:w="36"/>
        <w:gridCol w:w="36"/>
        <w:gridCol w:w="36"/>
        <w:gridCol w:w="36"/>
        <w:gridCol w:w="36"/>
        <w:gridCol w:w="36"/>
        <w:gridCol w:w="36"/>
        <w:gridCol w:w="101"/>
        <w:gridCol w:w="698"/>
        <w:gridCol w:w="36"/>
        <w:gridCol w:w="36"/>
        <w:gridCol w:w="36"/>
        <w:gridCol w:w="36"/>
        <w:gridCol w:w="36"/>
        <w:gridCol w:w="36"/>
        <w:gridCol w:w="36"/>
        <w:gridCol w:w="36"/>
        <w:gridCol w:w="36"/>
        <w:gridCol w:w="36"/>
        <w:gridCol w:w="36"/>
        <w:gridCol w:w="36"/>
        <w:gridCol w:w="36"/>
        <w:gridCol w:w="36"/>
        <w:gridCol w:w="36"/>
        <w:gridCol w:w="36"/>
        <w:gridCol w:w="101"/>
        <w:gridCol w:w="632"/>
        <w:gridCol w:w="36"/>
        <w:gridCol w:w="36"/>
        <w:gridCol w:w="36"/>
        <w:gridCol w:w="36"/>
        <w:gridCol w:w="101"/>
        <w:gridCol w:w="527"/>
        <w:gridCol w:w="36"/>
      </w:tblGrid>
      <w:tr w:rsidR="00000000">
        <w:trPr>
          <w:divId w:val="1267039283"/>
        </w:trPr>
        <w:tc>
          <w:tcPr>
            <w:tcW w:w="50" w:type="pct"/>
            <w:vAlign w:val="center"/>
            <w:hideMark/>
          </w:tcPr>
          <w:p w:rsidR="00000000" w:rsidRDefault="00897B14">
            <w:pPr>
              <w:rPr>
                <w:rFonts w:eastAsia="Times New Roman"/>
              </w:rPr>
            </w:pPr>
          </w:p>
        </w:tc>
        <w:tc>
          <w:tcPr>
            <w:tcW w:w="283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 of Revisions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As Revised</w:t>
            </w:r>
          </w:p>
        </w:tc>
      </w:tr>
      <w:tr w:rsidR="00000000">
        <w:trPr>
          <w:divId w:val="1267039283"/>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Consolidated Statement of Cash Flows: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Cash flows from operating activities: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16"/>
                <w:szCs w:val="16"/>
              </w:rPr>
              <w:t>Net income (loss)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1,505 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1,492 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16"/>
                <w:szCs w:val="16"/>
              </w:rPr>
              <w:t>Adjustments to reconcile Net income (loss) to Net cash provided by (used in) operating activities: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16"/>
                <w:szCs w:val="16"/>
              </w:rPr>
              <w:t>Policy charges and fee income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(1,870)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(1,873)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16"/>
                <w:szCs w:val="16"/>
              </w:rPr>
              <w:t>Net derivative (gains) losses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(3,368)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(3,362)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16"/>
                <w:szCs w:val="16"/>
              </w:rPr>
              <w:t>Amortization and depreciation</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1,506 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1,540 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16"/>
                <w:szCs w:val="16"/>
              </w:rPr>
              <w:t>Changes in:</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16"/>
                <w:szCs w:val="16"/>
              </w:rPr>
              <w:t>Future policy benefits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1,807 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16"/>
                <w:szCs w:val="16"/>
              </w:rPr>
              <w:t>Current and deferred income taxes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482 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478 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16"/>
                <w:szCs w:val="16"/>
              </w:rPr>
              <w:t>Other, net</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(329)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(328)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Net cash provided by (used in) operating activities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(548)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(548)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16"/>
                <w:szCs w:val="16"/>
              </w:rPr>
              <w:t>Cash and cash equivalents, end of period</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8,364 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16"/>
                <w:szCs w:val="16"/>
              </w:rPr>
              <w:t>8,364 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7039283"/>
        </w:trPr>
        <w:tc>
          <w:tcPr>
            <w:tcW w:w="0" w:type="auto"/>
            <w:gridSpan w:val="3"/>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267039283"/>
        </w:trPr>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rPr>
          <w:rFonts w:eastAsia="Times New Roman"/>
        </w:rPr>
      </w:pPr>
    </w:p>
    <w:p w:rsidR="00000000" w:rsidRDefault="00897B14">
      <w:pPr>
        <w:divId w:val="1421566498"/>
        <w:rPr>
          <w:rFonts w:eastAsia="Times New Roman"/>
        </w:rPr>
      </w:pPr>
      <w:r>
        <w:rPr>
          <w:rFonts w:eastAsia="Times New Roman"/>
          <w:b/>
          <w:bCs/>
          <w:color w:val="000000"/>
          <w:sz w:val="20"/>
          <w:szCs w:val="20"/>
        </w:rPr>
        <w:t>17)     SUBSEQUENT EVENTS</w:t>
      </w:r>
    </w:p>
    <w:p w:rsidR="00000000" w:rsidRDefault="00897B14">
      <w:pPr>
        <w:divId w:val="1687900954"/>
        <w:rPr>
          <w:rFonts w:eastAsia="Times New Roman"/>
        </w:rPr>
      </w:pPr>
      <w:r>
        <w:rPr>
          <w:rFonts w:eastAsia="Times New Roman"/>
          <w:b/>
          <w:bCs/>
          <w:color w:val="000000"/>
          <w:sz w:val="20"/>
          <w:szCs w:val="20"/>
        </w:rPr>
        <w:t>Funding Agreement-Backed Notes</w:t>
      </w:r>
    </w:p>
    <w:p w:rsidR="00000000" w:rsidRDefault="00897B14">
      <w:pPr>
        <w:divId w:val="789788744"/>
        <w:rPr>
          <w:rFonts w:eastAsia="Times New Roman"/>
        </w:rPr>
      </w:pPr>
      <w:r>
        <w:rPr>
          <w:rFonts w:eastAsia="Times New Roman"/>
          <w:color w:val="000000"/>
          <w:sz w:val="20"/>
          <w:szCs w:val="20"/>
        </w:rPr>
        <w:t>On July 12, 2021, Equitable Financial completed</w:t>
      </w:r>
      <w:r>
        <w:rPr>
          <w:rFonts w:eastAsia="Times New Roman"/>
          <w:color w:val="000000"/>
          <w:sz w:val="20"/>
          <w:szCs w:val="20"/>
        </w:rPr>
        <w:t xml:space="preserve"> its inaugural $500 million sustainable financing issuance. Pursuant to the FABN program discussed in Note 12, the issuance was offered in the form of funding agreement backed notes through Equitable Financial Life Global Funding, having a fixed interest r</w:t>
      </w:r>
      <w:r>
        <w:rPr>
          <w:rFonts w:eastAsia="Times New Roman"/>
          <w:color w:val="000000"/>
          <w:sz w:val="20"/>
          <w:szCs w:val="20"/>
        </w:rPr>
        <w:t>ate of 1.30% per annum and maturing in July 2026.</w:t>
      </w:r>
    </w:p>
    <w:p w:rsidR="00000000" w:rsidRDefault="00897B14">
      <w:pPr>
        <w:jc w:val="center"/>
        <w:divId w:val="761493572"/>
        <w:rPr>
          <w:rFonts w:eastAsia="Times New Roman"/>
        </w:rPr>
      </w:pPr>
      <w:r>
        <w:rPr>
          <w:rFonts w:eastAsia="Times New Roman"/>
          <w:color w:val="000000"/>
          <w:sz w:val="20"/>
          <w:szCs w:val="20"/>
        </w:rPr>
        <w:t>71</w:t>
      </w:r>
    </w:p>
    <w:p w:rsidR="00000000" w:rsidRDefault="00897B14">
      <w:pPr>
        <w:rPr>
          <w:rFonts w:eastAsia="Times New Roman"/>
        </w:rPr>
      </w:pPr>
      <w:r>
        <w:rPr>
          <w:rFonts w:eastAsia="Times New Roman"/>
        </w:rPr>
        <w:pict>
          <v:rect id="_x0000_i1097" style="width:0;height:1.5pt" o:hralign="center" o:hrstd="t" o:hr="t" fillcolor="#a0a0a0" stroked="f"/>
        </w:pict>
      </w:r>
    </w:p>
    <w:p w:rsidR="00000000" w:rsidRDefault="00897B14">
      <w:pPr>
        <w:ind w:firstLine="360"/>
        <w:divId w:val="1979258199"/>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777630449"/>
        <w:rPr>
          <w:rFonts w:eastAsia="Times New Roman"/>
        </w:rPr>
      </w:pPr>
      <w:r>
        <w:rPr>
          <w:rFonts w:eastAsia="Times New Roman"/>
          <w:b/>
          <w:bCs/>
          <w:color w:val="000000"/>
          <w:sz w:val="20"/>
          <w:szCs w:val="20"/>
        </w:rPr>
        <w:t>Item 2.     Management’</w:t>
      </w:r>
      <w:r>
        <w:rPr>
          <w:rFonts w:eastAsia="Times New Roman"/>
          <w:b/>
          <w:bCs/>
          <w:color w:val="000000"/>
          <w:sz w:val="20"/>
          <w:szCs w:val="20"/>
        </w:rPr>
        <w:t xml:space="preserve">s Discussion and Analysis of Financial Condition and Results of Operations </w:t>
      </w:r>
    </w:p>
    <w:p w:rsidR="00000000" w:rsidRDefault="00897B14">
      <w:pPr>
        <w:ind w:firstLine="360"/>
        <w:divId w:val="1206480385"/>
        <w:rPr>
          <w:rFonts w:eastAsia="Times New Roman"/>
        </w:rPr>
      </w:pPr>
      <w:r>
        <w:rPr>
          <w:rFonts w:eastAsia="Times New Roman"/>
          <w:i/>
          <w:iCs/>
          <w:color w:val="000000"/>
          <w:sz w:val="20"/>
          <w:szCs w:val="20"/>
        </w:rPr>
        <w:t>The following discussion and analysis of our financial condition and results of operations should be read in its entirety and in conjunction with the consolidated financial stateme</w:t>
      </w:r>
      <w:r>
        <w:rPr>
          <w:rFonts w:eastAsia="Times New Roman"/>
          <w:i/>
          <w:iCs/>
          <w:color w:val="000000"/>
          <w:sz w:val="20"/>
          <w:szCs w:val="20"/>
        </w:rPr>
        <w:t xml:space="preserve">nts and related notes contained in </w:t>
      </w:r>
      <w:hyperlink w:anchor="i4720991a3d574ba2ab7d34b235a82556_19" w:history="1">
        <w:r>
          <w:rPr>
            <w:rStyle w:val="a3"/>
            <w:rFonts w:eastAsia="Times New Roman"/>
            <w:i/>
            <w:iCs/>
            <w:sz w:val="20"/>
            <w:szCs w:val="20"/>
          </w:rPr>
          <w:t>Part I, Item 1</w:t>
        </w:r>
      </w:hyperlink>
      <w:r>
        <w:rPr>
          <w:rFonts w:eastAsia="Times New Roman"/>
          <w:i/>
          <w:iCs/>
          <w:color w:val="000000"/>
          <w:sz w:val="20"/>
          <w:szCs w:val="20"/>
        </w:rPr>
        <w:t> of this Quarterly Report on Form 10-Q, as well as “Management’s Discussion and Analysis of Financial Condition and Results of Operations” section c</w:t>
      </w:r>
      <w:r>
        <w:rPr>
          <w:rFonts w:eastAsia="Times New Roman"/>
          <w:i/>
          <w:iCs/>
          <w:color w:val="000000"/>
          <w:sz w:val="20"/>
          <w:szCs w:val="20"/>
        </w:rPr>
        <w:t>ontained in our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31, 2020 (“2020 Form 10-K”).</w:t>
      </w:r>
    </w:p>
    <w:p w:rsidR="00000000" w:rsidRDefault="00897B14">
      <w:pPr>
        <w:ind w:firstLine="360"/>
        <w:divId w:val="850218011"/>
        <w:rPr>
          <w:rFonts w:eastAsia="Times New Roman"/>
        </w:rPr>
      </w:pPr>
      <w:r>
        <w:rPr>
          <w:rFonts w:eastAsia="Times New Roman"/>
          <w:i/>
          <w:iCs/>
          <w:color w:val="000000"/>
          <w:sz w:val="20"/>
          <w:szCs w:val="20"/>
        </w:rPr>
        <w:t xml:space="preserve">In addition to historical data, this discussion contains </w:t>
      </w:r>
      <w:r>
        <w:rPr>
          <w:rFonts w:eastAsia="Times New Roman"/>
          <w:i/>
          <w:iCs/>
          <w:color w:val="000000"/>
          <w:sz w:val="20"/>
          <w:szCs w:val="20"/>
        </w:rPr>
        <w:t>forward-looking statements about our business, operations and financial performance based on current expectations that involve risks, uncertainties and assumptions. Actual results may differ materially from those discussed in the forward-looking statements</w:t>
      </w:r>
      <w:r>
        <w:rPr>
          <w:rFonts w:eastAsia="Times New Roman"/>
          <w:i/>
          <w:iCs/>
          <w:color w:val="000000"/>
          <w:sz w:val="20"/>
          <w:szCs w:val="20"/>
        </w:rPr>
        <w:t xml:space="preserve"> as a result of various factors. See the Note Regarding Forward-Looking Statements and Information. Investors are directed to consider the risks and uncertainties discussed in </w:t>
      </w:r>
      <w:hyperlink w:anchor="i4720991a3d574ba2ab7d34b235a82556_487" w:history="1">
        <w:r>
          <w:rPr>
            <w:rStyle w:val="a3"/>
            <w:rFonts w:eastAsia="Times New Roman"/>
            <w:i/>
            <w:iCs/>
            <w:sz w:val="20"/>
            <w:szCs w:val="20"/>
          </w:rPr>
          <w:t>Part II, Item 1A</w:t>
        </w:r>
      </w:hyperlink>
      <w:r>
        <w:rPr>
          <w:rFonts w:eastAsia="Times New Roman"/>
          <w:i/>
          <w:iCs/>
          <w:color w:val="000000"/>
          <w:sz w:val="20"/>
          <w:szCs w:val="20"/>
        </w:rPr>
        <w:t xml:space="preserve"> of </w:t>
      </w:r>
      <w:r>
        <w:rPr>
          <w:rFonts w:eastAsia="Times New Roman"/>
          <w:i/>
          <w:iCs/>
          <w:color w:val="000000"/>
          <w:sz w:val="20"/>
          <w:szCs w:val="20"/>
        </w:rPr>
        <w:t>this Quarterly Report on Form 10-Q, as well as in other documents we have filed with the SEC.</w:t>
      </w:r>
    </w:p>
    <w:p w:rsidR="00000000" w:rsidRDefault="00897B14">
      <w:pPr>
        <w:divId w:val="923299099"/>
        <w:rPr>
          <w:rFonts w:eastAsia="Times New Roman"/>
        </w:rPr>
      </w:pPr>
      <w:r>
        <w:rPr>
          <w:rFonts w:eastAsia="Times New Roman"/>
          <w:b/>
          <w:bCs/>
          <w:color w:val="000000"/>
          <w:sz w:val="20"/>
          <w:szCs w:val="20"/>
        </w:rPr>
        <w:t xml:space="preserve">Executive Summary </w:t>
      </w:r>
    </w:p>
    <w:p w:rsidR="00000000" w:rsidRDefault="00897B14">
      <w:pPr>
        <w:jc w:val="both"/>
        <w:divId w:val="1345085569"/>
        <w:rPr>
          <w:rFonts w:eastAsia="Times New Roman"/>
        </w:rPr>
      </w:pPr>
      <w:r>
        <w:rPr>
          <w:rFonts w:eastAsia="Times New Roman"/>
          <w:b/>
          <w:bCs/>
          <w:i/>
          <w:iCs/>
          <w:color w:val="000000"/>
          <w:sz w:val="20"/>
          <w:szCs w:val="20"/>
        </w:rPr>
        <w:t xml:space="preserve">Overview </w:t>
      </w:r>
    </w:p>
    <w:p w:rsidR="00000000" w:rsidRDefault="00897B14">
      <w:pPr>
        <w:ind w:firstLine="360"/>
        <w:divId w:val="1601716268"/>
        <w:rPr>
          <w:rFonts w:eastAsia="Times New Roman"/>
        </w:rPr>
      </w:pPr>
      <w:r>
        <w:rPr>
          <w:rFonts w:eastAsia="Times New Roman"/>
          <w:color w:val="000000"/>
          <w:sz w:val="20"/>
          <w:szCs w:val="20"/>
        </w:rPr>
        <w:t xml:space="preserve">We are one of America’s leading financial services companies, providing: (i) advice and solutions for helping Americans set and meet </w:t>
      </w:r>
      <w:r>
        <w:rPr>
          <w:rFonts w:eastAsia="Times New Roman"/>
          <w:color w:val="000000"/>
          <w:sz w:val="20"/>
          <w:szCs w:val="20"/>
        </w:rPr>
        <w:t xml:space="preserve">their retirement goals and protect and transfer their wealth across generations; and (ii) a wide range of investment management insights, expertise and innovations to drive better investment decisions and outcomes for clients worldwide. </w:t>
      </w:r>
    </w:p>
    <w:p w:rsidR="00000000" w:rsidRDefault="00897B14">
      <w:pPr>
        <w:ind w:firstLine="360"/>
        <w:divId w:val="1666786526"/>
        <w:rPr>
          <w:rFonts w:eastAsia="Times New Roman"/>
        </w:rPr>
      </w:pPr>
      <w:r>
        <w:rPr>
          <w:rFonts w:eastAsia="Times New Roman"/>
          <w:color w:val="000000"/>
          <w:sz w:val="20"/>
          <w:szCs w:val="20"/>
        </w:rPr>
        <w:t>We manage our busi</w:t>
      </w:r>
      <w:r>
        <w:rPr>
          <w:rFonts w:eastAsia="Times New Roman"/>
          <w:color w:val="000000"/>
          <w:sz w:val="20"/>
          <w:szCs w:val="20"/>
        </w:rPr>
        <w:t>ness through four segments: Individual Retirement, Group Retirement, Investment Management and Research, and Protection Solutions. We report certain activities and items that are not included in these segments in Corporate and Other. See Note 13 of the Not</w:t>
      </w:r>
      <w:r>
        <w:rPr>
          <w:rFonts w:eastAsia="Times New Roman"/>
          <w:color w:val="000000"/>
          <w:sz w:val="20"/>
          <w:szCs w:val="20"/>
        </w:rPr>
        <w:t>es to the Consolidated Financial Statements for further information on our segments.</w:t>
      </w:r>
    </w:p>
    <w:p w:rsidR="00000000" w:rsidRDefault="00897B14">
      <w:pPr>
        <w:ind w:firstLine="360"/>
        <w:divId w:val="1853446852"/>
        <w:rPr>
          <w:rFonts w:eastAsia="Times New Roman"/>
        </w:rPr>
      </w:pPr>
      <w:r>
        <w:rPr>
          <w:rFonts w:eastAsia="Times New Roman"/>
          <w:color w:val="000000"/>
          <w:sz w:val="20"/>
          <w:szCs w:val="20"/>
        </w:rPr>
        <w:t>We benefit from our complementary mix of businesses. This business mix provides diversity in our earnings sources, which helps offset fluctuations in market conditions and</w:t>
      </w:r>
      <w:r>
        <w:rPr>
          <w:rFonts w:eastAsia="Times New Roman"/>
          <w:color w:val="000000"/>
          <w:sz w:val="20"/>
          <w:szCs w:val="20"/>
        </w:rPr>
        <w:t xml:space="preserve"> variability in business results, while offering growth opportunities. </w:t>
      </w:r>
    </w:p>
    <w:p w:rsidR="00000000" w:rsidRDefault="00897B14">
      <w:pPr>
        <w:jc w:val="both"/>
        <w:divId w:val="955333441"/>
        <w:rPr>
          <w:rFonts w:eastAsia="Times New Roman"/>
        </w:rPr>
      </w:pPr>
      <w:r>
        <w:rPr>
          <w:rFonts w:eastAsia="Times New Roman"/>
          <w:b/>
          <w:bCs/>
          <w:i/>
          <w:iCs/>
          <w:color w:val="000000"/>
          <w:sz w:val="20"/>
          <w:szCs w:val="20"/>
        </w:rPr>
        <w:t>Reinsurance of Legacy Variable Annuity Block and Sale of Runoff Variable Annuity Reinsurance Entity</w:t>
      </w:r>
    </w:p>
    <w:p w:rsidR="00000000" w:rsidRDefault="00897B14">
      <w:pPr>
        <w:ind w:firstLine="360"/>
        <w:divId w:val="1466850707"/>
        <w:rPr>
          <w:rFonts w:eastAsia="Times New Roman"/>
        </w:rPr>
      </w:pPr>
      <w:r>
        <w:rPr>
          <w:rFonts w:eastAsia="Times New Roman"/>
          <w:color w:val="000000"/>
          <w:sz w:val="20"/>
          <w:szCs w:val="20"/>
        </w:rPr>
        <w:t xml:space="preserve">On June 1, 2021, Holdings completed its previously announced sale of Corporate Solutions Life Reinsurance Company, an insurance company domiciled in Delaware and wholly owned subsidiary of the Company (“CSLRC”), to Venerable Insurance and Annuity Company, </w:t>
      </w:r>
      <w:r>
        <w:rPr>
          <w:rFonts w:eastAsia="Times New Roman"/>
          <w:color w:val="000000"/>
          <w:sz w:val="20"/>
          <w:szCs w:val="20"/>
        </w:rPr>
        <w:t>an insurance company domiciled in Iowa (“VIAC”), pursuant to the Master Transaction Agreement, dated October 27, 2020 (the “Master Transaction Agreement”), among the Company, VIAC and, solely with respect to Article XIV thereof, Venerable Holdings, Inc., a</w:t>
      </w:r>
      <w:r>
        <w:rPr>
          <w:rFonts w:eastAsia="Times New Roman"/>
          <w:color w:val="000000"/>
          <w:sz w:val="20"/>
          <w:szCs w:val="20"/>
        </w:rPr>
        <w:t xml:space="preserve"> Delaware corporation (“Venerable”).</w:t>
      </w:r>
    </w:p>
    <w:p w:rsidR="00000000" w:rsidRDefault="00897B14">
      <w:pPr>
        <w:ind w:firstLine="360"/>
        <w:divId w:val="1825778304"/>
        <w:rPr>
          <w:rFonts w:eastAsia="Times New Roman"/>
        </w:rPr>
      </w:pPr>
      <w:r>
        <w:rPr>
          <w:rFonts w:eastAsia="Times New Roman"/>
          <w:color w:val="000000"/>
          <w:sz w:val="20"/>
          <w:szCs w:val="20"/>
        </w:rPr>
        <w:t>Pursuant to the Master Transaction Agreement, immediately prior to the closing of the Transaction, CSLRC effected the recapture of all of the business that was ceded to CS Life Re Company, an insurance company domiciled</w:t>
      </w:r>
      <w:r>
        <w:rPr>
          <w:rFonts w:eastAsia="Times New Roman"/>
          <w:color w:val="000000"/>
          <w:sz w:val="20"/>
          <w:szCs w:val="20"/>
        </w:rPr>
        <w:t xml:space="preserve"> in Arizona and wholly owned subsidiary of CSLRC (“Reinsurance Subsidiary”), and sold 100% of the equity of the Reinsurance Subsidiary to another wholly owned subsidiary of the Company.</w:t>
      </w:r>
    </w:p>
    <w:p w:rsidR="00000000" w:rsidRDefault="00897B14">
      <w:pPr>
        <w:ind w:firstLine="360"/>
        <w:divId w:val="2124420443"/>
        <w:rPr>
          <w:rFonts w:eastAsia="Times New Roman"/>
        </w:rPr>
      </w:pPr>
      <w:r>
        <w:rPr>
          <w:rFonts w:eastAsia="Times New Roman"/>
          <w:color w:val="000000"/>
          <w:sz w:val="20"/>
          <w:szCs w:val="20"/>
        </w:rPr>
        <w:t xml:space="preserve">VIAC paid the Company a cash purchase price of $215 million for CSLRC </w:t>
      </w:r>
      <w:r>
        <w:rPr>
          <w:rFonts w:eastAsia="Times New Roman"/>
          <w:color w:val="000000"/>
          <w:sz w:val="20"/>
          <w:szCs w:val="20"/>
        </w:rPr>
        <w:t>at closing. The post-closing true-up adjustment is expected to be immaterial. VIAC also issued a surplus note in aggregate principal amount of $50 million to Equitable Financial Life Insurance Company, a New York-domiciled life insurance company and a whol</w:t>
      </w:r>
      <w:r>
        <w:rPr>
          <w:rFonts w:eastAsia="Times New Roman"/>
          <w:color w:val="000000"/>
          <w:sz w:val="20"/>
          <w:szCs w:val="20"/>
        </w:rPr>
        <w:t xml:space="preserve">ly owned subsidiary of Holdings, for cash consideration. </w:t>
      </w:r>
    </w:p>
    <w:p w:rsidR="00000000" w:rsidRDefault="00897B14">
      <w:pPr>
        <w:ind w:firstLine="360"/>
        <w:divId w:val="1154033058"/>
        <w:rPr>
          <w:rFonts w:eastAsia="Times New Roman"/>
        </w:rPr>
      </w:pPr>
      <w:r>
        <w:rPr>
          <w:rFonts w:eastAsia="Times New Roman"/>
          <w:color w:val="000000"/>
          <w:sz w:val="20"/>
          <w:szCs w:val="20"/>
        </w:rPr>
        <w:t>Immediately following the closing of the Transaction, CSLRC and Equitable Financial entered into a coinsurance and modified coinsurance agreement (the “Reinsurance Agreement”), pursuant to which Equ</w:t>
      </w:r>
      <w:r>
        <w:rPr>
          <w:rFonts w:eastAsia="Times New Roman"/>
          <w:color w:val="000000"/>
          <w:sz w:val="20"/>
          <w:szCs w:val="20"/>
        </w:rPr>
        <w:t xml:space="preserve">itable Financial ceded to CSLRC, on a combined coinsurance and modified coinsurance basis, legacy variable annuity policies sold by Equitable Financial between 2006-2008 (the “Block”), comprised of non-New York “Accumulator” policies containing fixed rate </w:t>
      </w:r>
      <w:r>
        <w:rPr>
          <w:rFonts w:eastAsia="Times New Roman"/>
          <w:color w:val="000000"/>
          <w:sz w:val="20"/>
          <w:szCs w:val="20"/>
        </w:rPr>
        <w:t>Guaranteed Minimum Income Benefit and/or Guaranteed Minimum Death Benefit guarantees. At the closing of the Transaction, CSLRC deposited assets supporting the general account liabilities relating to the Block into a trust account for the benefit of Equitab</w:t>
      </w:r>
      <w:r>
        <w:rPr>
          <w:rFonts w:eastAsia="Times New Roman"/>
          <w:color w:val="000000"/>
          <w:sz w:val="20"/>
          <w:szCs w:val="20"/>
        </w:rPr>
        <w:t>le Financial, which assets will secure its obligations to Equitable Financial under the Reinsurance Agreement. At the closing of the Transaction, AllianceBernstein L.P., a subsidiary of the Company (“AB”), entered into an investment advisory agreement with</w:t>
      </w:r>
      <w:r>
        <w:rPr>
          <w:rFonts w:eastAsia="Times New Roman"/>
          <w:color w:val="000000"/>
          <w:sz w:val="20"/>
          <w:szCs w:val="20"/>
        </w:rPr>
        <w:t xml:space="preserve"> CSLRC pursuant to which AB will serve as the preferred investment manager of the general account assets transferred to the trust account. The Company transferred assets of $9.5billion, including primarily available for sale securities and cash, to a colla</w:t>
      </w:r>
      <w:r>
        <w:rPr>
          <w:rFonts w:eastAsia="Times New Roman"/>
          <w:color w:val="000000"/>
          <w:sz w:val="20"/>
          <w:szCs w:val="20"/>
        </w:rPr>
        <w:t xml:space="preserve">teral trust account as the consideration for the reinsurance transaction. In addition, we recorded $9.6 billion of direct insurance liabilities ceded under the reinsurance contract, of which $5.3 billion is accounted at fair value, as the reinsurance of </w:t>
      </w:r>
    </w:p>
    <w:p w:rsidR="00000000" w:rsidRDefault="00897B14">
      <w:pPr>
        <w:jc w:val="center"/>
        <w:divId w:val="1452282964"/>
        <w:rPr>
          <w:rFonts w:eastAsia="Times New Roman"/>
        </w:rPr>
      </w:pPr>
      <w:r>
        <w:rPr>
          <w:rFonts w:eastAsia="Times New Roman"/>
          <w:color w:val="000000"/>
          <w:sz w:val="20"/>
          <w:szCs w:val="20"/>
        </w:rPr>
        <w:t>7</w:t>
      </w:r>
      <w:r>
        <w:rPr>
          <w:rFonts w:eastAsia="Times New Roman"/>
          <w:color w:val="000000"/>
          <w:sz w:val="20"/>
          <w:szCs w:val="20"/>
        </w:rPr>
        <w:t>2</w:t>
      </w:r>
    </w:p>
    <w:p w:rsidR="00000000" w:rsidRDefault="00897B14">
      <w:pPr>
        <w:rPr>
          <w:rFonts w:eastAsia="Times New Roman"/>
        </w:rPr>
      </w:pPr>
      <w:r>
        <w:rPr>
          <w:rFonts w:eastAsia="Times New Roman"/>
        </w:rPr>
        <w:pict>
          <v:rect id="_x0000_i1098" style="width:0;height:1.5pt" o:hralign="center" o:hrstd="t" o:hr="t" fillcolor="#a0a0a0" stroked="f"/>
        </w:pict>
      </w:r>
    </w:p>
    <w:p w:rsidR="00000000" w:rsidRDefault="00897B14">
      <w:pPr>
        <w:ind w:firstLine="360"/>
        <w:divId w:val="77444143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329359189"/>
        <w:rPr>
          <w:rFonts w:eastAsia="Times New Roman"/>
        </w:rPr>
      </w:pPr>
      <w:r>
        <w:rPr>
          <w:rFonts w:eastAsia="Times New Roman"/>
          <w:color w:val="000000"/>
          <w:sz w:val="20"/>
          <w:szCs w:val="20"/>
        </w:rPr>
        <w:t xml:space="preserve">GMxB with no lapse guarantee riders are embedded derivatives. Additionally, $16.9 billion of Separate Account liabilities were ceded under a </w:t>
      </w:r>
      <w:r>
        <w:rPr>
          <w:rFonts w:eastAsia="Times New Roman"/>
          <w:color w:val="000000"/>
          <w:sz w:val="20"/>
          <w:szCs w:val="20"/>
        </w:rPr>
        <w:t>modified coinsurance portion of the agreement.</w:t>
      </w:r>
    </w:p>
    <w:p w:rsidR="00000000" w:rsidRDefault="00897B14">
      <w:pPr>
        <w:ind w:firstLine="360"/>
        <w:divId w:val="2060129063"/>
        <w:rPr>
          <w:rFonts w:eastAsia="Times New Roman"/>
        </w:rPr>
      </w:pPr>
      <w:r>
        <w:rPr>
          <w:rFonts w:eastAsia="Times New Roman"/>
          <w:color w:val="000000"/>
          <w:sz w:val="20"/>
          <w:szCs w:val="20"/>
        </w:rPr>
        <w:t>In addition, upon the completion of the Transaction, Equitable Investment Management Group, LLC, a wholly owned subsidiary of the Company, acquired an approximate 9.09% equity interest in Venerable’s parent ho</w:t>
      </w:r>
      <w:r>
        <w:rPr>
          <w:rFonts w:eastAsia="Times New Roman"/>
          <w:color w:val="000000"/>
          <w:sz w:val="20"/>
          <w:szCs w:val="20"/>
        </w:rPr>
        <w:t>lding company, VA Capital Company LLC. In connection with such investment, Equitable Investment Management Group, LLC will have the right to designate a member of the Board of Managers of VA Capital Company LLC.</w:t>
      </w:r>
    </w:p>
    <w:p w:rsidR="00000000" w:rsidRDefault="00897B14">
      <w:pPr>
        <w:jc w:val="both"/>
        <w:divId w:val="1421415754"/>
        <w:rPr>
          <w:rFonts w:eastAsia="Times New Roman"/>
        </w:rPr>
      </w:pPr>
      <w:r>
        <w:rPr>
          <w:rFonts w:eastAsia="Times New Roman"/>
          <w:b/>
          <w:bCs/>
          <w:i/>
          <w:iCs/>
          <w:color w:val="000000"/>
          <w:sz w:val="20"/>
          <w:szCs w:val="20"/>
        </w:rPr>
        <w:t>COVID-19 Impact</w:t>
      </w:r>
    </w:p>
    <w:p w:rsidR="00000000" w:rsidRDefault="00897B14">
      <w:pPr>
        <w:ind w:firstLine="360"/>
        <w:divId w:val="1289970724"/>
        <w:rPr>
          <w:rFonts w:eastAsia="Times New Roman"/>
        </w:rPr>
      </w:pPr>
      <w:r>
        <w:rPr>
          <w:rFonts w:eastAsia="Times New Roman"/>
          <w:color w:val="000000"/>
          <w:sz w:val="20"/>
          <w:szCs w:val="20"/>
        </w:rPr>
        <w:t>We continue to closely monit</w:t>
      </w:r>
      <w:r>
        <w:rPr>
          <w:rFonts w:eastAsia="Times New Roman"/>
          <w:color w:val="000000"/>
          <w:sz w:val="20"/>
          <w:szCs w:val="20"/>
        </w:rPr>
        <w:t xml:space="preserve">or developments related to the COVID-19 pandemic. Vaccine distribution continues to progress in the United States, and many government-imposed restrictions have been reduced or removed. Despite this progress, the extent of the pandemic’s impact on us will </w:t>
      </w:r>
      <w:r>
        <w:rPr>
          <w:rFonts w:eastAsia="Times New Roman"/>
          <w:color w:val="000000"/>
          <w:sz w:val="20"/>
          <w:szCs w:val="20"/>
        </w:rPr>
        <w:t>depend on future developments that remain highly uncertain, including slowing COVID-19 vaccination rates and the efficacy of vaccines against COVID-19 variant strains. It is not possible to predict or estimate the longer-term effects of the pandemic, or an</w:t>
      </w:r>
      <w:r>
        <w:rPr>
          <w:rFonts w:eastAsia="Times New Roman"/>
          <w:color w:val="000000"/>
          <w:sz w:val="20"/>
          <w:szCs w:val="20"/>
        </w:rPr>
        <w:t>y additional actions taken to contain or address the pandemic, on the economy and on our business, results of operations, and financial condition, including the impact on our investment portfolio or the need for us to revisit or revise targets previously p</w:t>
      </w:r>
      <w:r>
        <w:rPr>
          <w:rFonts w:eastAsia="Times New Roman"/>
          <w:color w:val="000000"/>
          <w:sz w:val="20"/>
          <w:szCs w:val="20"/>
        </w:rPr>
        <w:t>rovided to the markets and/or aspects of our business model. For additional information regarding the potential impacts of the COVID-19 pandemic and action we have taken to mitigate certain impacts, see “Risk Factors—Risks Relating to Conditions in the Fin</w:t>
      </w:r>
      <w:r>
        <w:rPr>
          <w:rFonts w:eastAsia="Times New Roman"/>
          <w:color w:val="000000"/>
          <w:sz w:val="20"/>
          <w:szCs w:val="20"/>
        </w:rPr>
        <w:t xml:space="preserve">ancial Markets and Economy—The coronavirus (COVID-19) pandemic”, “Management’s Discussion and Analysis of Financial Condition and Results of Operations—Executive Summary—COVID-19 Impact” and “Management’s Discussion and Analysis of Financial Condition and </w:t>
      </w:r>
      <w:r>
        <w:rPr>
          <w:rFonts w:eastAsia="Times New Roman"/>
          <w:color w:val="000000"/>
          <w:sz w:val="20"/>
          <w:szCs w:val="20"/>
        </w:rPr>
        <w:t>Results of Operations—General Account Investment Portfolio” in the 2020 Form 10-K.</w:t>
      </w:r>
    </w:p>
    <w:p w:rsidR="00000000" w:rsidRDefault="00897B14">
      <w:pPr>
        <w:divId w:val="1331524008"/>
        <w:rPr>
          <w:rFonts w:eastAsia="Times New Roman"/>
        </w:rPr>
      </w:pPr>
      <w:r>
        <w:rPr>
          <w:rFonts w:eastAsia="Times New Roman"/>
          <w:b/>
          <w:bCs/>
          <w:color w:val="000000"/>
          <w:sz w:val="20"/>
          <w:szCs w:val="20"/>
        </w:rPr>
        <w:t>Revenues</w:t>
      </w:r>
    </w:p>
    <w:p w:rsidR="00000000" w:rsidRDefault="00897B14">
      <w:pPr>
        <w:ind w:firstLine="360"/>
        <w:divId w:val="1424645571"/>
        <w:rPr>
          <w:rFonts w:eastAsia="Times New Roman"/>
        </w:rPr>
      </w:pPr>
      <w:r>
        <w:rPr>
          <w:rFonts w:eastAsia="Times New Roman"/>
          <w:color w:val="000000"/>
          <w:sz w:val="20"/>
          <w:szCs w:val="20"/>
        </w:rPr>
        <w:t>Our revenues come from three principal sources:</w:t>
      </w:r>
    </w:p>
    <w:p w:rsidR="00000000" w:rsidRDefault="00897B14">
      <w:pPr>
        <w:ind w:hanging="360"/>
        <w:jc w:val="both"/>
        <w:divId w:val="822354089"/>
        <w:rPr>
          <w:rFonts w:eastAsia="Times New Roman"/>
        </w:rPr>
      </w:pPr>
      <w:r>
        <w:rPr>
          <w:rFonts w:eastAsia="Times New Roman"/>
          <w:color w:val="000000"/>
          <w:sz w:val="20"/>
          <w:szCs w:val="20"/>
        </w:rPr>
        <w:t xml:space="preserve">•fee income derived from our retirement and protection products and our investment management and research </w:t>
      </w:r>
    </w:p>
    <w:p w:rsidR="00000000" w:rsidRDefault="00897B14">
      <w:pPr>
        <w:ind w:hanging="360"/>
        <w:jc w:val="both"/>
        <w:divId w:val="86775523"/>
        <w:rPr>
          <w:rFonts w:eastAsia="Times New Roman"/>
        </w:rPr>
      </w:pPr>
      <w:r>
        <w:rPr>
          <w:rFonts w:eastAsia="Times New Roman"/>
          <w:color w:val="000000"/>
          <w:sz w:val="20"/>
          <w:szCs w:val="20"/>
        </w:rPr>
        <w:t>services</w:t>
      </w:r>
      <w:r>
        <w:rPr>
          <w:rFonts w:eastAsia="Times New Roman"/>
          <w:color w:val="000000"/>
          <w:sz w:val="20"/>
          <w:szCs w:val="20"/>
        </w:rPr>
        <w:t>;</w:t>
      </w:r>
    </w:p>
    <w:p w:rsidR="00000000" w:rsidRDefault="00897B14">
      <w:pPr>
        <w:ind w:hanging="360"/>
        <w:jc w:val="both"/>
        <w:divId w:val="432481282"/>
        <w:rPr>
          <w:rFonts w:eastAsia="Times New Roman"/>
        </w:rPr>
      </w:pPr>
      <w:r>
        <w:rPr>
          <w:rFonts w:eastAsia="Times New Roman"/>
          <w:color w:val="000000"/>
          <w:sz w:val="20"/>
          <w:szCs w:val="20"/>
        </w:rPr>
        <w:t>•    premiums from our traditional life insurance and annuity products; and</w:t>
      </w:r>
    </w:p>
    <w:p w:rsidR="00000000" w:rsidRDefault="00897B14">
      <w:pPr>
        <w:ind w:hanging="360"/>
        <w:divId w:val="90584862"/>
        <w:rPr>
          <w:rFonts w:eastAsia="Times New Roman"/>
        </w:rPr>
      </w:pPr>
      <w:r>
        <w:rPr>
          <w:rFonts w:eastAsia="Times New Roman"/>
          <w:color w:val="000000"/>
          <w:sz w:val="20"/>
          <w:szCs w:val="20"/>
        </w:rPr>
        <w:t>•    investment income from our General Account investment portfolio.</w:t>
      </w:r>
    </w:p>
    <w:p w:rsidR="00000000" w:rsidRDefault="00897B14">
      <w:pPr>
        <w:ind w:firstLine="360"/>
        <w:divId w:val="43144412"/>
        <w:rPr>
          <w:rFonts w:eastAsia="Times New Roman"/>
        </w:rPr>
      </w:pPr>
      <w:r>
        <w:rPr>
          <w:rFonts w:eastAsia="Times New Roman"/>
          <w:color w:val="000000"/>
          <w:sz w:val="20"/>
          <w:szCs w:val="20"/>
        </w:rPr>
        <w:t xml:space="preserve">Our fee income varies directly in relation to the amount of the underlying AV or benefit base of our retirement and protection products and the amount of AUM of our Investment Management and Research business. AV and AUM, each as defined in “Key Operating </w:t>
      </w:r>
      <w:r>
        <w:rPr>
          <w:rFonts w:eastAsia="Times New Roman"/>
          <w:color w:val="000000"/>
          <w:sz w:val="20"/>
          <w:szCs w:val="20"/>
        </w:rPr>
        <w:t>Measures,” are influenced by changes in economic conditions, primarily equity market returns, as well as net flows. Our premium income is driven by the growth in new policies written and the persistency of our in-force policies, both of which are influence</w:t>
      </w:r>
      <w:r>
        <w:rPr>
          <w:rFonts w:eastAsia="Times New Roman"/>
          <w:color w:val="000000"/>
          <w:sz w:val="20"/>
          <w:szCs w:val="20"/>
        </w:rPr>
        <w:t>d by a combination of factors, including our efforts to attract and retain customers and market conditions that influence demand for our products. Our investment income is driven by the yield on our General Account investment portfolio and is impacted by t</w:t>
      </w:r>
      <w:r>
        <w:rPr>
          <w:rFonts w:eastAsia="Times New Roman"/>
          <w:color w:val="000000"/>
          <w:sz w:val="20"/>
          <w:szCs w:val="20"/>
        </w:rPr>
        <w:t>he prevailing level of interest rates as we reinvest cash associated with maturing investments and net flows to the portfolio.</w:t>
      </w:r>
    </w:p>
    <w:p w:rsidR="00000000" w:rsidRDefault="00897B14">
      <w:pPr>
        <w:divId w:val="328414124"/>
        <w:rPr>
          <w:rFonts w:eastAsia="Times New Roman"/>
        </w:rPr>
      </w:pPr>
      <w:r>
        <w:rPr>
          <w:rFonts w:eastAsia="Times New Roman"/>
          <w:b/>
          <w:bCs/>
          <w:color w:val="000000"/>
          <w:sz w:val="20"/>
          <w:szCs w:val="20"/>
        </w:rPr>
        <w:t>Benefits and Other Deductions</w:t>
      </w:r>
    </w:p>
    <w:p w:rsidR="00000000" w:rsidRDefault="00897B14">
      <w:pPr>
        <w:ind w:firstLine="360"/>
        <w:divId w:val="1782186515"/>
        <w:rPr>
          <w:rFonts w:eastAsia="Times New Roman"/>
        </w:rPr>
      </w:pPr>
      <w:r>
        <w:rPr>
          <w:rFonts w:eastAsia="Times New Roman"/>
          <w:color w:val="000000"/>
          <w:sz w:val="20"/>
          <w:szCs w:val="20"/>
        </w:rPr>
        <w:t>Our primary expenses are:</w:t>
      </w:r>
    </w:p>
    <w:p w:rsidR="00000000" w:rsidRDefault="00897B14">
      <w:pPr>
        <w:ind w:hanging="360"/>
        <w:jc w:val="both"/>
        <w:divId w:val="397366800"/>
        <w:rPr>
          <w:rFonts w:eastAsia="Times New Roman"/>
        </w:rPr>
      </w:pPr>
      <w:r>
        <w:rPr>
          <w:rFonts w:eastAsia="Times New Roman"/>
          <w:color w:val="000000"/>
          <w:sz w:val="20"/>
          <w:szCs w:val="20"/>
        </w:rPr>
        <w:t>•    policyholders’ benefits and interest credited to policyholders’ acco</w:t>
      </w:r>
      <w:r>
        <w:rPr>
          <w:rFonts w:eastAsia="Times New Roman"/>
          <w:color w:val="000000"/>
          <w:sz w:val="20"/>
          <w:szCs w:val="20"/>
        </w:rPr>
        <w:t>unt balances;</w:t>
      </w:r>
    </w:p>
    <w:p w:rsidR="00000000" w:rsidRDefault="00897B14">
      <w:pPr>
        <w:ind w:hanging="360"/>
        <w:jc w:val="both"/>
        <w:divId w:val="1075780661"/>
        <w:rPr>
          <w:rFonts w:eastAsia="Times New Roman"/>
        </w:rPr>
      </w:pPr>
      <w:r>
        <w:rPr>
          <w:rFonts w:eastAsia="Times New Roman"/>
          <w:color w:val="000000"/>
          <w:sz w:val="20"/>
          <w:szCs w:val="20"/>
        </w:rPr>
        <w:t>•    sales commissions and compensation paid to intermediaries and advisors that distribute our products and services; and</w:t>
      </w:r>
    </w:p>
    <w:p w:rsidR="00000000" w:rsidRDefault="00897B14">
      <w:pPr>
        <w:ind w:hanging="360"/>
        <w:divId w:val="1081290827"/>
        <w:rPr>
          <w:rFonts w:eastAsia="Times New Roman"/>
        </w:rPr>
      </w:pPr>
      <w:r>
        <w:rPr>
          <w:rFonts w:eastAsia="Times New Roman"/>
          <w:color w:val="000000"/>
          <w:sz w:val="20"/>
          <w:szCs w:val="20"/>
        </w:rPr>
        <w:t>•    compensation and benefits provided to our employees and other operating expenses.</w:t>
      </w:r>
    </w:p>
    <w:p w:rsidR="00000000" w:rsidRDefault="00897B14">
      <w:pPr>
        <w:ind w:firstLine="360"/>
        <w:divId w:val="1304236309"/>
        <w:rPr>
          <w:rFonts w:eastAsia="Times New Roman"/>
        </w:rPr>
      </w:pPr>
      <w:r>
        <w:rPr>
          <w:rFonts w:eastAsia="Times New Roman"/>
          <w:color w:val="000000"/>
          <w:sz w:val="20"/>
          <w:szCs w:val="20"/>
        </w:rPr>
        <w:t>Policyholders’ benefits are driv</w:t>
      </w:r>
      <w:r>
        <w:rPr>
          <w:rFonts w:eastAsia="Times New Roman"/>
          <w:color w:val="000000"/>
          <w:sz w:val="20"/>
          <w:szCs w:val="20"/>
        </w:rPr>
        <w:t xml:space="preserve">en primarily by mortality, customer withdrawals, and benefits which change in response to changes in capital market conditions. In addition, some of our policyholders’ benefits are directly tied to the AV and benefit base of our variable annuity products. </w:t>
      </w:r>
      <w:r>
        <w:rPr>
          <w:rFonts w:eastAsia="Times New Roman"/>
          <w:color w:val="000000"/>
          <w:sz w:val="20"/>
          <w:szCs w:val="20"/>
        </w:rPr>
        <w:t>Interest credited to policyholders varies in relation to the amount of the underlying AV or benefit base. Sales commissions and compensation paid to intermediaries and advisors vary in relation to premium and fee income generated from these sources, wherea</w:t>
      </w:r>
      <w:r>
        <w:rPr>
          <w:rFonts w:eastAsia="Times New Roman"/>
          <w:color w:val="000000"/>
          <w:sz w:val="20"/>
          <w:szCs w:val="20"/>
        </w:rPr>
        <w:t>s compensation and benefits to our employees are more constant and impacted by market wages and decline with increases in efficiency. Our ability to manage these expenses across various economic cycles and products is critical to the profitability of our c</w:t>
      </w:r>
      <w:r>
        <w:rPr>
          <w:rFonts w:eastAsia="Times New Roman"/>
          <w:color w:val="000000"/>
          <w:sz w:val="20"/>
          <w:szCs w:val="20"/>
        </w:rPr>
        <w:t>ompany.</w:t>
      </w:r>
    </w:p>
    <w:p w:rsidR="00000000" w:rsidRDefault="00897B14">
      <w:pPr>
        <w:jc w:val="center"/>
        <w:divId w:val="1531256978"/>
        <w:rPr>
          <w:rFonts w:eastAsia="Times New Roman"/>
        </w:rPr>
      </w:pPr>
      <w:r>
        <w:rPr>
          <w:rFonts w:eastAsia="Times New Roman"/>
          <w:color w:val="000000"/>
          <w:sz w:val="20"/>
          <w:szCs w:val="20"/>
        </w:rPr>
        <w:t>73</w:t>
      </w:r>
    </w:p>
    <w:p w:rsidR="00000000" w:rsidRDefault="00897B14">
      <w:pPr>
        <w:rPr>
          <w:rFonts w:eastAsia="Times New Roman"/>
        </w:rPr>
      </w:pPr>
      <w:r>
        <w:rPr>
          <w:rFonts w:eastAsia="Times New Roman"/>
        </w:rPr>
        <w:pict>
          <v:rect id="_x0000_i1099" style="width:0;height:1.5pt" o:hralign="center" o:hrstd="t" o:hr="t" fillcolor="#a0a0a0" stroked="f"/>
        </w:pict>
      </w:r>
    </w:p>
    <w:p w:rsidR="00000000" w:rsidRDefault="00897B14">
      <w:pPr>
        <w:ind w:firstLine="360"/>
        <w:divId w:val="197679071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48913235"/>
        <w:rPr>
          <w:rFonts w:eastAsia="Times New Roman"/>
        </w:rPr>
      </w:pPr>
      <w:r>
        <w:rPr>
          <w:rFonts w:eastAsia="Times New Roman"/>
          <w:b/>
          <w:bCs/>
          <w:color w:val="000000"/>
          <w:sz w:val="20"/>
          <w:szCs w:val="20"/>
        </w:rPr>
        <w:t>Net Income Volatility</w:t>
      </w:r>
    </w:p>
    <w:p w:rsidR="00000000" w:rsidRDefault="00897B14">
      <w:pPr>
        <w:ind w:firstLine="360"/>
        <w:divId w:val="1471366470"/>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Accordingly, we have implemented hedging and reinsurance pr</w:t>
      </w:r>
      <w:r>
        <w:rPr>
          <w:rFonts w:eastAsia="Times New Roman"/>
          <w:color w:val="000000"/>
          <w:sz w:val="20"/>
          <w:szCs w:val="20"/>
        </w:rPr>
        <w:t>ograms designed to mitigate the economic exposure to us from these features due to equity market and interest rate movements. Changes in the values of the derivatives associated with these programs due to equity market and interest rate movements are recog</w:t>
      </w:r>
      <w:r>
        <w:rPr>
          <w:rFonts w:eastAsia="Times New Roman"/>
          <w:color w:val="000000"/>
          <w:sz w:val="20"/>
          <w:szCs w:val="20"/>
        </w:rPr>
        <w:t>nized in the periods in which they occur while corresponding changes in offsetting liabilities not measured at fair value are recognized over time. This results in net income volatility as further described below. See “—Significant Factors Impacting Our Re</w:t>
      </w:r>
      <w:r>
        <w:rPr>
          <w:rFonts w:eastAsia="Times New Roman"/>
          <w:color w:val="000000"/>
          <w:sz w:val="20"/>
          <w:szCs w:val="20"/>
        </w:rPr>
        <w:t>sults—Impact of Hedging and GMIB Reinsurance on Results.”</w:t>
      </w:r>
    </w:p>
    <w:p w:rsidR="00000000" w:rsidRDefault="00897B14">
      <w:pPr>
        <w:ind w:firstLine="360"/>
        <w:divId w:val="625505891"/>
        <w:rPr>
          <w:rFonts w:eastAsia="Times New Roman"/>
        </w:rPr>
      </w:pPr>
      <w:r>
        <w:rPr>
          <w:rFonts w:eastAsia="Times New Roman"/>
          <w:color w:val="000000"/>
          <w:sz w:val="20"/>
          <w:szCs w:val="20"/>
        </w:rPr>
        <w:t>In addition to our dynamic hedging strategy, we have static hedge positions designed to mitigate the adverse impact of changing market conditions on our statutory capital. We believe this program wi</w:t>
      </w:r>
      <w:r>
        <w:rPr>
          <w:rFonts w:eastAsia="Times New Roman"/>
          <w:color w:val="000000"/>
          <w:sz w:val="20"/>
          <w:szCs w:val="20"/>
        </w:rPr>
        <w:t>ll continue to preserve the economic value of our variable annuity contracts and better protect our target variable annuity asset level. However, these static hedge positions increase the size of our derivative positions and may result in higher net income</w:t>
      </w:r>
      <w:r>
        <w:rPr>
          <w:rFonts w:eastAsia="Times New Roman"/>
          <w:color w:val="000000"/>
          <w:sz w:val="20"/>
          <w:szCs w:val="20"/>
        </w:rPr>
        <w:t xml:space="preserve"> volatility on a period-over-period basis.</w:t>
      </w:r>
    </w:p>
    <w:p w:rsidR="00000000" w:rsidRDefault="00897B14">
      <w:pPr>
        <w:ind w:firstLine="360"/>
        <w:divId w:val="1557282145"/>
        <w:rPr>
          <w:rFonts w:eastAsia="Times New Roman"/>
        </w:rPr>
      </w:pPr>
      <w:r>
        <w:rPr>
          <w:rFonts w:eastAsia="Times New Roman"/>
          <w:color w:val="000000"/>
          <w:sz w:val="20"/>
          <w:szCs w:val="20"/>
        </w:rPr>
        <w:t>Due to the impacts on our net income of equity market and interest rate movements and other items that are not part of the underlying profitability drivers of our business, we evaluate and manage our business perf</w:t>
      </w:r>
      <w:r>
        <w:rPr>
          <w:rFonts w:eastAsia="Times New Roman"/>
          <w:color w:val="000000"/>
          <w:sz w:val="20"/>
          <w:szCs w:val="20"/>
        </w:rPr>
        <w:t xml:space="preserve">ormance using Non-GAAP operating earnings, a non-GAAP financial measure that is intended to remove these impacts from our results. See “—Key Operating Measures—Non-GAAP Operating Earnings. </w:t>
      </w:r>
    </w:p>
    <w:p w:rsidR="00000000" w:rsidRDefault="00897B14">
      <w:pPr>
        <w:divId w:val="1074354386"/>
        <w:rPr>
          <w:rFonts w:eastAsia="Times New Roman"/>
        </w:rPr>
      </w:pPr>
      <w:r>
        <w:rPr>
          <w:rFonts w:eastAsia="Times New Roman"/>
          <w:b/>
          <w:bCs/>
          <w:color w:val="000000"/>
          <w:sz w:val="20"/>
          <w:szCs w:val="20"/>
        </w:rPr>
        <w:t xml:space="preserve">Significant Factors Impacting Our Results </w:t>
      </w:r>
    </w:p>
    <w:p w:rsidR="00000000" w:rsidRDefault="00897B14">
      <w:pPr>
        <w:ind w:firstLine="360"/>
        <w:divId w:val="124473115"/>
        <w:rPr>
          <w:rFonts w:eastAsia="Times New Roman"/>
        </w:rPr>
      </w:pPr>
      <w:r>
        <w:rPr>
          <w:rFonts w:eastAsia="Times New Roman"/>
          <w:color w:val="000000"/>
          <w:sz w:val="20"/>
          <w:szCs w:val="20"/>
        </w:rPr>
        <w:t>The following significa</w:t>
      </w:r>
      <w:r>
        <w:rPr>
          <w:rFonts w:eastAsia="Times New Roman"/>
          <w:color w:val="000000"/>
          <w:sz w:val="20"/>
          <w:szCs w:val="20"/>
        </w:rPr>
        <w:t xml:space="preserve">nt factors have impacted, and may in the future impact, our financial condition, results of operations or cash flows. </w:t>
      </w:r>
    </w:p>
    <w:p w:rsidR="00000000" w:rsidRDefault="00897B14">
      <w:pPr>
        <w:jc w:val="both"/>
        <w:divId w:val="1790195759"/>
        <w:rPr>
          <w:rFonts w:eastAsia="Times New Roman"/>
        </w:rPr>
      </w:pPr>
      <w:r>
        <w:rPr>
          <w:rFonts w:eastAsia="Times New Roman"/>
          <w:b/>
          <w:bCs/>
          <w:i/>
          <w:iCs/>
          <w:color w:val="000000"/>
          <w:sz w:val="20"/>
          <w:szCs w:val="20"/>
        </w:rPr>
        <w:t xml:space="preserve">Impact of Hedging and GMxB Reinsurance on Results </w:t>
      </w:r>
    </w:p>
    <w:p w:rsidR="00000000" w:rsidRDefault="00897B14">
      <w:pPr>
        <w:ind w:firstLine="360"/>
        <w:divId w:val="1940942704"/>
        <w:rPr>
          <w:rFonts w:eastAsia="Times New Roman"/>
        </w:rPr>
      </w:pPr>
      <w:r>
        <w:rPr>
          <w:rFonts w:eastAsia="Times New Roman"/>
          <w:color w:val="000000"/>
          <w:sz w:val="20"/>
          <w:szCs w:val="20"/>
        </w:rPr>
        <w:t>We have offered and continue to offer variable annuity products with GMxB features. Th</w:t>
      </w:r>
      <w:r>
        <w:rPr>
          <w:rFonts w:eastAsia="Times New Roman"/>
          <w:color w:val="000000"/>
          <w:sz w:val="20"/>
          <w:szCs w:val="20"/>
        </w:rPr>
        <w:t>e future claims exposure on these features is sensitive to movements in the equity markets and interest rates. Accordingly, we have implemented hedging and reinsurance programs designed to mitigate the economic exposure to us from these features due to equ</w:t>
      </w:r>
      <w:r>
        <w:rPr>
          <w:rFonts w:eastAsia="Times New Roman"/>
          <w:color w:val="000000"/>
          <w:sz w:val="20"/>
          <w:szCs w:val="20"/>
        </w:rPr>
        <w:t xml:space="preserve">ity market and interest rate movements. These programs include: </w:t>
      </w:r>
    </w:p>
    <w:p w:rsidR="00000000" w:rsidRDefault="00897B14">
      <w:pPr>
        <w:ind w:hanging="360"/>
        <w:jc w:val="both"/>
        <w:divId w:val="1113016888"/>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generally, we reevaluate our economic exposure at least daily and rebalance our hedge positions acco</w:t>
      </w:r>
      <w:r>
        <w:rPr>
          <w:rFonts w:eastAsia="Times New Roman"/>
          <w:color w:val="000000"/>
          <w:sz w:val="20"/>
          <w:szCs w:val="20"/>
        </w:rPr>
        <w:t>rdingly) to mitigate certain risks associated with the GMxB features that are embedded in our liabilities for our variable annuity products. This program utilizes various derivative instruments that are managed in an effort to reduce the economic impact of</w:t>
      </w:r>
      <w:r>
        <w:rPr>
          <w:rFonts w:eastAsia="Times New Roman"/>
          <w:color w:val="000000"/>
          <w:sz w:val="20"/>
          <w:szCs w:val="20"/>
        </w:rPr>
        <w:t xml:space="preserve"> unfavorable changes in GMxB features’ exposures attributable to movements in the equity markets and interest rates. Although this program is designed to provide a measure of economic protection against the impact of adverse market conditions, it does not </w:t>
      </w:r>
      <w:r>
        <w:rPr>
          <w:rFonts w:eastAsia="Times New Roman"/>
          <w:color w:val="000000"/>
          <w:sz w:val="20"/>
          <w:szCs w:val="20"/>
        </w:rPr>
        <w:t>qualify for hedge accounting treatment. Accordingly, changes in value of the derivatives will be recognized in the period in which they occur with offsetting changes in reserves partially recognized in the current period, resulting in net income volatility</w:t>
      </w:r>
      <w:r>
        <w:rPr>
          <w:rFonts w:eastAsia="Times New Roman"/>
          <w:color w:val="000000"/>
          <w:sz w:val="20"/>
          <w:szCs w:val="20"/>
        </w:rPr>
        <w:t>. In addition to our dynamic hedging program, we have a hedging program using static hedge positions (derivative positions intended to be HTM with less frequent re-balancing) to protect our statutory capital against stress scenarios. This program in additi</w:t>
      </w:r>
      <w:r>
        <w:rPr>
          <w:rFonts w:eastAsia="Times New Roman"/>
          <w:color w:val="000000"/>
          <w:sz w:val="20"/>
          <w:szCs w:val="20"/>
        </w:rPr>
        <w:t xml:space="preserve">on to our dynamic hedge program has increased the size of our derivative positions, resulting in an increase in net income volatility. The impacts are most pronounced for variable annuity products in our Individual Retirement segment. </w:t>
      </w:r>
    </w:p>
    <w:p w:rsidR="00000000" w:rsidRDefault="00897B14">
      <w:pPr>
        <w:divId w:val="1599947701"/>
        <w:rPr>
          <w:rFonts w:eastAsia="Times New Roman"/>
        </w:rPr>
      </w:pPr>
      <w:r>
        <w:rPr>
          <w:rFonts w:eastAsia="Times New Roman"/>
          <w:color w:val="000000"/>
          <w:sz w:val="20"/>
          <w:szCs w:val="20"/>
        </w:rPr>
        <w:t>•</w:t>
      </w:r>
      <w:r>
        <w:rPr>
          <w:rFonts w:eastAsia="Times New Roman"/>
          <w:i/>
          <w:iCs/>
          <w:color w:val="000000"/>
          <w:sz w:val="20"/>
          <w:szCs w:val="20"/>
        </w:rPr>
        <w:t>GMxB reinsurance co</w:t>
      </w:r>
      <w:r>
        <w:rPr>
          <w:rFonts w:eastAsia="Times New Roman"/>
          <w:i/>
          <w:iCs/>
          <w:color w:val="000000"/>
          <w:sz w:val="20"/>
          <w:szCs w:val="20"/>
        </w:rPr>
        <w:t xml:space="preserve">ntracts. </w:t>
      </w:r>
      <w:r>
        <w:rPr>
          <w:rFonts w:eastAsia="Times New Roman"/>
          <w:color w:val="000000"/>
          <w:sz w:val="20"/>
          <w:szCs w:val="20"/>
        </w:rPr>
        <w:t xml:space="preserve">Historically, GMIB reinsurance contracts were used to cede to non-affiliated reinsurers a portion of our exposure to variable annuity products that offer a GMIB feature. We account for the GMIB reinsurance contracts as derivatives and report them </w:t>
      </w:r>
      <w:r>
        <w:rPr>
          <w:rFonts w:eastAsia="Times New Roman"/>
          <w:color w:val="000000"/>
          <w:sz w:val="20"/>
          <w:szCs w:val="20"/>
        </w:rPr>
        <w:t xml:space="preserve">at fair value. Gross GMIB reserves are calculated on the basis of assumptions related to projected benefits and related contract charges over the lives of the contracts. Accordingly, our gross reserves will not immediately reflect the offsetting impact on </w:t>
      </w:r>
      <w:r>
        <w:rPr>
          <w:rFonts w:eastAsia="Times New Roman"/>
          <w:color w:val="000000"/>
          <w:sz w:val="20"/>
          <w:szCs w:val="20"/>
        </w:rPr>
        <w:t xml:space="preserve">future claims exposure resulting from the same capital market or interest rate fluctuations that cause gains or losses on the fair value of the GMIB reinsurance contracts. Because changes in the fair value of the GMIB reinsurance contracts are recorded in </w:t>
      </w:r>
      <w:r>
        <w:rPr>
          <w:rFonts w:eastAsia="Times New Roman"/>
          <w:color w:val="000000"/>
          <w:sz w:val="20"/>
          <w:szCs w:val="20"/>
        </w:rPr>
        <w:t>the period in which they occur and a majority of the changes in gross reserves for GMIB are recognized over time, net income will be more volatile. In addition, on June 1, 2021, we ceded legacy variable annuity policies sold by EFLIC between 2006-2008 (the</w:t>
      </w:r>
      <w:r>
        <w:rPr>
          <w:rFonts w:eastAsia="Times New Roman"/>
          <w:color w:val="000000"/>
          <w:sz w:val="20"/>
          <w:szCs w:val="20"/>
        </w:rPr>
        <w:t xml:space="preserve"> “Block”), comprised of non-New York “Accumulator” policies containing fixed rate GMIB and/or GMDB guarantees. As this contract provides full risk transfer, the benefits of this treaty are accounted for in the same manner as the underlying gross reserves. </w:t>
      </w:r>
    </w:p>
    <w:p w:rsidR="00000000" w:rsidRDefault="00897B14">
      <w:pPr>
        <w:jc w:val="center"/>
        <w:divId w:val="512185008"/>
        <w:rPr>
          <w:rFonts w:eastAsia="Times New Roman"/>
        </w:rPr>
      </w:pPr>
      <w:r>
        <w:rPr>
          <w:rFonts w:eastAsia="Times New Roman"/>
          <w:color w:val="000000"/>
          <w:sz w:val="20"/>
          <w:szCs w:val="20"/>
        </w:rPr>
        <w:t>74</w:t>
      </w:r>
    </w:p>
    <w:p w:rsidR="00000000" w:rsidRDefault="00897B14">
      <w:pPr>
        <w:rPr>
          <w:rFonts w:eastAsia="Times New Roman"/>
        </w:rPr>
      </w:pPr>
      <w:r>
        <w:rPr>
          <w:rFonts w:eastAsia="Times New Roman"/>
        </w:rPr>
        <w:pict>
          <v:rect id="_x0000_i1100" style="width:0;height:1.5pt" o:hralign="center" o:hrstd="t" o:hr="t" fillcolor="#a0a0a0" stroked="f"/>
        </w:pict>
      </w:r>
    </w:p>
    <w:p w:rsidR="00000000" w:rsidRDefault="00897B14">
      <w:pPr>
        <w:ind w:firstLine="360"/>
        <w:divId w:val="1996374924"/>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both"/>
        <w:divId w:val="1591698198"/>
        <w:rPr>
          <w:rFonts w:eastAsia="Times New Roman"/>
        </w:rPr>
      </w:pPr>
      <w:r>
        <w:rPr>
          <w:rFonts w:eastAsia="Times New Roman"/>
          <w:b/>
          <w:bCs/>
          <w:i/>
          <w:iCs/>
          <w:color w:val="000000"/>
          <w:sz w:val="20"/>
          <w:szCs w:val="20"/>
        </w:rPr>
        <w:t xml:space="preserve">Effect of Assumption Updates on Operating Results </w:t>
      </w:r>
    </w:p>
    <w:p w:rsidR="00000000" w:rsidRDefault="00897B14">
      <w:pPr>
        <w:ind w:firstLine="360"/>
        <w:divId w:val="1632907403"/>
        <w:rPr>
          <w:rFonts w:eastAsia="Times New Roman"/>
        </w:rPr>
      </w:pPr>
      <w:r>
        <w:rPr>
          <w:rFonts w:eastAsia="Times New Roman"/>
          <w:color w:val="000000"/>
          <w:sz w:val="20"/>
          <w:szCs w:val="20"/>
        </w:rPr>
        <w:t>During the third quarter of each year, we conduct our annual review of the assumptions u</w:t>
      </w:r>
      <w:r>
        <w:rPr>
          <w:rFonts w:eastAsia="Times New Roman"/>
          <w:color w:val="000000"/>
          <w:sz w:val="20"/>
          <w:szCs w:val="20"/>
        </w:rPr>
        <w:t>nderlying the valuation of DAC, deferred sales inducement assets, unearned revenue liabilities, liabilities for future policyholder benefits and embedded derivatives for our Individual Retirement, Group Retirement, and Protection Solution segments (assumpt</w:t>
      </w:r>
      <w:r>
        <w:rPr>
          <w:rFonts w:eastAsia="Times New Roman"/>
          <w:color w:val="000000"/>
          <w:sz w:val="20"/>
          <w:szCs w:val="20"/>
        </w:rPr>
        <w:t xml:space="preserve">ion reviews are not relevant for the Investment Management and Research segment). Assumptions are based on a combination of Company experience, industry experience, management actions and expert judgment and reflect our best estimate as of the date of the </w:t>
      </w:r>
      <w:r>
        <w:rPr>
          <w:rFonts w:eastAsia="Times New Roman"/>
          <w:color w:val="000000"/>
          <w:sz w:val="20"/>
          <w:szCs w:val="20"/>
        </w:rPr>
        <w:t xml:space="preserve">applicable financial statements. </w:t>
      </w:r>
    </w:p>
    <w:p w:rsidR="00000000" w:rsidRDefault="00897B14">
      <w:pPr>
        <w:ind w:firstLine="360"/>
        <w:divId w:val="1495145882"/>
        <w:rPr>
          <w:rFonts w:eastAsia="Times New Roman"/>
        </w:rPr>
      </w:pPr>
      <w:r>
        <w:rPr>
          <w:rFonts w:eastAsia="Times New Roman"/>
          <w:color w:val="000000"/>
          <w:sz w:val="20"/>
          <w:szCs w:val="20"/>
        </w:rPr>
        <w:t>Most of the variable annuity products, variable universal life insurance and universal life insurance products we offer maintain policyholder deposits that are reported as liabilities and classified within either Separate Accounts liabilities or policyhold</w:t>
      </w:r>
      <w:r>
        <w:rPr>
          <w:rFonts w:eastAsia="Times New Roman"/>
          <w:color w:val="000000"/>
          <w:sz w:val="20"/>
          <w:szCs w:val="20"/>
        </w:rPr>
        <w:t>er account balances. Our products and riders also impact liabilities for future policyholder benefits and unearned revenues and assets for DAC and DSI. The valuation of these assets and liabilities (other than deposits) are based on differing accounting me</w:t>
      </w:r>
      <w:r>
        <w:rPr>
          <w:rFonts w:eastAsia="Times New Roman"/>
          <w:color w:val="000000"/>
          <w:sz w:val="20"/>
          <w:szCs w:val="20"/>
        </w:rPr>
        <w:t>thods depending on the product, each of which requires numerous assumptions and considerable judgment. The accounting guidance applied in the valuation of these assets and liabilities includes, but is not limited to, the following: (i) traditional life ins</w:t>
      </w:r>
      <w:r>
        <w:rPr>
          <w:rFonts w:eastAsia="Times New Roman"/>
          <w:color w:val="000000"/>
          <w:sz w:val="20"/>
          <w:szCs w:val="20"/>
        </w:rPr>
        <w:t>urance products for which assumptions are locked in at inception; (ii) universal life insurance and variable life insurance secondary guarantees for which benefit liabilities are determined by estimating the expected value of death benefits payable when th</w:t>
      </w:r>
      <w:r>
        <w:rPr>
          <w:rFonts w:eastAsia="Times New Roman"/>
          <w:color w:val="000000"/>
          <w:sz w:val="20"/>
          <w:szCs w:val="20"/>
        </w:rPr>
        <w:t>e account balance is projected to be zero and recognizing those benefits ratably over the accumulation period based on total expected assessments; (iii) certain product guarantees for which benefit liabilities are accrued over the life of the contract in p</w:t>
      </w:r>
      <w:r>
        <w:rPr>
          <w:rFonts w:eastAsia="Times New Roman"/>
          <w:color w:val="000000"/>
          <w:sz w:val="20"/>
          <w:szCs w:val="20"/>
        </w:rPr>
        <w:t xml:space="preserve">roportion to actual and future expected policy assessments; and (iv) certain product guarantees reported as embedded derivatives at fair value. </w:t>
      </w:r>
    </w:p>
    <w:p w:rsidR="00000000" w:rsidRDefault="00897B14">
      <w:pPr>
        <w:ind w:firstLine="360"/>
        <w:divId w:val="940842823"/>
        <w:rPr>
          <w:rFonts w:eastAsia="Times New Roman"/>
        </w:rPr>
      </w:pPr>
      <w:r>
        <w:rPr>
          <w:rFonts w:eastAsia="Times New Roman"/>
          <w:color w:val="000000"/>
          <w:sz w:val="20"/>
          <w:szCs w:val="20"/>
        </w:rPr>
        <w:t>For further details of our accounting policies and related judgments pertaining to assumption updates, see Note</w:t>
      </w:r>
      <w:r>
        <w:rPr>
          <w:rFonts w:eastAsia="Times New Roman"/>
          <w:color w:val="000000"/>
          <w:sz w:val="20"/>
          <w:szCs w:val="20"/>
        </w:rPr>
        <w:t xml:space="preserve"> 2 to the Notes to the Company’s consolidated financial statements and “—Summary of Critical Accounting Estimates—Liability for Future Policy Benefits” included in the 2020 Form 10-K.</w:t>
      </w:r>
    </w:p>
    <w:p w:rsidR="00000000" w:rsidRDefault="00897B14">
      <w:pPr>
        <w:jc w:val="both"/>
        <w:divId w:val="1917200425"/>
        <w:rPr>
          <w:rFonts w:eastAsia="Times New Roman"/>
        </w:rPr>
      </w:pPr>
      <w:r>
        <w:rPr>
          <w:rFonts w:eastAsia="Times New Roman"/>
          <w:b/>
          <w:bCs/>
          <w:i/>
          <w:iCs/>
          <w:color w:val="000000"/>
          <w:sz w:val="20"/>
          <w:szCs w:val="20"/>
        </w:rPr>
        <w:t>Assumption Updates and Model Changes</w:t>
      </w:r>
    </w:p>
    <w:p w:rsidR="00000000" w:rsidRDefault="00897B14">
      <w:pPr>
        <w:ind w:firstLine="360"/>
        <w:divId w:val="1036464877"/>
        <w:rPr>
          <w:rFonts w:eastAsia="Times New Roman"/>
        </w:rPr>
      </w:pPr>
      <w:r>
        <w:rPr>
          <w:rFonts w:eastAsia="Times New Roman"/>
          <w:color w:val="000000"/>
          <w:sz w:val="20"/>
          <w:szCs w:val="20"/>
        </w:rPr>
        <w:t>We conduct our annual review of our</w:t>
      </w:r>
      <w:r>
        <w:rPr>
          <w:rFonts w:eastAsia="Times New Roman"/>
          <w:color w:val="000000"/>
          <w:sz w:val="20"/>
          <w:szCs w:val="20"/>
        </w:rPr>
        <w:t xml:space="preserve"> assumptions and models during the third quarter of each year. We also update our assumptions as needed in the event we become aware of economic conditions or events that could require a change in our assumptions that we believe may have a significant impa</w:t>
      </w:r>
      <w:r>
        <w:rPr>
          <w:rFonts w:eastAsia="Times New Roman"/>
          <w:color w:val="000000"/>
          <w:sz w:val="20"/>
          <w:szCs w:val="20"/>
        </w:rPr>
        <w:t xml:space="preserve">ct to the carrying value of product liabilities and assets and consequently materially impact our earnings in the period of the change. </w:t>
      </w:r>
    </w:p>
    <w:p w:rsidR="00000000" w:rsidRDefault="00897B14">
      <w:pPr>
        <w:divId w:val="965089246"/>
        <w:rPr>
          <w:rFonts w:eastAsia="Times New Roman"/>
        </w:rPr>
      </w:pPr>
      <w:r>
        <w:rPr>
          <w:rFonts w:eastAsia="Times New Roman"/>
          <w:i/>
          <w:iCs/>
          <w:color w:val="000000"/>
          <w:sz w:val="20"/>
          <w:szCs w:val="20"/>
          <w:u w:val="single"/>
        </w:rPr>
        <w:t xml:space="preserve">Impact of Assumption Updates and Model Changes on Income from Continuing Operations before income taxes and Net income </w:t>
      </w:r>
      <w:r>
        <w:rPr>
          <w:rFonts w:eastAsia="Times New Roman"/>
          <w:i/>
          <w:iCs/>
          <w:color w:val="000000"/>
          <w:sz w:val="20"/>
          <w:szCs w:val="20"/>
          <w:u w:val="single"/>
        </w:rPr>
        <w:t>(loss)</w:t>
      </w:r>
    </w:p>
    <w:p w:rsidR="00000000" w:rsidRDefault="00897B14">
      <w:pPr>
        <w:ind w:firstLine="360"/>
        <w:divId w:val="690961379"/>
        <w:rPr>
          <w:rFonts w:eastAsia="Times New Roman"/>
        </w:rPr>
      </w:pPr>
      <w:r>
        <w:rPr>
          <w:rFonts w:eastAsia="Times New Roman"/>
          <w:color w:val="000000"/>
          <w:sz w:val="20"/>
          <w:szCs w:val="20"/>
        </w:rPr>
        <w:t>The table below presents the impact of our actuarial assumption update during the three and six months ended June 30, 2020 to our Income (loss) from continuing operations, before income taxes and Net income (loss). There were no assumption update for the t</w:t>
      </w:r>
      <w:r>
        <w:rPr>
          <w:rFonts w:eastAsia="Times New Roman"/>
          <w:color w:val="000000"/>
          <w:sz w:val="20"/>
          <w:szCs w:val="20"/>
        </w:rPr>
        <w:t>hree and six months ended June 30,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437"/>
        <w:gridCol w:w="37"/>
        <w:gridCol w:w="36"/>
        <w:gridCol w:w="36"/>
        <w:gridCol w:w="121"/>
        <w:gridCol w:w="1192"/>
        <w:gridCol w:w="36"/>
        <w:gridCol w:w="36"/>
        <w:gridCol w:w="36"/>
        <w:gridCol w:w="36"/>
        <w:gridCol w:w="36"/>
        <w:gridCol w:w="36"/>
        <w:gridCol w:w="36"/>
        <w:gridCol w:w="36"/>
        <w:gridCol w:w="120"/>
        <w:gridCol w:w="965"/>
        <w:gridCol w:w="36"/>
      </w:tblGrid>
      <w:tr w:rsidR="00000000">
        <w:trPr>
          <w:divId w:val="345788015"/>
        </w:trPr>
        <w:tc>
          <w:tcPr>
            <w:tcW w:w="50" w:type="pct"/>
            <w:vAlign w:val="center"/>
            <w:hideMark/>
          </w:tcPr>
          <w:p w:rsidR="00000000" w:rsidRDefault="00897B14">
            <w:pPr>
              <w:ind w:firstLine="360"/>
              <w:rPr>
                <w:rFonts w:eastAsia="Times New Roman"/>
              </w:rPr>
            </w:pPr>
          </w:p>
        </w:tc>
        <w:tc>
          <w:tcPr>
            <w:tcW w:w="338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76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4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345788015"/>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 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 2020 (1)</w:t>
            </w:r>
          </w:p>
        </w:tc>
      </w:tr>
      <w:tr w:rsidR="00000000">
        <w:trPr>
          <w:divId w:val="345788015"/>
        </w:trPr>
        <w:tc>
          <w:tcPr>
            <w:tcW w:w="0" w:type="auto"/>
            <w:gridSpan w:val="3"/>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45788015"/>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345788015"/>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Impact of assumption update on Net income (loss):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34578801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103237667"/>
              <w:rPr>
                <w:rFonts w:eastAsia="Times New Roman"/>
              </w:rPr>
            </w:pPr>
            <w:r>
              <w:rPr>
                <w:rFonts w:eastAsia="Times New Roman"/>
                <w:color w:val="000000"/>
                <w:sz w:val="20"/>
                <w:szCs w:val="20"/>
              </w:rPr>
              <w:t>Variable annuity product features related assumption update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(1,468)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34578801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8921338"/>
              <w:rPr>
                <w:rFonts w:eastAsia="Times New Roman"/>
              </w:rPr>
            </w:pPr>
            <w:r>
              <w:rPr>
                <w:rFonts w:eastAsia="Times New Roman"/>
                <w:color w:val="000000"/>
                <w:sz w:val="20"/>
                <w:szCs w:val="20"/>
              </w:rPr>
              <w:t>Assumption updates for other business</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345788015"/>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Impact of assumption updates on Income (loss) from continuing operations, before income tax</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(2,517)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34578801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Income tax benefit on assumption update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345788015"/>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762260908"/>
              <w:rPr>
                <w:rFonts w:eastAsia="Times New Roman"/>
              </w:rPr>
            </w:pPr>
            <w:r>
              <w:rPr>
                <w:rFonts w:eastAsia="Times New Roman"/>
                <w:color w:val="000000"/>
                <w:sz w:val="20"/>
                <w:szCs w:val="20"/>
              </w:rPr>
              <w:t>Net income (loss) impact of assumption update</w:t>
            </w:r>
          </w:p>
        </w:tc>
        <w:tc>
          <w:tcPr>
            <w:tcW w:w="0" w:type="auto"/>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(1,988)</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221723133"/>
        <w:rPr>
          <w:rFonts w:eastAsia="Times New Roman"/>
        </w:rPr>
      </w:pPr>
      <w:r>
        <w:rPr>
          <w:rFonts w:eastAsia="Times New Roman"/>
          <w:color w:val="000000"/>
          <w:sz w:val="18"/>
          <w:szCs w:val="18"/>
        </w:rPr>
        <w:t xml:space="preserve">(1) During the first quarter of 2020, we updated interest rate assumption and the impact was </w:t>
      </w:r>
      <w:r>
        <w:rPr>
          <w:rFonts w:eastAsia="Times New Roman"/>
          <w:color w:val="000000"/>
          <w:sz w:val="20"/>
          <w:szCs w:val="20"/>
        </w:rPr>
        <w:t>a decrease to Net income (loss) of $2.0 billion</w:t>
      </w:r>
      <w:r>
        <w:rPr>
          <w:rFonts w:eastAsia="Times New Roman"/>
          <w:color w:val="000000"/>
          <w:sz w:val="18"/>
          <w:szCs w:val="18"/>
        </w:rPr>
        <w:t>. See Note 2 of the Notes to the Consolidated Financial Statements in this Form 10-Q.</w:t>
      </w:r>
    </w:p>
    <w:p w:rsidR="00000000" w:rsidRDefault="00897B14">
      <w:pPr>
        <w:divId w:val="705182477"/>
        <w:rPr>
          <w:rFonts w:eastAsia="Times New Roman"/>
        </w:rPr>
      </w:pPr>
      <w:r>
        <w:rPr>
          <w:rFonts w:eastAsia="Times New Roman"/>
          <w:b/>
          <w:bCs/>
          <w:color w:val="000000"/>
          <w:sz w:val="20"/>
          <w:szCs w:val="20"/>
        </w:rPr>
        <w:t>2020 Assumption Updates</w:t>
      </w:r>
    </w:p>
    <w:p w:rsidR="00000000" w:rsidRDefault="00897B14">
      <w:pPr>
        <w:ind w:firstLine="360"/>
        <w:divId w:val="2034067371"/>
        <w:rPr>
          <w:rFonts w:eastAsia="Times New Roman"/>
        </w:rPr>
      </w:pPr>
      <w:r>
        <w:rPr>
          <w:rFonts w:eastAsia="Times New Roman"/>
          <w:color w:val="000000"/>
          <w:sz w:val="20"/>
          <w:szCs w:val="20"/>
        </w:rPr>
        <w:t>Due to the extraordinary economic conditions driven by the COVID-19 pandemic in the first quarter of 2020, we updated our interest rate assumption to grade from the current spot interest rate to an ultimate five-year historical aver</w:t>
      </w:r>
      <w:r>
        <w:rPr>
          <w:rFonts w:eastAsia="Times New Roman"/>
          <w:color w:val="000000"/>
          <w:sz w:val="20"/>
          <w:szCs w:val="20"/>
        </w:rPr>
        <w:t>age over a 10-year period. As such, the 10-year U.S. Treasury yield grades from the current level to an ultimate 5-year average of 2.25%.</w:t>
      </w:r>
    </w:p>
    <w:p w:rsidR="00000000" w:rsidRDefault="00897B14">
      <w:pPr>
        <w:jc w:val="center"/>
        <w:divId w:val="1089891591"/>
        <w:rPr>
          <w:rFonts w:eastAsia="Times New Roman"/>
        </w:rPr>
      </w:pPr>
      <w:r>
        <w:rPr>
          <w:rFonts w:eastAsia="Times New Roman"/>
          <w:color w:val="000000"/>
          <w:sz w:val="20"/>
          <w:szCs w:val="20"/>
        </w:rPr>
        <w:t>75</w:t>
      </w:r>
    </w:p>
    <w:p w:rsidR="00000000" w:rsidRDefault="00897B14">
      <w:pPr>
        <w:rPr>
          <w:rFonts w:eastAsia="Times New Roman"/>
        </w:rPr>
      </w:pPr>
      <w:r>
        <w:rPr>
          <w:rFonts w:eastAsia="Times New Roman"/>
        </w:rPr>
        <w:pict>
          <v:rect id="_x0000_i1101" style="width:0;height:1.5pt" o:hralign="center" o:hrstd="t" o:hr="t" fillcolor="#a0a0a0" stroked="f"/>
        </w:pict>
      </w:r>
    </w:p>
    <w:p w:rsidR="00000000" w:rsidRDefault="00897B14">
      <w:pPr>
        <w:ind w:firstLine="360"/>
        <w:divId w:val="1492715658"/>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firstLine="360"/>
        <w:divId w:val="2097172366"/>
        <w:rPr>
          <w:rFonts w:eastAsia="Times New Roman"/>
        </w:rPr>
      </w:pPr>
      <w:r>
        <w:rPr>
          <w:rFonts w:eastAsia="Times New Roman"/>
          <w:color w:val="000000"/>
          <w:sz w:val="20"/>
          <w:szCs w:val="20"/>
        </w:rPr>
        <w:t>The low interest rate environment and update to the interest rate assumption caused a loss recognition event for our life interest-sensitive pr</w:t>
      </w:r>
      <w:r>
        <w:rPr>
          <w:rFonts w:eastAsia="Times New Roman"/>
          <w:color w:val="000000"/>
          <w:sz w:val="20"/>
          <w:szCs w:val="20"/>
        </w:rPr>
        <w:t xml:space="preserve">oducts, as well as to certain run-off business included in Corporate and Other. This loss recognition event caused an acceleration of DAC amortization on our life interest-sensitive products and an increase in the premium deficiency reserve on the run-off </w:t>
      </w:r>
      <w:r>
        <w:rPr>
          <w:rFonts w:eastAsia="Times New Roman"/>
          <w:color w:val="000000"/>
          <w:sz w:val="20"/>
          <w:szCs w:val="20"/>
        </w:rPr>
        <w:t>business in the first quarter of 2020.</w:t>
      </w:r>
    </w:p>
    <w:p w:rsidR="00000000" w:rsidRDefault="00897B14">
      <w:pPr>
        <w:ind w:firstLine="360"/>
        <w:divId w:val="132842115"/>
        <w:rPr>
          <w:rFonts w:eastAsia="Times New Roman"/>
        </w:rPr>
      </w:pPr>
      <w:r>
        <w:rPr>
          <w:rFonts w:eastAsia="Times New Roman"/>
          <w:color w:val="000000"/>
          <w:sz w:val="20"/>
          <w:szCs w:val="20"/>
        </w:rPr>
        <w:t xml:space="preserve">The impact of the economic assumption update in the first six months of 2020 was a decrease of $2.5 billion to income (loss) from continuing operations, before income taxes and a decrease to net income (loss) of $2.0 </w:t>
      </w:r>
      <w:r>
        <w:rPr>
          <w:rFonts w:eastAsia="Times New Roman"/>
          <w:color w:val="000000"/>
          <w:sz w:val="20"/>
          <w:szCs w:val="20"/>
        </w:rPr>
        <w:t>billion.</w:t>
      </w:r>
    </w:p>
    <w:p w:rsidR="00000000" w:rsidRDefault="00897B14">
      <w:pPr>
        <w:ind w:firstLine="360"/>
        <w:divId w:val="1758556116"/>
        <w:rPr>
          <w:rFonts w:eastAsia="Times New Roman"/>
        </w:rPr>
      </w:pPr>
      <w:r>
        <w:rPr>
          <w:rFonts w:eastAsia="Times New Roman"/>
          <w:color w:val="000000"/>
          <w:sz w:val="20"/>
          <w:szCs w:val="20"/>
        </w:rPr>
        <w:t>The net impact of this assumption update on income (loss) from continuing operations, before income taxes of $2.5 billion consisted of an increase in policy charges and fee income of $46 million, an increase in policyholders’ benefits of $1.4 bill</w:t>
      </w:r>
      <w:r>
        <w:rPr>
          <w:rFonts w:eastAsia="Times New Roman"/>
          <w:color w:val="000000"/>
          <w:sz w:val="20"/>
          <w:szCs w:val="20"/>
        </w:rPr>
        <w:t>ion, a decrease in interest credited to policyholders’ account balances of $6 million and an increase in the amortization of DAC of $1.1 billion.</w:t>
      </w:r>
    </w:p>
    <w:p w:rsidR="00000000" w:rsidRDefault="00897B14">
      <w:pPr>
        <w:divId w:val="864756990"/>
        <w:rPr>
          <w:rFonts w:eastAsia="Times New Roman"/>
        </w:rPr>
      </w:pPr>
      <w:r>
        <w:rPr>
          <w:rFonts w:eastAsia="Times New Roman"/>
          <w:b/>
          <w:bCs/>
          <w:color w:val="000000"/>
          <w:sz w:val="20"/>
          <w:szCs w:val="20"/>
        </w:rPr>
        <w:t>Model Changes</w:t>
      </w:r>
    </w:p>
    <w:p w:rsidR="00000000" w:rsidRDefault="00897B14">
      <w:pPr>
        <w:ind w:firstLine="360"/>
        <w:divId w:val="1112170867"/>
        <w:rPr>
          <w:rFonts w:eastAsia="Times New Roman"/>
        </w:rPr>
      </w:pPr>
      <w:r>
        <w:rPr>
          <w:rFonts w:eastAsia="Times New Roman"/>
          <w:color w:val="000000"/>
          <w:sz w:val="20"/>
          <w:szCs w:val="20"/>
        </w:rPr>
        <w:t>There were no material model changes in the first and second quarters of 2021.</w:t>
      </w:r>
    </w:p>
    <w:p w:rsidR="00000000" w:rsidRDefault="00897B14">
      <w:pPr>
        <w:ind w:firstLine="360"/>
        <w:divId w:val="203757686"/>
        <w:rPr>
          <w:rFonts w:eastAsia="Times New Roman"/>
        </w:rPr>
      </w:pPr>
      <w:r>
        <w:rPr>
          <w:rFonts w:eastAsia="Times New Roman"/>
          <w:color w:val="000000"/>
          <w:sz w:val="20"/>
          <w:szCs w:val="20"/>
        </w:rPr>
        <w:t>In the first quar</w:t>
      </w:r>
      <w:r>
        <w:rPr>
          <w:rFonts w:eastAsia="Times New Roman"/>
          <w:color w:val="000000"/>
          <w:sz w:val="20"/>
          <w:szCs w:val="20"/>
        </w:rPr>
        <w:t>ter of 2020, we adopted a new economic scenario generator to calculate the fair value of the GMIB reinsurance contract asset and GMxB derivative features liability, eliminating reliance on AXA Group for scenario production. The new economic scenario genera</w:t>
      </w:r>
      <w:r>
        <w:rPr>
          <w:rFonts w:eastAsia="Times New Roman"/>
          <w:color w:val="000000"/>
          <w:sz w:val="20"/>
          <w:szCs w:val="20"/>
        </w:rPr>
        <w:t xml:space="preserve">tor allows for a tighter calibration of U.S. indices, better reflecting our actual portfolio. </w:t>
      </w:r>
    </w:p>
    <w:p w:rsidR="00000000" w:rsidRDefault="00897B14">
      <w:pPr>
        <w:divId w:val="52966110"/>
        <w:rPr>
          <w:rFonts w:eastAsia="Times New Roman"/>
        </w:rPr>
      </w:pPr>
      <w:r>
        <w:rPr>
          <w:rFonts w:eastAsia="Times New Roman"/>
          <w:i/>
          <w:iCs/>
          <w:color w:val="000000"/>
          <w:sz w:val="20"/>
          <w:szCs w:val="20"/>
          <w:u w:val="single"/>
        </w:rPr>
        <w:t>Impact of the First Quarter 2020 Assumption Update, and COVID-19 Impacts on Pre-tax Non-GAAP Operating Earnings Adjustments</w:t>
      </w:r>
    </w:p>
    <w:p w:rsidR="00000000" w:rsidRDefault="00897B14">
      <w:pPr>
        <w:ind w:firstLine="360"/>
        <w:divId w:val="1984919342"/>
        <w:rPr>
          <w:rFonts w:eastAsia="Times New Roman"/>
        </w:rPr>
      </w:pPr>
      <w:r>
        <w:rPr>
          <w:rFonts w:eastAsia="Times New Roman"/>
          <w:color w:val="000000"/>
          <w:sz w:val="20"/>
          <w:szCs w:val="20"/>
        </w:rPr>
        <w:t>The unprecedented and rapid spread of</w:t>
      </w:r>
      <w:r>
        <w:rPr>
          <w:rFonts w:eastAsia="Times New Roman"/>
          <w:color w:val="000000"/>
          <w:sz w:val="20"/>
          <w:szCs w:val="20"/>
        </w:rPr>
        <w:t xml:space="preserve"> COVID-19 and the related restrictions and social distancing measures implemented throughout the world caused severe, lasting turmoil in the financial markets during the first three months of 2020. </w:t>
      </w:r>
    </w:p>
    <w:p w:rsidR="00000000" w:rsidRDefault="00897B14">
      <w:pPr>
        <w:ind w:firstLine="360"/>
        <w:divId w:val="1400591460"/>
        <w:rPr>
          <w:rFonts w:eastAsia="Times New Roman"/>
        </w:rPr>
      </w:pPr>
      <w:r>
        <w:rPr>
          <w:rFonts w:eastAsia="Times New Roman"/>
          <w:color w:val="000000"/>
          <w:sz w:val="20"/>
          <w:szCs w:val="20"/>
        </w:rPr>
        <w:t>The Company’s accounting policy governing its Non-GAAP Op</w:t>
      </w:r>
      <w:r>
        <w:rPr>
          <w:rFonts w:eastAsia="Times New Roman"/>
          <w:color w:val="000000"/>
          <w:sz w:val="20"/>
          <w:szCs w:val="20"/>
        </w:rPr>
        <w:t>erating Earnings measure permits adjustments to Non-GAAP Operating Earnings if certain criteria are met, which include if the proposed adjustment relates to a non-recurring event or transaction. Management concluded that all impacts on the Company from the</w:t>
      </w:r>
      <w:r>
        <w:rPr>
          <w:rFonts w:eastAsia="Times New Roman"/>
          <w:color w:val="000000"/>
          <w:sz w:val="20"/>
          <w:szCs w:val="20"/>
        </w:rPr>
        <w:t xml:space="preserve"> COVID-19 pandemic and its effects on the economy meet the indicators of a non-recurring event. Therefore, management has determined that the items set forth in the table below should be included as adjustments to the Non-GAAP Operating Earnings measure so</w:t>
      </w:r>
      <w:r>
        <w:rPr>
          <w:rFonts w:eastAsia="Times New Roman"/>
          <w:color w:val="000000"/>
          <w:sz w:val="20"/>
          <w:szCs w:val="20"/>
        </w:rPr>
        <w:t xml:space="preserve"> that investors can more clearly see the delineation between the operating results of the Company’s core operations and the impact of the items specific to the current COVID-19 pandemic crisis. </w:t>
      </w:r>
    </w:p>
    <w:p w:rsidR="00000000" w:rsidRDefault="00897B14">
      <w:pPr>
        <w:ind w:firstLine="360"/>
        <w:divId w:val="723528901"/>
        <w:rPr>
          <w:rFonts w:eastAsia="Times New Roman"/>
        </w:rPr>
      </w:pPr>
      <w:r>
        <w:rPr>
          <w:rFonts w:eastAsia="Times New Roman"/>
          <w:color w:val="000000"/>
          <w:sz w:val="20"/>
          <w:szCs w:val="20"/>
        </w:rPr>
        <w:t>The table below presents the COVID-19 pandemic related impact</w:t>
      </w:r>
      <w:r>
        <w:rPr>
          <w:rFonts w:eastAsia="Times New Roman"/>
          <w:color w:val="000000"/>
          <w:sz w:val="20"/>
          <w:szCs w:val="20"/>
        </w:rPr>
        <w:t>s on Income (loss) from continuing operations, before income taxes which all occurred during the three and six months ended June 30, 2020 by segment and Corporate and Other, and the COVID-19 pandemic related adjustments included in the reconciliation of Ne</w:t>
      </w:r>
      <w:r>
        <w:rPr>
          <w:rFonts w:eastAsia="Times New Roman"/>
          <w:color w:val="000000"/>
          <w:sz w:val="20"/>
          <w:szCs w:val="20"/>
        </w:rPr>
        <w:t>t Income (loss) attributable to Holdings to Non-GAAP Operating Earnings:</w:t>
      </w:r>
    </w:p>
    <w:tbl>
      <w:tblPr>
        <w:tblW w:w="4744" w:type="pct"/>
        <w:tblCellMar>
          <w:top w:w="15" w:type="dxa"/>
          <w:left w:w="15" w:type="dxa"/>
          <w:bottom w:w="15" w:type="dxa"/>
          <w:right w:w="15" w:type="dxa"/>
        </w:tblCellMar>
        <w:tblLook w:val="04A0" w:firstRow="1" w:lastRow="0" w:firstColumn="1" w:lastColumn="0" w:noHBand="0" w:noVBand="1"/>
      </w:tblPr>
      <w:tblGrid>
        <w:gridCol w:w="39"/>
        <w:gridCol w:w="4955"/>
        <w:gridCol w:w="38"/>
        <w:gridCol w:w="121"/>
        <w:gridCol w:w="775"/>
        <w:gridCol w:w="36"/>
        <w:gridCol w:w="36"/>
        <w:gridCol w:w="36"/>
        <w:gridCol w:w="36"/>
        <w:gridCol w:w="121"/>
        <w:gridCol w:w="775"/>
        <w:gridCol w:w="36"/>
        <w:gridCol w:w="36"/>
        <w:gridCol w:w="36"/>
        <w:gridCol w:w="36"/>
        <w:gridCol w:w="120"/>
        <w:gridCol w:w="613"/>
        <w:gridCol w:w="36"/>
      </w:tblGrid>
      <w:tr w:rsidR="00000000">
        <w:trPr>
          <w:divId w:val="1264343203"/>
        </w:trPr>
        <w:tc>
          <w:tcPr>
            <w:tcW w:w="50" w:type="pct"/>
            <w:vAlign w:val="center"/>
            <w:hideMark/>
          </w:tcPr>
          <w:p w:rsidR="00000000" w:rsidRDefault="00897B14">
            <w:pPr>
              <w:ind w:firstLine="360"/>
              <w:rPr>
                <w:rFonts w:eastAsia="Times New Roman"/>
              </w:rPr>
            </w:pPr>
          </w:p>
        </w:tc>
        <w:tc>
          <w:tcPr>
            <w:tcW w:w="31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26434320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 2020</w:t>
            </w:r>
          </w:p>
        </w:tc>
      </w:tr>
      <w:tr w:rsidR="00000000">
        <w:trPr>
          <w:divId w:val="1264343203"/>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COVID-19 Impacts</w:t>
            </w:r>
          </w:p>
        </w:tc>
      </w:tr>
      <w:tr w:rsidR="00000000">
        <w:trPr>
          <w:divId w:val="1264343203"/>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1264343203"/>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264343203"/>
        </w:trPr>
        <w:tc>
          <w:tcPr>
            <w:tcW w:w="0" w:type="auto"/>
            <w:gridSpan w:val="3"/>
            <w:tcMar>
              <w:top w:w="30" w:type="dxa"/>
              <w:left w:w="20" w:type="dxa"/>
              <w:bottom w:w="30" w:type="dxa"/>
              <w:right w:w="20" w:type="dxa"/>
            </w:tcMar>
            <w:vAlign w:val="bottom"/>
            <w:hideMark/>
          </w:tcPr>
          <w:p w:rsidR="00000000" w:rsidRDefault="00897B14">
            <w:pPr>
              <w:spacing w:after="100"/>
              <w:divId w:val="474877698"/>
              <w:rPr>
                <w:rFonts w:eastAsia="Times New Roman"/>
              </w:rPr>
            </w:pPr>
            <w:r>
              <w:rPr>
                <w:rFonts w:eastAsia="Times New Roman"/>
                <w:color w:val="000000"/>
                <w:sz w:val="20"/>
                <w:szCs w:val="20"/>
              </w:rPr>
              <w:t>Net income (loss) from continuing operations, before income taxes by Segment and Corporate and Other:</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64343203"/>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343203"/>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343203"/>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343203"/>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343203"/>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343203"/>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divId w:val="1526016727"/>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divId w:val="95710008"/>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divId w:val="1754429976"/>
              <w:rPr>
                <w:rFonts w:eastAsia="Times New Roman"/>
              </w:rPr>
            </w:pPr>
          </w:p>
        </w:tc>
      </w:tr>
    </w:tbl>
    <w:p w:rsidR="00000000" w:rsidRDefault="00897B14">
      <w:pPr>
        <w:jc w:val="center"/>
        <w:divId w:val="239365558"/>
        <w:rPr>
          <w:rFonts w:eastAsia="Times New Roman"/>
        </w:rPr>
      </w:pPr>
      <w:r>
        <w:rPr>
          <w:rFonts w:eastAsia="Times New Roman"/>
          <w:color w:val="000000"/>
          <w:sz w:val="20"/>
          <w:szCs w:val="20"/>
        </w:rPr>
        <w:t>76</w:t>
      </w:r>
    </w:p>
    <w:p w:rsidR="00000000" w:rsidRDefault="00897B14">
      <w:pPr>
        <w:rPr>
          <w:rFonts w:eastAsia="Times New Roman"/>
        </w:rPr>
      </w:pPr>
      <w:r>
        <w:rPr>
          <w:rFonts w:eastAsia="Times New Roman"/>
        </w:rPr>
        <w:pict>
          <v:rect id="_x0000_i1102" style="width:0;height:1.5pt" o:hralign="center" o:hrstd="t" o:hr="t" fillcolor="#a0a0a0" stroked="f"/>
        </w:pict>
      </w:r>
    </w:p>
    <w:p w:rsidR="00000000" w:rsidRDefault="00897B14">
      <w:pPr>
        <w:ind w:firstLine="360"/>
        <w:divId w:val="358512870"/>
        <w:rPr>
          <w:rFonts w:eastAsia="Times New Roman"/>
        </w:rPr>
      </w:pPr>
      <w:hyperlink w:anchor="i4720991a3d574ba2ab7d34b235a82556_10" w:history="1">
        <w:r>
          <w:rPr>
            <w:rStyle w:val="a3"/>
            <w:rFonts w:eastAsia="Times New Roman"/>
            <w:b/>
            <w:bCs/>
            <w:sz w:val="20"/>
            <w:szCs w:val="20"/>
          </w:rPr>
          <w:t>Table of Contents</w:t>
        </w:r>
      </w:hyperlink>
    </w:p>
    <w:tbl>
      <w:tblPr>
        <w:tblW w:w="4744" w:type="pct"/>
        <w:tblCellMar>
          <w:top w:w="15" w:type="dxa"/>
          <w:left w:w="15" w:type="dxa"/>
          <w:bottom w:w="15" w:type="dxa"/>
          <w:right w:w="15" w:type="dxa"/>
        </w:tblCellMar>
        <w:tblLook w:val="04A0" w:firstRow="1" w:lastRow="0" w:firstColumn="1" w:lastColumn="0" w:noHBand="0" w:noVBand="1"/>
      </w:tblPr>
      <w:tblGrid>
        <w:gridCol w:w="37"/>
        <w:gridCol w:w="4957"/>
        <w:gridCol w:w="36"/>
        <w:gridCol w:w="121"/>
        <w:gridCol w:w="775"/>
        <w:gridCol w:w="36"/>
        <w:gridCol w:w="36"/>
        <w:gridCol w:w="36"/>
        <w:gridCol w:w="36"/>
        <w:gridCol w:w="121"/>
        <w:gridCol w:w="775"/>
        <w:gridCol w:w="36"/>
        <w:gridCol w:w="36"/>
        <w:gridCol w:w="36"/>
        <w:gridCol w:w="36"/>
        <w:gridCol w:w="120"/>
        <w:gridCol w:w="615"/>
        <w:gridCol w:w="36"/>
      </w:tblGrid>
      <w:tr w:rsidR="00000000">
        <w:trPr>
          <w:divId w:val="1396853371"/>
        </w:trPr>
        <w:tc>
          <w:tcPr>
            <w:tcW w:w="50" w:type="pct"/>
            <w:vAlign w:val="center"/>
            <w:hideMark/>
          </w:tcPr>
          <w:p w:rsidR="00000000" w:rsidRDefault="00897B14">
            <w:pPr>
              <w:ind w:firstLine="360"/>
              <w:rPr>
                <w:rFonts w:eastAsia="Times New Roman"/>
              </w:rPr>
            </w:pPr>
          </w:p>
        </w:tc>
        <w:tc>
          <w:tcPr>
            <w:tcW w:w="31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39685337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 2020</w:t>
            </w:r>
          </w:p>
        </w:tc>
      </w:tr>
      <w:tr w:rsidR="00000000">
        <w:trPr>
          <w:divId w:val="139685337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COVID-19 Impacts</w:t>
            </w:r>
          </w:p>
        </w:tc>
      </w:tr>
      <w:tr w:rsidR="00000000">
        <w:trPr>
          <w:divId w:val="139685337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139685337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39685337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396853371"/>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Variable annuities product features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396853371"/>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adjustments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396853371"/>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90"/>
        <w:divId w:val="1886403470"/>
        <w:rPr>
          <w:rFonts w:eastAsia="Times New Roman"/>
        </w:rPr>
      </w:pPr>
      <w:r>
        <w:rPr>
          <w:rFonts w:eastAsia="Times New Roman"/>
          <w:color w:val="000000"/>
          <w:sz w:val="18"/>
          <w:szCs w:val="18"/>
        </w:rPr>
        <w:t>_______________</w:t>
      </w:r>
    </w:p>
    <w:p w:rsidR="00000000" w:rsidRDefault="00897B14">
      <w:pPr>
        <w:ind w:hanging="180"/>
        <w:divId w:val="1030568286"/>
        <w:rPr>
          <w:rFonts w:eastAsia="Times New Roman"/>
        </w:rPr>
      </w:pPr>
      <w:r>
        <w:rPr>
          <w:rFonts w:eastAsia="Times New Roman"/>
          <w:color w:val="000000"/>
          <w:sz w:val="18"/>
          <w:szCs w:val="18"/>
        </w:rPr>
        <w:t>(1) Includes adjustments to Non-GAAP Operating Earnings primarily due to non-variable annuity hedging impacts resulting from unprecedented volatility in equity markets</w:t>
      </w:r>
    </w:p>
    <w:tbl>
      <w:tblPr>
        <w:tblW w:w="4744" w:type="pct"/>
        <w:tblCellMar>
          <w:top w:w="15" w:type="dxa"/>
          <w:left w:w="15" w:type="dxa"/>
          <w:bottom w:w="15" w:type="dxa"/>
          <w:right w:w="15" w:type="dxa"/>
        </w:tblCellMar>
        <w:tblLook w:val="04A0" w:firstRow="1" w:lastRow="0" w:firstColumn="1" w:lastColumn="0" w:noHBand="0" w:noVBand="1"/>
      </w:tblPr>
      <w:tblGrid>
        <w:gridCol w:w="39"/>
        <w:gridCol w:w="4955"/>
        <w:gridCol w:w="38"/>
        <w:gridCol w:w="121"/>
        <w:gridCol w:w="775"/>
        <w:gridCol w:w="36"/>
        <w:gridCol w:w="36"/>
        <w:gridCol w:w="36"/>
        <w:gridCol w:w="36"/>
        <w:gridCol w:w="121"/>
        <w:gridCol w:w="775"/>
        <w:gridCol w:w="36"/>
        <w:gridCol w:w="36"/>
        <w:gridCol w:w="36"/>
        <w:gridCol w:w="36"/>
        <w:gridCol w:w="120"/>
        <w:gridCol w:w="613"/>
        <w:gridCol w:w="36"/>
      </w:tblGrid>
      <w:tr w:rsidR="00000000">
        <w:trPr>
          <w:divId w:val="1971082956"/>
        </w:trPr>
        <w:tc>
          <w:tcPr>
            <w:tcW w:w="50" w:type="pct"/>
            <w:vAlign w:val="center"/>
            <w:hideMark/>
          </w:tcPr>
          <w:p w:rsidR="00000000" w:rsidRDefault="00897B14">
            <w:pPr>
              <w:ind w:hanging="180"/>
              <w:rPr>
                <w:rFonts w:eastAsia="Times New Roman"/>
              </w:rPr>
            </w:pPr>
          </w:p>
        </w:tc>
        <w:tc>
          <w:tcPr>
            <w:tcW w:w="31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971082956"/>
          <w:trHeight w:val="24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971082956"/>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 2020</w:t>
            </w:r>
          </w:p>
        </w:tc>
      </w:tr>
      <w:tr w:rsidR="00000000">
        <w:trPr>
          <w:divId w:val="197108295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COVID-19 Impacts</w:t>
            </w:r>
          </w:p>
        </w:tc>
      </w:tr>
      <w:tr w:rsidR="00000000">
        <w:trPr>
          <w:divId w:val="197108295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w:t>
            </w:r>
          </w:p>
        </w:tc>
      </w:tr>
      <w:tr w:rsidR="00000000">
        <w:trPr>
          <w:divId w:val="197108295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971082956"/>
        </w:trPr>
        <w:tc>
          <w:tcPr>
            <w:tcW w:w="0" w:type="auto"/>
            <w:gridSpan w:val="3"/>
            <w:tcMar>
              <w:top w:w="30" w:type="dxa"/>
              <w:left w:w="20" w:type="dxa"/>
              <w:bottom w:w="30" w:type="dxa"/>
              <w:right w:w="20" w:type="dxa"/>
            </w:tcMar>
            <w:vAlign w:val="bottom"/>
            <w:hideMark/>
          </w:tcPr>
          <w:p w:rsidR="00000000" w:rsidRDefault="00897B14">
            <w:pPr>
              <w:spacing w:after="100"/>
              <w:divId w:val="1705254940"/>
              <w:rPr>
                <w:rFonts w:eastAsia="Times New Roman"/>
              </w:rPr>
            </w:pPr>
            <w:r>
              <w:rPr>
                <w:rFonts w:eastAsia="Times New Roman"/>
                <w:color w:val="000000"/>
                <w:sz w:val="20"/>
                <w:szCs w:val="20"/>
              </w:rPr>
              <w:t>Net income (loss) from continuing operations, before income taxes by Segment and Corporate and Other:</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971082956"/>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(1,417)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(1,460)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971082956"/>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971082956"/>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(1,091)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971082956"/>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971082956"/>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971082956"/>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divId w:val="1690326517"/>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divId w:val="731008503"/>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897B14">
            <w:pPr>
              <w:spacing w:after="100"/>
              <w:divId w:val="451093536"/>
              <w:rPr>
                <w:rFonts w:eastAsia="Times New Roman"/>
              </w:rPr>
            </w:pPr>
          </w:p>
        </w:tc>
      </w:tr>
      <w:tr w:rsidR="00000000">
        <w:trPr>
          <w:divId w:val="1971082956"/>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971082956"/>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Variable annuities product features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(1,468)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(1,503)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971082956"/>
        </w:trPr>
        <w:tc>
          <w:tcPr>
            <w:tcW w:w="0" w:type="auto"/>
            <w:gridSpan w:val="3"/>
            <w:shd w:val="clear" w:color="auto" w:fill="CCEE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adjustments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(1,135)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971082956"/>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90"/>
        <w:divId w:val="1714428171"/>
        <w:rPr>
          <w:rFonts w:eastAsia="Times New Roman"/>
        </w:rPr>
      </w:pPr>
      <w:r>
        <w:rPr>
          <w:rFonts w:eastAsia="Times New Roman"/>
          <w:color w:val="000000"/>
          <w:sz w:val="18"/>
          <w:szCs w:val="18"/>
        </w:rPr>
        <w:t>_______________</w:t>
      </w:r>
    </w:p>
    <w:p w:rsidR="00000000" w:rsidRDefault="00897B14">
      <w:pPr>
        <w:ind w:hanging="180"/>
        <w:divId w:val="1115782700"/>
        <w:rPr>
          <w:rFonts w:eastAsia="Times New Roman"/>
        </w:rPr>
      </w:pPr>
      <w:r>
        <w:rPr>
          <w:rFonts w:eastAsia="Times New Roman"/>
          <w:color w:val="000000"/>
          <w:sz w:val="18"/>
          <w:szCs w:val="18"/>
        </w:rPr>
        <w:t>(1) Includes adjustments to Non-GAAP Operating Earnings primarily due to non-variable annuity hedging impacts resulting from unprecedented volatility in equity markets</w:t>
      </w:r>
    </w:p>
    <w:p w:rsidR="00000000" w:rsidRDefault="00897B14">
      <w:pPr>
        <w:ind w:firstLine="360"/>
        <w:divId w:val="2098820286"/>
        <w:rPr>
          <w:rFonts w:eastAsia="Times New Roman"/>
        </w:rPr>
      </w:pPr>
      <w:r>
        <w:rPr>
          <w:rFonts w:eastAsia="Times New Roman"/>
          <w:color w:val="000000"/>
          <w:sz w:val="20"/>
          <w:szCs w:val="20"/>
        </w:rPr>
        <w:t>Adjustments related to the Individual Retirement and Group Retirement segments are prima</w:t>
      </w:r>
      <w:r>
        <w:rPr>
          <w:rFonts w:eastAsia="Times New Roman"/>
          <w:color w:val="000000"/>
          <w:sz w:val="20"/>
          <w:szCs w:val="20"/>
        </w:rPr>
        <w:t>rily included in the “Variable annuities product features” in the reconciliation of Net income (loss) attributable to Holdings to Non-GAAP Operating Earnings. All other adjustments are included in “Other”. This impact has been more than offset by hedging g</w:t>
      </w:r>
      <w:r>
        <w:rPr>
          <w:rFonts w:eastAsia="Times New Roman"/>
          <w:color w:val="000000"/>
          <w:sz w:val="20"/>
          <w:szCs w:val="20"/>
        </w:rPr>
        <w:t>ains.</w:t>
      </w:r>
    </w:p>
    <w:p w:rsidR="00000000" w:rsidRDefault="00897B14">
      <w:pPr>
        <w:divId w:val="1163399369"/>
        <w:rPr>
          <w:rFonts w:eastAsia="Times New Roman"/>
        </w:rPr>
      </w:pPr>
      <w:r>
        <w:rPr>
          <w:rFonts w:eastAsia="Times New Roman"/>
          <w:b/>
          <w:bCs/>
          <w:color w:val="000000"/>
          <w:sz w:val="20"/>
          <w:szCs w:val="20"/>
        </w:rPr>
        <w:t xml:space="preserve">Macroeconomic and Industry Trends </w:t>
      </w:r>
    </w:p>
    <w:p w:rsidR="00000000" w:rsidRDefault="00897B14">
      <w:pPr>
        <w:ind w:firstLine="360"/>
        <w:divId w:val="190263190"/>
        <w:rPr>
          <w:rFonts w:eastAsia="Times New Roman"/>
        </w:rPr>
      </w:pPr>
      <w:r>
        <w:rPr>
          <w:rFonts w:eastAsia="Times New Roman"/>
          <w:color w:val="000000"/>
          <w:sz w:val="20"/>
          <w:szCs w:val="20"/>
        </w:rPr>
        <w:t xml:space="preserve">Our business and consolidated results of operations are significantly affected by economic conditions and consumer confidence, conditions in the global capital markets and the interest rate environment. </w:t>
      </w:r>
    </w:p>
    <w:p w:rsidR="00000000" w:rsidRDefault="00897B14">
      <w:pPr>
        <w:jc w:val="both"/>
        <w:divId w:val="842746866"/>
        <w:rPr>
          <w:rFonts w:eastAsia="Times New Roman"/>
        </w:rPr>
      </w:pPr>
      <w:r>
        <w:rPr>
          <w:rFonts w:eastAsia="Times New Roman"/>
          <w:b/>
          <w:bCs/>
          <w:i/>
          <w:iCs/>
          <w:color w:val="000000"/>
          <w:sz w:val="20"/>
          <w:szCs w:val="20"/>
        </w:rPr>
        <w:t>Financial a</w:t>
      </w:r>
      <w:r>
        <w:rPr>
          <w:rFonts w:eastAsia="Times New Roman"/>
          <w:b/>
          <w:bCs/>
          <w:i/>
          <w:iCs/>
          <w:color w:val="000000"/>
          <w:sz w:val="20"/>
          <w:szCs w:val="20"/>
        </w:rPr>
        <w:t xml:space="preserve">nd Economic Environment </w:t>
      </w:r>
    </w:p>
    <w:p w:rsidR="00000000" w:rsidRDefault="00897B14">
      <w:pPr>
        <w:ind w:firstLine="360"/>
        <w:divId w:val="428163985"/>
        <w:rPr>
          <w:rFonts w:eastAsia="Times New Roman"/>
        </w:rPr>
      </w:pPr>
      <w:r>
        <w:rPr>
          <w:rFonts w:eastAsia="Times New Roman"/>
          <w:color w:val="000000"/>
          <w:sz w:val="20"/>
          <w:szCs w:val="20"/>
        </w:rPr>
        <w:t>A wide variety of factors continue to impact global financial and economic conditions. These factors include, among others, significant volatility in financial markets and continued high unemployment levels as a result of the COVID</w:t>
      </w:r>
      <w:r>
        <w:rPr>
          <w:rFonts w:eastAsia="Times New Roman"/>
          <w:color w:val="000000"/>
          <w:sz w:val="20"/>
          <w:szCs w:val="20"/>
        </w:rPr>
        <w:t>-19 pandemic, concerns over economic growth in the United States and continued low interest rates.</w:t>
      </w:r>
    </w:p>
    <w:p w:rsidR="00000000" w:rsidRDefault="00897B14">
      <w:pPr>
        <w:jc w:val="center"/>
        <w:divId w:val="587470714"/>
        <w:rPr>
          <w:rFonts w:eastAsia="Times New Roman"/>
        </w:rPr>
      </w:pPr>
      <w:r>
        <w:rPr>
          <w:rFonts w:eastAsia="Times New Roman"/>
          <w:color w:val="000000"/>
          <w:sz w:val="20"/>
          <w:szCs w:val="20"/>
        </w:rPr>
        <w:t>77</w:t>
      </w:r>
    </w:p>
    <w:p w:rsidR="00000000" w:rsidRDefault="00897B14">
      <w:pPr>
        <w:rPr>
          <w:rFonts w:eastAsia="Times New Roman"/>
        </w:rPr>
      </w:pPr>
      <w:r>
        <w:rPr>
          <w:rFonts w:eastAsia="Times New Roman"/>
        </w:rPr>
        <w:pict>
          <v:rect id="_x0000_i1103" style="width:0;height:1.5pt" o:hralign="center" o:hrstd="t" o:hr="t" fillcolor="#a0a0a0" stroked="f"/>
        </w:pict>
      </w:r>
    </w:p>
    <w:p w:rsidR="00000000" w:rsidRDefault="00897B14">
      <w:pPr>
        <w:ind w:firstLine="360"/>
        <w:divId w:val="1816220929"/>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firstLine="360"/>
        <w:divId w:val="2097941519"/>
        <w:rPr>
          <w:rFonts w:eastAsia="Times New Roman"/>
        </w:rPr>
      </w:pPr>
      <w:r>
        <w:rPr>
          <w:rFonts w:eastAsia="Times New Roman"/>
          <w:color w:val="000000"/>
          <w:sz w:val="20"/>
          <w:szCs w:val="20"/>
        </w:rPr>
        <w:t>Stressed conditions, volatility and disru</w:t>
      </w:r>
      <w:r>
        <w:rPr>
          <w:rFonts w:eastAsia="Times New Roman"/>
          <w:color w:val="000000"/>
          <w:sz w:val="20"/>
          <w:szCs w:val="20"/>
        </w:rPr>
        <w:t xml:space="preserve">ptions in the capital markets, particular markets, or financial asset classes can have an adverse effect on us, in part because we have a large investment portfolio and our insurance liabilities and derivatives are sensitive to changing market factors. An </w:t>
      </w:r>
      <w:r>
        <w:rPr>
          <w:rFonts w:eastAsia="Times New Roman"/>
          <w:color w:val="000000"/>
          <w:sz w:val="20"/>
          <w:szCs w:val="20"/>
        </w:rPr>
        <w:t>increase in market volatility could continue to affect our business, including through effects on the yields we earn on invested assets, changes in required reserves and capital and fluctuations in the value of our AUM, AV or AUA from which we derive our f</w:t>
      </w:r>
      <w:r>
        <w:rPr>
          <w:rFonts w:eastAsia="Times New Roman"/>
          <w:color w:val="000000"/>
          <w:sz w:val="20"/>
          <w:szCs w:val="20"/>
        </w:rPr>
        <w:t xml:space="preserve">ee income. These effects could be exacerbated by uncertainty about future fiscal policy, changes in tax policy, the scope of potential deregulation and levels of global trade. </w:t>
      </w:r>
    </w:p>
    <w:p w:rsidR="00000000" w:rsidRDefault="00897B14">
      <w:pPr>
        <w:ind w:firstLine="360"/>
        <w:divId w:val="924218808"/>
        <w:rPr>
          <w:rFonts w:eastAsia="Times New Roman"/>
        </w:rPr>
      </w:pPr>
      <w:r>
        <w:rPr>
          <w:rFonts w:eastAsia="Times New Roman"/>
          <w:color w:val="000000"/>
          <w:sz w:val="20"/>
          <w:szCs w:val="20"/>
        </w:rPr>
        <w:t xml:space="preserve">The potential for increased volatility, coupled with prevailing interest rates </w:t>
      </w:r>
      <w:r>
        <w:rPr>
          <w:rFonts w:eastAsia="Times New Roman"/>
          <w:color w:val="000000"/>
          <w:sz w:val="20"/>
          <w:szCs w:val="20"/>
        </w:rPr>
        <w:t>falling and/or remaining below historical averages, could pressure sales and reduce demand for our products as consumers consider purchasing alternative products to meet their objectives. In addition, this environment could make it difficult to consistentl</w:t>
      </w:r>
      <w:r>
        <w:rPr>
          <w:rFonts w:eastAsia="Times New Roman"/>
          <w:color w:val="000000"/>
          <w:sz w:val="20"/>
          <w:szCs w:val="20"/>
        </w:rPr>
        <w:t>y develop products that are attractive to customers. Financial performance can be adversely affected by market volatility and equity market declines as fees driven by AV and AUM fluctuate, hedging costs increase and revenues decline due to reduced sales an</w:t>
      </w:r>
      <w:r>
        <w:rPr>
          <w:rFonts w:eastAsia="Times New Roman"/>
          <w:color w:val="000000"/>
          <w:sz w:val="20"/>
          <w:szCs w:val="20"/>
        </w:rPr>
        <w:t xml:space="preserve">d increased outflows. </w:t>
      </w:r>
    </w:p>
    <w:p w:rsidR="00000000" w:rsidRDefault="00897B14">
      <w:pPr>
        <w:ind w:firstLine="360"/>
        <w:divId w:val="1319768070"/>
        <w:rPr>
          <w:rFonts w:eastAsia="Times New Roman"/>
        </w:rPr>
      </w:pPr>
      <w:r>
        <w:rPr>
          <w:rFonts w:eastAsia="Times New Roman"/>
          <w:color w:val="000000"/>
          <w:sz w:val="20"/>
          <w:szCs w:val="20"/>
        </w:rPr>
        <w:t>We monitor the behavior of our customers and other factors, including mortality rates, morbidity rates, annuitization rates and lapse and surrender rates, which change in response to changes in capital market conditions, to ensure th</w:t>
      </w:r>
      <w:r>
        <w:rPr>
          <w:rFonts w:eastAsia="Times New Roman"/>
          <w:color w:val="000000"/>
          <w:sz w:val="20"/>
          <w:szCs w:val="20"/>
        </w:rPr>
        <w:t xml:space="preserve">at our products and solutions remain attractive and profitable. For additional information on our sensitivity to interest rates and capital market prices, see “Quantitative and Qualitative Disclosures About Market Risk.” </w:t>
      </w:r>
    </w:p>
    <w:p w:rsidR="00000000" w:rsidRDefault="00897B14">
      <w:pPr>
        <w:jc w:val="both"/>
        <w:divId w:val="827982112"/>
        <w:rPr>
          <w:rFonts w:eastAsia="Times New Roman"/>
        </w:rPr>
      </w:pPr>
      <w:r>
        <w:rPr>
          <w:rFonts w:eastAsia="Times New Roman"/>
          <w:b/>
          <w:bCs/>
          <w:i/>
          <w:iCs/>
          <w:color w:val="000000"/>
          <w:sz w:val="20"/>
          <w:szCs w:val="20"/>
        </w:rPr>
        <w:t xml:space="preserve">Interest Rate Environment </w:t>
      </w:r>
    </w:p>
    <w:p w:rsidR="00000000" w:rsidRDefault="00897B14">
      <w:pPr>
        <w:ind w:firstLine="360"/>
        <w:divId w:val="529729345"/>
        <w:rPr>
          <w:rFonts w:eastAsia="Times New Roman"/>
        </w:rPr>
      </w:pPr>
      <w:r>
        <w:rPr>
          <w:rFonts w:eastAsia="Times New Roman"/>
          <w:color w:val="000000"/>
          <w:sz w:val="20"/>
          <w:szCs w:val="20"/>
        </w:rPr>
        <w:t>We beli</w:t>
      </w:r>
      <w:r>
        <w:rPr>
          <w:rFonts w:eastAsia="Times New Roman"/>
          <w:color w:val="000000"/>
          <w:sz w:val="20"/>
          <w:szCs w:val="20"/>
        </w:rPr>
        <w:t xml:space="preserve">eve the interest rate environment will continue to impact our business and financial performance in the future for several reasons, including the following: </w:t>
      </w:r>
    </w:p>
    <w:p w:rsidR="00000000" w:rsidRDefault="00897B14">
      <w:pPr>
        <w:ind w:hanging="360"/>
        <w:jc w:val="both"/>
        <w:divId w:val="1263957371"/>
        <w:rPr>
          <w:rFonts w:eastAsia="Times New Roman"/>
        </w:rPr>
      </w:pPr>
      <w:r>
        <w:rPr>
          <w:rFonts w:eastAsia="Times New Roman"/>
          <w:color w:val="000000"/>
          <w:sz w:val="20"/>
          <w:szCs w:val="20"/>
        </w:rPr>
        <w:t>•Certain of our variable annuity and life insurance products pay guaranteed minimum interest credi</w:t>
      </w:r>
      <w:r>
        <w:rPr>
          <w:rFonts w:eastAsia="Times New Roman"/>
          <w:color w:val="000000"/>
          <w:sz w:val="20"/>
          <w:szCs w:val="20"/>
        </w:rPr>
        <w:t>ting rates. We are required to pay these guaranteed minimum rates even if earnings on our investment portfolio decline, with the resulting investment margin compression negatively impacting earnings. In addition, we expect more policyholders to hold polici</w:t>
      </w:r>
      <w:r>
        <w:rPr>
          <w:rFonts w:eastAsia="Times New Roman"/>
          <w:color w:val="000000"/>
          <w:sz w:val="20"/>
          <w:szCs w:val="20"/>
        </w:rPr>
        <w:t>es with comparatively high guaranteed rates longer (lower lapse rates) in a low interest rate environment. Conversely, a rise in average yield on our investment portfolio should positively impact earnings. Similarly, we expect policyholders would be less l</w:t>
      </w:r>
      <w:r>
        <w:rPr>
          <w:rFonts w:eastAsia="Times New Roman"/>
          <w:color w:val="000000"/>
          <w:sz w:val="20"/>
          <w:szCs w:val="20"/>
        </w:rPr>
        <w:t xml:space="preserve">ikely to hold policies with existing guaranteed rates (higher lapse rates) as interest rates rise. </w:t>
      </w:r>
    </w:p>
    <w:p w:rsidR="00000000" w:rsidRDefault="00897B14">
      <w:pPr>
        <w:ind w:hanging="360"/>
        <w:divId w:val="354623686"/>
        <w:rPr>
          <w:rFonts w:eastAsia="Times New Roman"/>
        </w:rPr>
      </w:pPr>
      <w:r>
        <w:rPr>
          <w:rFonts w:eastAsia="Times New Roman"/>
          <w:color w:val="000000"/>
          <w:sz w:val="20"/>
          <w:szCs w:val="20"/>
        </w:rPr>
        <w:t>•A prolonged low interest rate environment also may subject us to increased hedging costs or an increase in the amount of statutory reserves that our insura</w:t>
      </w:r>
      <w:r>
        <w:rPr>
          <w:rFonts w:eastAsia="Times New Roman"/>
          <w:color w:val="000000"/>
          <w:sz w:val="20"/>
          <w:szCs w:val="20"/>
        </w:rPr>
        <w:t>nce subsidiaries are required to hold for GMxB features, lowering their statutory surplus, which would adversely affect their ability to pay dividends to us. In addition, it may also increase the perceived value of GMxB features to our policyholders, which</w:t>
      </w:r>
      <w:r>
        <w:rPr>
          <w:rFonts w:eastAsia="Times New Roman"/>
          <w:color w:val="000000"/>
          <w:sz w:val="20"/>
          <w:szCs w:val="20"/>
        </w:rPr>
        <w:t xml:space="preserve"> in turn may lead to a higher rate of annuitization and higher persistency of those products over time. Finally, low interest rates may continue to cause an acceleration of DAC amortization or reserve increase due to loss recognition for interest sensitive</w:t>
      </w:r>
      <w:r>
        <w:rPr>
          <w:rFonts w:eastAsia="Times New Roman"/>
          <w:color w:val="000000"/>
          <w:sz w:val="20"/>
          <w:szCs w:val="20"/>
        </w:rPr>
        <w:t xml:space="preserve"> products, primarily for our Protection Solutions segment. </w:t>
      </w:r>
    </w:p>
    <w:p w:rsidR="00000000" w:rsidRDefault="00897B14">
      <w:pPr>
        <w:ind w:firstLine="360"/>
        <w:divId w:val="1697001016"/>
        <w:rPr>
          <w:rFonts w:eastAsia="Times New Roman"/>
        </w:rPr>
      </w:pPr>
      <w:r>
        <w:rPr>
          <w:rFonts w:eastAsia="Times New Roman"/>
          <w:color w:val="000000"/>
          <w:sz w:val="20"/>
          <w:szCs w:val="20"/>
        </w:rPr>
        <w:t>For a discussion on derivatives we used to hedge interest rates, see Note 4 of the Notes to the Consolidated Financial Statements in this Form 10-Q.</w:t>
      </w:r>
    </w:p>
    <w:p w:rsidR="00000000" w:rsidRDefault="00897B14">
      <w:pPr>
        <w:jc w:val="both"/>
        <w:divId w:val="930359059"/>
        <w:rPr>
          <w:rFonts w:eastAsia="Times New Roman"/>
        </w:rPr>
      </w:pPr>
      <w:r>
        <w:rPr>
          <w:rFonts w:eastAsia="Times New Roman"/>
          <w:b/>
          <w:bCs/>
          <w:i/>
          <w:iCs/>
          <w:color w:val="000000"/>
          <w:sz w:val="20"/>
          <w:szCs w:val="20"/>
        </w:rPr>
        <w:t xml:space="preserve">Regulatory Developments </w:t>
      </w:r>
    </w:p>
    <w:p w:rsidR="00000000" w:rsidRDefault="00897B14">
      <w:pPr>
        <w:ind w:firstLine="360"/>
        <w:divId w:val="377124947"/>
        <w:rPr>
          <w:rFonts w:eastAsia="Times New Roman"/>
        </w:rPr>
      </w:pPr>
      <w:r>
        <w:rPr>
          <w:rFonts w:eastAsia="Times New Roman"/>
          <w:color w:val="000000"/>
          <w:sz w:val="20"/>
          <w:szCs w:val="20"/>
        </w:rPr>
        <w:t>Our life insurance sub</w:t>
      </w:r>
      <w:r>
        <w:rPr>
          <w:rFonts w:eastAsia="Times New Roman"/>
          <w:color w:val="000000"/>
          <w:sz w:val="20"/>
          <w:szCs w:val="20"/>
        </w:rPr>
        <w:t>sidiaries are regulated primarily at the state level, with some policies and products also subject to federal regulation. In addition, Holdings and its insurance subsidiaries are subject to regulation under the insurance holding company laws of various U.S</w:t>
      </w:r>
      <w:r>
        <w:rPr>
          <w:rFonts w:eastAsia="Times New Roman"/>
          <w:color w:val="000000"/>
          <w:sz w:val="20"/>
          <w:szCs w:val="20"/>
        </w:rPr>
        <w:t>. jurisdictions. Furthermore, on an ongoing basis, regulators refine capital requirements and introduce new reserving standards. Regulations recently adopted or currently under review can potentially impact our statutory reserve, capital requirements and p</w:t>
      </w:r>
      <w:r>
        <w:rPr>
          <w:rFonts w:eastAsia="Times New Roman"/>
          <w:color w:val="000000"/>
          <w:sz w:val="20"/>
          <w:szCs w:val="20"/>
        </w:rPr>
        <w:t>rofitability of the industry and result in increased regulation and oversight for the industry. The following discussion on regulatory developments should be read in conjunction with “Business—Regulation” and “Risk Factors—Legal and Regulatory Risks” in th</w:t>
      </w:r>
      <w:r>
        <w:rPr>
          <w:rFonts w:eastAsia="Times New Roman"/>
          <w:color w:val="000000"/>
          <w:sz w:val="20"/>
          <w:szCs w:val="20"/>
        </w:rPr>
        <w:t xml:space="preserve">e 2020 Form 10-K, as amended or supplemented in our subsequently filed Quarterly Reports on Form 10-Q in “Management’s Discussion and Analysis of Financial Condition and Results of Operations—Macroeconomic and Industry Trends—Regulatory Developments.” </w:t>
      </w:r>
    </w:p>
    <w:p w:rsidR="00000000" w:rsidRDefault="00897B14">
      <w:pPr>
        <w:ind w:firstLine="360"/>
        <w:divId w:val="986326615"/>
        <w:rPr>
          <w:rFonts w:eastAsia="Times New Roman"/>
        </w:rPr>
      </w:pPr>
      <w:r>
        <w:rPr>
          <w:rFonts w:eastAsia="Times New Roman"/>
          <w:i/>
          <w:iCs/>
          <w:color w:val="000000"/>
          <w:sz w:val="20"/>
          <w:szCs w:val="20"/>
        </w:rPr>
        <w:t>Reg</w:t>
      </w:r>
      <w:r>
        <w:rPr>
          <w:rFonts w:eastAsia="Times New Roman"/>
          <w:i/>
          <w:iCs/>
          <w:color w:val="000000"/>
          <w:sz w:val="20"/>
          <w:szCs w:val="20"/>
        </w:rPr>
        <w:t>ulation 213</w:t>
      </w:r>
      <w:r>
        <w:rPr>
          <w:rFonts w:eastAsia="Times New Roman"/>
          <w:color w:val="000000"/>
          <w:sz w:val="20"/>
          <w:szCs w:val="20"/>
        </w:rPr>
        <w:t>. In New York, Regulation 213, adopted in May of 2019 and as amended in February 2020 and March 2021, differs from the NAIC variable annuity reserve and capital framework. Regulation 213, as amended, will not materially affect Holdings’ GAAP fin</w:t>
      </w:r>
      <w:r>
        <w:rPr>
          <w:rFonts w:eastAsia="Times New Roman"/>
          <w:color w:val="000000"/>
          <w:sz w:val="20"/>
          <w:szCs w:val="20"/>
        </w:rPr>
        <w:t xml:space="preserve">ancial condition, results of operations or stockholders’ equity. However, Regulation 213, absent management action, requires Holdings’ principal insurance subsidiary, Equitable Financial, to carry statutory basis reserves for its variable annuity contract </w:t>
      </w:r>
      <w:r>
        <w:rPr>
          <w:rFonts w:eastAsia="Times New Roman"/>
          <w:color w:val="000000"/>
          <w:sz w:val="20"/>
          <w:szCs w:val="20"/>
        </w:rPr>
        <w:t xml:space="preserve">obligations equal to the greater of those required under (i) the NAIC standard or (ii) a revised </w:t>
      </w:r>
    </w:p>
    <w:p w:rsidR="00000000" w:rsidRDefault="00897B14">
      <w:pPr>
        <w:jc w:val="center"/>
        <w:divId w:val="1983339159"/>
        <w:rPr>
          <w:rFonts w:eastAsia="Times New Roman"/>
        </w:rPr>
      </w:pPr>
      <w:r>
        <w:rPr>
          <w:rFonts w:eastAsia="Times New Roman"/>
          <w:color w:val="000000"/>
          <w:sz w:val="20"/>
          <w:szCs w:val="20"/>
        </w:rPr>
        <w:t>78</w:t>
      </w:r>
    </w:p>
    <w:p w:rsidR="00000000" w:rsidRDefault="00897B14">
      <w:pPr>
        <w:rPr>
          <w:rFonts w:eastAsia="Times New Roman"/>
        </w:rPr>
      </w:pPr>
      <w:r>
        <w:rPr>
          <w:rFonts w:eastAsia="Times New Roman"/>
        </w:rPr>
        <w:pict>
          <v:rect id="_x0000_i1104" style="width:0;height:1.5pt" o:hralign="center" o:hrstd="t" o:hr="t" fillcolor="#a0a0a0" stroked="f"/>
        </w:pict>
      </w:r>
    </w:p>
    <w:p w:rsidR="00000000" w:rsidRDefault="00897B14">
      <w:pPr>
        <w:ind w:firstLine="360"/>
        <w:divId w:val="1404330255"/>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330406438"/>
        <w:rPr>
          <w:rFonts w:eastAsia="Times New Roman"/>
        </w:rPr>
      </w:pPr>
      <w:r>
        <w:rPr>
          <w:rFonts w:eastAsia="Times New Roman"/>
          <w:color w:val="000000"/>
          <w:sz w:val="20"/>
          <w:szCs w:val="20"/>
        </w:rPr>
        <w:t>version of the NYDFS requirement in effect prior to the adoption of the first amendment for contracts issued prior to January 1, 2020, and for policies issued after that date a new standard that in current market conditions imposes more conservative reserv</w:t>
      </w:r>
      <w:r>
        <w:rPr>
          <w:rFonts w:eastAsia="Times New Roman"/>
          <w:color w:val="000000"/>
          <w:sz w:val="20"/>
          <w:szCs w:val="20"/>
        </w:rPr>
        <w:t>ing requirements for variable annuity contracts than the NAIC standard. Absent management action, Regulation 213 will (i) negatively impact Equitable Financial’s surplus level and RBC ratio and (ii) materially and adversely affect Equitable Financial’s div</w:t>
      </w:r>
      <w:r>
        <w:rPr>
          <w:rFonts w:eastAsia="Times New Roman"/>
          <w:color w:val="000000"/>
          <w:sz w:val="20"/>
          <w:szCs w:val="20"/>
        </w:rPr>
        <w:t xml:space="preserve">idend capacity from 2021 and moving forward. These impacts would be more adverse in periods of rising equity and/or interest rate markets, as was the case following the equity market appreciation in the second half of 2020 and the first half of 2021. Such </w:t>
      </w:r>
      <w:r>
        <w:rPr>
          <w:rFonts w:eastAsia="Times New Roman"/>
          <w:color w:val="000000"/>
          <w:sz w:val="20"/>
          <w:szCs w:val="20"/>
        </w:rPr>
        <w:t>impacts were exacerbated upon closing of the Venerable transaction. As a holding company, Holdings relies on dividends and other payments from its subsidiaries and, accordingly, any material limitation on Equitable Financial’s dividend capacity could mater</w:t>
      </w:r>
      <w:r>
        <w:rPr>
          <w:rFonts w:eastAsia="Times New Roman"/>
          <w:color w:val="000000"/>
          <w:sz w:val="20"/>
          <w:szCs w:val="20"/>
        </w:rPr>
        <w:t>ially affect Holdings’ ability to return capital to stockholders through dividends and stock repurchases. The Company is considering management actions to mitigate the impact of Regulation 213. These actions could include seeking further amendment of Regul</w:t>
      </w:r>
      <w:r>
        <w:rPr>
          <w:rFonts w:eastAsia="Times New Roman"/>
          <w:color w:val="000000"/>
          <w:sz w:val="20"/>
          <w:szCs w:val="20"/>
        </w:rPr>
        <w:t>ation 213 or exemptive relief therefrom, in addition to a permitted practice recently granted by the NYDFS which partially mitigates the Regulation 213 impact of the Venerable transaction to make the regulation’s application to Equitable Financial more con</w:t>
      </w:r>
      <w:r>
        <w:rPr>
          <w:rFonts w:eastAsia="Times New Roman"/>
          <w:color w:val="000000"/>
          <w:sz w:val="20"/>
          <w:szCs w:val="20"/>
        </w:rPr>
        <w:t xml:space="preserve">sistent with the NAIC reserve and capital framework, as well as changing the Company’s underwriting practices to emphasize issuing variable annuity products out of affiliates which are not domiciled in New York, increasing the use of reinsurance and other </w:t>
      </w:r>
      <w:r>
        <w:rPr>
          <w:rFonts w:eastAsia="Times New Roman"/>
          <w:color w:val="000000"/>
          <w:sz w:val="20"/>
          <w:szCs w:val="20"/>
        </w:rPr>
        <w:t>corporate transactions intended to reduce the impact of the regulation. There can be no assurance that any management action individually or collectively will fully mitigate the impact of Regulation 213. Other state insurance regulators may also propose an</w:t>
      </w:r>
      <w:r>
        <w:rPr>
          <w:rFonts w:eastAsia="Times New Roman"/>
          <w:color w:val="000000"/>
          <w:sz w:val="20"/>
          <w:szCs w:val="20"/>
        </w:rPr>
        <w:t>d adopt standards that differ from the NAIC framework. See Note 10 of the Notes to the Consolidated Financial Statements for further detail on the permitted practice recently granted by the NYDFS.</w:t>
      </w:r>
    </w:p>
    <w:p w:rsidR="00000000" w:rsidRDefault="00897B14">
      <w:pPr>
        <w:divId w:val="522401701"/>
        <w:rPr>
          <w:rFonts w:eastAsia="Times New Roman"/>
        </w:rPr>
      </w:pPr>
      <w:r>
        <w:rPr>
          <w:rFonts w:eastAsia="Times New Roman"/>
          <w:i/>
          <w:iCs/>
          <w:color w:val="000000"/>
          <w:sz w:val="20"/>
          <w:szCs w:val="20"/>
        </w:rPr>
        <w:t>Fiduciary Rules / “Best Interest” Standards of Conduct</w:t>
      </w:r>
    </w:p>
    <w:p w:rsidR="00000000" w:rsidRDefault="00897B14">
      <w:pPr>
        <w:ind w:firstLine="360"/>
        <w:divId w:val="1320427037"/>
        <w:rPr>
          <w:rFonts w:eastAsia="Times New Roman"/>
        </w:rPr>
      </w:pPr>
      <w:r>
        <w:rPr>
          <w:rFonts w:eastAsia="Times New Roman"/>
          <w:color w:val="000000"/>
          <w:sz w:val="20"/>
          <w:szCs w:val="20"/>
        </w:rPr>
        <w:t>In t</w:t>
      </w:r>
      <w:r>
        <w:rPr>
          <w:rFonts w:eastAsia="Times New Roman"/>
          <w:color w:val="000000"/>
          <w:sz w:val="20"/>
          <w:szCs w:val="20"/>
        </w:rPr>
        <w:t>he wake of the March 2018 federal appeals court decision to vacate the 2016 DOL Fiduciary Rule, the DOL announced its intention to issue revised fiduciary investment advice regulations. In December 2020, the DOL finalized a “best interest” prohibited trans</w:t>
      </w:r>
      <w:r>
        <w:rPr>
          <w:rFonts w:eastAsia="Times New Roman"/>
          <w:color w:val="000000"/>
          <w:sz w:val="20"/>
          <w:szCs w:val="20"/>
        </w:rPr>
        <w:t>action exemption (“PTE 2020-02”) for investment advice fiduciaries under ERISA, with an enforcement date of December 20, 2021. The new rule restores the five-part test for determining fiduciary status that was in effect prior to the 2016 DOL Fiduciary Rule</w:t>
      </w:r>
      <w:r>
        <w:rPr>
          <w:rFonts w:eastAsia="Times New Roman"/>
          <w:color w:val="000000"/>
          <w:sz w:val="20"/>
          <w:szCs w:val="20"/>
        </w:rPr>
        <w:t>, although the scope of PTE 2020-02 extends to rollover transactions if they constitute “investment advice” under the five-part test. If fiduciary status is triggered, PTE 2020-02 prescribes a set of impartial conduct standards and disclosure obligations t</w:t>
      </w:r>
      <w:r>
        <w:rPr>
          <w:rFonts w:eastAsia="Times New Roman"/>
          <w:color w:val="000000"/>
          <w:sz w:val="20"/>
          <w:szCs w:val="20"/>
        </w:rPr>
        <w:t>hat are intended to be consistent with the SEC’s Regulation Best Interest. We are currently devoting significant time and resources towards coming into compliance with PTE 2020-02 but do not expect the new rules to have a material impact on our business. H</w:t>
      </w:r>
      <w:r>
        <w:rPr>
          <w:rFonts w:eastAsia="Times New Roman"/>
          <w:color w:val="000000"/>
          <w:sz w:val="20"/>
          <w:szCs w:val="20"/>
        </w:rPr>
        <w:t>owever, in June 2021 the DOL updated its formal regulatory agenda to include issuance of a proposed rulemaking by year-end 2021 that would further amend its fiduciary regulations, including PTE 2020-02 and, possibly, other existing prohibited transaction e</w:t>
      </w:r>
      <w:r>
        <w:rPr>
          <w:rFonts w:eastAsia="Times New Roman"/>
          <w:color w:val="000000"/>
          <w:sz w:val="20"/>
          <w:szCs w:val="20"/>
        </w:rPr>
        <w:t>xemptions.</w:t>
      </w:r>
    </w:p>
    <w:p w:rsidR="00000000" w:rsidRDefault="00897B14">
      <w:pPr>
        <w:ind w:firstLine="360"/>
        <w:divId w:val="1336617799"/>
        <w:rPr>
          <w:rFonts w:eastAsia="Times New Roman"/>
        </w:rPr>
      </w:pPr>
      <w:r>
        <w:rPr>
          <w:rFonts w:eastAsia="Times New Roman"/>
          <w:color w:val="000000"/>
          <w:sz w:val="20"/>
          <w:szCs w:val="20"/>
        </w:rPr>
        <w:t>In April 2021, the Appellate Division of the NYS Supreme Court, Third Department, overturned NY Department of Financial Services Regulation 187 — Suitability and Best Interests in Life Insurance and Annuity Transactions (“Regulation 187”) for be</w:t>
      </w:r>
      <w:r>
        <w:rPr>
          <w:rFonts w:eastAsia="Times New Roman"/>
          <w:color w:val="000000"/>
          <w:sz w:val="20"/>
          <w:szCs w:val="20"/>
        </w:rPr>
        <w:t>ing unconstitutionally vague. In June 2021, the NYDFS appealed this ruling to the New York State Court of Appeals, which automatically granted a stay, meaning that Regulation 187 remains in effect pending a decision by the Court of Appeals.</w:t>
      </w:r>
    </w:p>
    <w:p w:rsidR="00000000" w:rsidRDefault="00897B14">
      <w:pPr>
        <w:ind w:firstLine="360"/>
        <w:divId w:val="1439789962"/>
        <w:rPr>
          <w:rFonts w:eastAsia="Times New Roman"/>
        </w:rPr>
      </w:pPr>
      <w:r>
        <w:rPr>
          <w:rFonts w:eastAsia="Times New Roman"/>
          <w:i/>
          <w:iCs/>
          <w:color w:val="000000"/>
          <w:sz w:val="20"/>
          <w:szCs w:val="20"/>
        </w:rPr>
        <w:t>Climate Risks</w:t>
      </w:r>
      <w:r>
        <w:rPr>
          <w:rFonts w:eastAsia="Times New Roman"/>
          <w:color w:val="000000"/>
          <w:sz w:val="20"/>
          <w:szCs w:val="20"/>
        </w:rPr>
        <w:t xml:space="preserve">. </w:t>
      </w:r>
      <w:r>
        <w:rPr>
          <w:rFonts w:eastAsia="Times New Roman"/>
          <w:color w:val="000000"/>
          <w:sz w:val="20"/>
          <w:szCs w:val="20"/>
        </w:rPr>
        <w:t>In September 2020, the NYDFS announced that it expects insurers to integrate financial risks from climate change into their governance frameworks, risk management processes, and business strategies, and that it will integrate questions on this topic into t</w:t>
      </w:r>
      <w:r>
        <w:rPr>
          <w:rFonts w:eastAsia="Times New Roman"/>
          <w:color w:val="000000"/>
          <w:sz w:val="20"/>
          <w:szCs w:val="20"/>
        </w:rPr>
        <w:t xml:space="preserve">heir examinations in 2021. In March 2021, the NYDFS issued for public comment proposed guidance for New York domestic insurers, such as Equitable Financial, which states that insurers are expected to take a proportionate approach to managing climate risks </w:t>
      </w:r>
      <w:r>
        <w:rPr>
          <w:rFonts w:eastAsia="Times New Roman"/>
          <w:color w:val="000000"/>
          <w:sz w:val="20"/>
          <w:szCs w:val="20"/>
        </w:rPr>
        <w:t>that reflects its exposure to climate risks. For example, an insurer should integrate the evaluation of climate risks into its governance structure and use scenario analysis to guide risk assessment. We provided comments after reviewing the NYDFS’ proposed</w:t>
      </w:r>
      <w:r>
        <w:rPr>
          <w:rFonts w:eastAsia="Times New Roman"/>
          <w:color w:val="000000"/>
          <w:sz w:val="20"/>
          <w:szCs w:val="20"/>
        </w:rPr>
        <w:t xml:space="preserve"> guidance designed to ensure that such guidance is consistent with our existing risk management framework. The NYDFS intends to formally adopt the guidance, as modified by the comment process, in the third quarter of 2021.</w:t>
      </w:r>
    </w:p>
    <w:p w:rsidR="00000000" w:rsidRDefault="00897B14">
      <w:pPr>
        <w:ind w:firstLine="360"/>
        <w:divId w:val="411971666"/>
        <w:rPr>
          <w:rFonts w:eastAsia="Times New Roman"/>
        </w:rPr>
      </w:pPr>
      <w:r>
        <w:rPr>
          <w:rFonts w:eastAsia="Times New Roman"/>
          <w:color w:val="000000"/>
          <w:sz w:val="20"/>
          <w:szCs w:val="20"/>
        </w:rPr>
        <w:t>On July 14, 2021, the NYDFS publi</w:t>
      </w:r>
      <w:r>
        <w:rPr>
          <w:rFonts w:eastAsia="Times New Roman"/>
          <w:color w:val="000000"/>
          <w:sz w:val="20"/>
          <w:szCs w:val="20"/>
        </w:rPr>
        <w:t>shed notice of the adoption of amendments to the regulation governing enterprise risk management, effective August 13, 2021. The amendments require that certain additional risks, including climate change, be included in an insurance group’s enterprise risk</w:t>
      </w:r>
      <w:r>
        <w:rPr>
          <w:rFonts w:eastAsia="Times New Roman"/>
          <w:color w:val="000000"/>
          <w:sz w:val="20"/>
          <w:szCs w:val="20"/>
        </w:rPr>
        <w:t xml:space="preserve"> management function, among other requirements.</w:t>
      </w:r>
    </w:p>
    <w:p w:rsidR="00000000" w:rsidRDefault="00897B14">
      <w:pPr>
        <w:ind w:firstLine="360"/>
        <w:divId w:val="1394347704"/>
        <w:rPr>
          <w:rFonts w:eastAsia="Times New Roman"/>
        </w:rPr>
      </w:pPr>
      <w:r>
        <w:rPr>
          <w:rFonts w:eastAsia="Times New Roman"/>
          <w:i/>
          <w:iCs/>
          <w:color w:val="000000"/>
          <w:sz w:val="20"/>
          <w:szCs w:val="20"/>
        </w:rPr>
        <w:t>NYDFS Guidance on Diversity and Corporate Governance</w:t>
      </w:r>
      <w:r>
        <w:rPr>
          <w:rFonts w:eastAsia="Times New Roman"/>
          <w:color w:val="000000"/>
          <w:sz w:val="20"/>
          <w:szCs w:val="20"/>
        </w:rPr>
        <w:t>. In March 2021, the NYDFS issued a circular letter which states that the NYDFS expects the insurers that it regulates to make diversity of their leadership</w:t>
      </w:r>
      <w:r>
        <w:rPr>
          <w:rFonts w:eastAsia="Times New Roman"/>
          <w:color w:val="000000"/>
          <w:sz w:val="20"/>
          <w:szCs w:val="20"/>
        </w:rPr>
        <w:t xml:space="preserve"> a business priority and a key element of their corporate governance. The NYDFS is collecting data from New York domestic and authorized foreign insurers that meet certain premium thresholds, including Equitable Financial, to collect data regarding the div</w:t>
      </w:r>
      <w:r>
        <w:rPr>
          <w:rFonts w:eastAsia="Times New Roman"/>
          <w:color w:val="000000"/>
          <w:sz w:val="20"/>
          <w:szCs w:val="20"/>
        </w:rPr>
        <w:t xml:space="preserve">ersity of corporate boards </w:t>
      </w:r>
    </w:p>
    <w:p w:rsidR="00000000" w:rsidRDefault="00897B14">
      <w:pPr>
        <w:jc w:val="center"/>
        <w:divId w:val="921371747"/>
        <w:rPr>
          <w:rFonts w:eastAsia="Times New Roman"/>
        </w:rPr>
      </w:pPr>
      <w:r>
        <w:rPr>
          <w:rFonts w:eastAsia="Times New Roman"/>
          <w:color w:val="000000"/>
          <w:sz w:val="20"/>
          <w:szCs w:val="20"/>
        </w:rPr>
        <w:t>79</w:t>
      </w:r>
    </w:p>
    <w:p w:rsidR="00000000" w:rsidRDefault="00897B14">
      <w:pPr>
        <w:rPr>
          <w:rFonts w:eastAsia="Times New Roman"/>
        </w:rPr>
      </w:pPr>
      <w:r>
        <w:rPr>
          <w:rFonts w:eastAsia="Times New Roman"/>
        </w:rPr>
        <w:pict>
          <v:rect id="_x0000_i1105" style="width:0;height:1.5pt" o:hralign="center" o:hrstd="t" o:hr="t" fillcolor="#a0a0a0" stroked="f"/>
        </w:pict>
      </w:r>
    </w:p>
    <w:p w:rsidR="00000000" w:rsidRDefault="00897B14">
      <w:pPr>
        <w:ind w:firstLine="360"/>
        <w:divId w:val="113810675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381097166"/>
        <w:rPr>
          <w:rFonts w:eastAsia="Times New Roman"/>
        </w:rPr>
      </w:pPr>
      <w:r>
        <w:rPr>
          <w:rFonts w:eastAsia="Times New Roman"/>
          <w:color w:val="000000"/>
          <w:sz w:val="20"/>
          <w:szCs w:val="20"/>
        </w:rPr>
        <w:t>and management, and it will include diversity-related questions in its examination process starting in 2022. We</w:t>
      </w:r>
      <w:r>
        <w:rPr>
          <w:rFonts w:eastAsia="Times New Roman"/>
          <w:color w:val="000000"/>
          <w:sz w:val="20"/>
          <w:szCs w:val="20"/>
        </w:rPr>
        <w:t xml:space="preserve"> are considering the NYDFS’ guidance as part of our commitment to diversity and inclusion.</w:t>
      </w:r>
    </w:p>
    <w:p w:rsidR="00000000" w:rsidRDefault="00897B14">
      <w:pPr>
        <w:divId w:val="502359154"/>
        <w:rPr>
          <w:rFonts w:eastAsia="Times New Roman"/>
        </w:rPr>
      </w:pPr>
      <w:r>
        <w:rPr>
          <w:rFonts w:eastAsia="Times New Roman"/>
          <w:b/>
          <w:bCs/>
          <w:color w:val="000000"/>
          <w:sz w:val="20"/>
          <w:szCs w:val="20"/>
        </w:rPr>
        <w:t xml:space="preserve">Separation Costs </w:t>
      </w:r>
    </w:p>
    <w:p w:rsidR="00000000" w:rsidRDefault="00897B14">
      <w:pPr>
        <w:ind w:firstLine="360"/>
        <w:divId w:val="306514449"/>
        <w:rPr>
          <w:rFonts w:eastAsia="Times New Roman"/>
        </w:rPr>
      </w:pPr>
      <w:r>
        <w:rPr>
          <w:rFonts w:eastAsia="Times New Roman"/>
          <w:color w:val="000000"/>
          <w:sz w:val="20"/>
          <w:szCs w:val="20"/>
        </w:rPr>
        <w:t>In connection with our separation from AXA, we have incurred and expect to continue to incur one-time and recurring expenses. These expenses primar</w:t>
      </w:r>
      <w:r>
        <w:rPr>
          <w:rFonts w:eastAsia="Times New Roman"/>
          <w:color w:val="000000"/>
          <w:sz w:val="20"/>
          <w:szCs w:val="20"/>
        </w:rPr>
        <w:t xml:space="preserve">ily relate to information technology, compliance, internal audit, finance, risk management, procurement, client service, human resources, rebranding and other support services. The process of replicating and replacing functions, systems and infrastructure </w:t>
      </w:r>
      <w:r>
        <w:rPr>
          <w:rFonts w:eastAsia="Times New Roman"/>
          <w:color w:val="000000"/>
          <w:sz w:val="20"/>
          <w:szCs w:val="20"/>
        </w:rPr>
        <w:t>provided by AXA or certain of its affiliates in order to operate on a stand-alone basis is currently underway. These expenses, any recurring expenses, including under the Transitional Services Agreement, and any additional one-time expenses we may incur ma</w:t>
      </w:r>
      <w:r>
        <w:rPr>
          <w:rFonts w:eastAsia="Times New Roman"/>
          <w:color w:val="000000"/>
          <w:sz w:val="20"/>
          <w:szCs w:val="20"/>
        </w:rPr>
        <w:t>y be material. See “Risk Factors” in the 2020 Form 10-K for additional information.</w:t>
      </w:r>
    </w:p>
    <w:p w:rsidR="00000000" w:rsidRDefault="00897B14">
      <w:pPr>
        <w:ind w:firstLine="360"/>
        <w:divId w:val="709107721"/>
        <w:rPr>
          <w:rFonts w:eastAsia="Times New Roman"/>
        </w:rPr>
      </w:pPr>
      <w:r>
        <w:rPr>
          <w:rFonts w:eastAsia="Times New Roman"/>
          <w:color w:val="000000"/>
          <w:sz w:val="20"/>
          <w:szCs w:val="20"/>
        </w:rPr>
        <w:t>We estimate that the aggregate amount of the one-time expenses described above will be approximately $700 million. Through June 30, 2021, a total of $677 million has been i</w:t>
      </w:r>
      <w:r>
        <w:rPr>
          <w:rFonts w:eastAsia="Times New Roman"/>
          <w:color w:val="000000"/>
          <w:sz w:val="20"/>
          <w:szCs w:val="20"/>
        </w:rPr>
        <w:t>ncurred, of which $16 million, $39 million, $37 million and $71 million was incurred in the three and six months ended June 30, 2021 and 2020, respectively.</w:t>
      </w:r>
    </w:p>
    <w:p w:rsidR="00000000" w:rsidRDefault="00897B14">
      <w:pPr>
        <w:divId w:val="118452496"/>
        <w:rPr>
          <w:rFonts w:eastAsia="Times New Roman"/>
        </w:rPr>
      </w:pPr>
      <w:r>
        <w:rPr>
          <w:rFonts w:eastAsia="Times New Roman"/>
          <w:b/>
          <w:bCs/>
          <w:color w:val="000000"/>
          <w:sz w:val="20"/>
          <w:szCs w:val="20"/>
        </w:rPr>
        <w:t xml:space="preserve">Productivity Strategies </w:t>
      </w:r>
    </w:p>
    <w:p w:rsidR="00000000" w:rsidRDefault="00897B14">
      <w:pPr>
        <w:divId w:val="375278919"/>
        <w:rPr>
          <w:rFonts w:eastAsia="Times New Roman"/>
        </w:rPr>
      </w:pPr>
      <w:r>
        <w:rPr>
          <w:rFonts w:eastAsia="Times New Roman"/>
          <w:i/>
          <w:iCs/>
          <w:color w:val="000000"/>
          <w:sz w:val="20"/>
          <w:szCs w:val="20"/>
          <w:u w:val="single"/>
        </w:rPr>
        <w:t xml:space="preserve">Retirement and Protection Businesses </w:t>
      </w:r>
    </w:p>
    <w:p w:rsidR="00000000" w:rsidRDefault="00897B14">
      <w:pPr>
        <w:ind w:firstLine="360"/>
        <w:divId w:val="868296305"/>
        <w:rPr>
          <w:rFonts w:eastAsia="Times New Roman"/>
        </w:rPr>
      </w:pPr>
      <w:r>
        <w:rPr>
          <w:rFonts w:eastAsia="Times New Roman"/>
          <w:color w:val="000000"/>
          <w:sz w:val="20"/>
          <w:szCs w:val="20"/>
        </w:rPr>
        <w:t>As part of our continuing efforts to</w:t>
      </w:r>
      <w:r>
        <w:rPr>
          <w:rFonts w:eastAsia="Times New Roman"/>
          <w:color w:val="000000"/>
          <w:sz w:val="20"/>
          <w:szCs w:val="20"/>
        </w:rPr>
        <w:t xml:space="preserve"> drive productivity improvements, as of January 2021, we have begun a new program expected to achieve $80 million of targeted run-rate expense savings by 2023. We expect to achieve these saving by shifting our workforce into an agile working model, leverag</w:t>
      </w:r>
      <w:r>
        <w:rPr>
          <w:rFonts w:eastAsia="Times New Roman"/>
          <w:color w:val="000000"/>
          <w:sz w:val="20"/>
          <w:szCs w:val="20"/>
        </w:rPr>
        <w:t xml:space="preserve">ing technology-enabled capabilities, augmenting our real estate footprint, and continuing to realize a portion of COVID-related savings. </w:t>
      </w:r>
    </w:p>
    <w:p w:rsidR="00000000" w:rsidRDefault="00897B14">
      <w:pPr>
        <w:divId w:val="1647121397"/>
        <w:rPr>
          <w:rFonts w:eastAsia="Times New Roman"/>
        </w:rPr>
      </w:pPr>
      <w:r>
        <w:rPr>
          <w:rFonts w:eastAsia="Times New Roman"/>
          <w:i/>
          <w:iCs/>
          <w:color w:val="000000"/>
          <w:sz w:val="20"/>
          <w:szCs w:val="20"/>
          <w:u w:val="single"/>
        </w:rPr>
        <w:t xml:space="preserve">Investment Management and Research Business </w:t>
      </w:r>
    </w:p>
    <w:p w:rsidR="00000000" w:rsidRDefault="00897B14">
      <w:pPr>
        <w:ind w:firstLine="360"/>
        <w:divId w:val="430274460"/>
        <w:rPr>
          <w:rFonts w:eastAsia="Times New Roman"/>
        </w:rPr>
      </w:pPr>
      <w:r>
        <w:rPr>
          <w:rFonts w:eastAsia="Times New Roman"/>
          <w:color w:val="000000"/>
          <w:sz w:val="20"/>
          <w:szCs w:val="20"/>
        </w:rPr>
        <w:t>AB has announced that it will establish its corporate headquarters in and</w:t>
      </w:r>
      <w:r>
        <w:rPr>
          <w:rFonts w:eastAsia="Times New Roman"/>
          <w:color w:val="000000"/>
          <w:sz w:val="20"/>
          <w:szCs w:val="20"/>
        </w:rPr>
        <w:t xml:space="preserve"> relocate approximately 1,250 jobs located in the New York metro area to Nashville, Tennessee. Beginning in 2025, AB estimates ongoing annual expense savings at the higher end of the range of $75 million to $80 million which will result from a combination </w:t>
      </w:r>
      <w:r>
        <w:rPr>
          <w:rFonts w:eastAsia="Times New Roman"/>
          <w:color w:val="000000"/>
          <w:sz w:val="20"/>
          <w:szCs w:val="20"/>
        </w:rPr>
        <w:t xml:space="preserve">of occupancy and compensation-related savings. </w:t>
      </w:r>
    </w:p>
    <w:p w:rsidR="00000000" w:rsidRDefault="00897B14">
      <w:pPr>
        <w:divId w:val="1467316938"/>
        <w:rPr>
          <w:rFonts w:eastAsia="Times New Roman"/>
        </w:rPr>
      </w:pPr>
      <w:r>
        <w:rPr>
          <w:rFonts w:eastAsia="Times New Roman"/>
          <w:b/>
          <w:bCs/>
          <w:color w:val="000000"/>
          <w:sz w:val="20"/>
          <w:szCs w:val="20"/>
        </w:rPr>
        <w:t xml:space="preserve">Key Operating Measures </w:t>
      </w:r>
    </w:p>
    <w:p w:rsidR="00000000" w:rsidRDefault="00897B14">
      <w:pPr>
        <w:ind w:firstLine="360"/>
        <w:divId w:val="1449158646"/>
        <w:rPr>
          <w:rFonts w:eastAsia="Times New Roman"/>
        </w:rPr>
      </w:pPr>
      <w:r>
        <w:rPr>
          <w:rFonts w:eastAsia="Times New Roman"/>
          <w:color w:val="000000"/>
          <w:sz w:val="20"/>
          <w:szCs w:val="20"/>
        </w:rPr>
        <w:t>In addition to our results presented in accordance with U.S. GAAP, we report Non-GAAP operating earnings, Non-GAAP Operating ROE, Non-GAAP Operating ROC by segment for our Individual Retirement, Group Retirement and Protection Solutions segments, and Non-G</w:t>
      </w:r>
      <w:r>
        <w:rPr>
          <w:rFonts w:eastAsia="Times New Roman"/>
          <w:color w:val="000000"/>
          <w:sz w:val="20"/>
          <w:szCs w:val="20"/>
        </w:rPr>
        <w:t>AAP operating common EPS, each of which is a measure that is not determined in accordance with U.S. GAAP. Management principally uses these non-GAAP financial measures in evaluating performance because they present a clearer picture of our operating perfor</w:t>
      </w:r>
      <w:r>
        <w:rPr>
          <w:rFonts w:eastAsia="Times New Roman"/>
          <w:color w:val="000000"/>
          <w:sz w:val="20"/>
          <w:szCs w:val="20"/>
        </w:rPr>
        <w:t>mance and they allow management to allocate resources. Similarly, management believes that the use of these Non-GAAP financial measures, together with relevant U.S. GAAP measures, provide investors with a better understanding of our results of operations a</w:t>
      </w:r>
      <w:r>
        <w:rPr>
          <w:rFonts w:eastAsia="Times New Roman"/>
          <w:color w:val="000000"/>
          <w:sz w:val="20"/>
          <w:szCs w:val="20"/>
        </w:rPr>
        <w:t>nd the underlying profitability drivers and trends of our business. These non-GAAP financial measures are intended to remove from our results of operations the impact of market changes (where there is mismatch in the valuation of assets and liabilities) as</w:t>
      </w:r>
      <w:r>
        <w:rPr>
          <w:rFonts w:eastAsia="Times New Roman"/>
          <w:color w:val="000000"/>
          <w:sz w:val="20"/>
          <w:szCs w:val="20"/>
        </w:rPr>
        <w:t xml:space="preserve"> well as certain other expenses which are not part of our underlying profitability drivers or likely to re-occur in the foreseeable future, as such items fluctuate from period-to-period in a manner inconsistent with these drivers. These measures should be </w:t>
      </w:r>
      <w:r>
        <w:rPr>
          <w:rFonts w:eastAsia="Times New Roman"/>
          <w:color w:val="000000"/>
          <w:sz w:val="20"/>
          <w:szCs w:val="20"/>
        </w:rPr>
        <w:t>considered supplementary to our results that are presented in accordance with U.S. GAAP and should not be viewed as a substitute for the U.S. GAAP measures. Other companies may use similarly titled non-GAAP financial measures that are calculated differentl</w:t>
      </w:r>
      <w:r>
        <w:rPr>
          <w:rFonts w:eastAsia="Times New Roman"/>
          <w:color w:val="000000"/>
          <w:sz w:val="20"/>
          <w:szCs w:val="20"/>
        </w:rPr>
        <w:t xml:space="preserve">y from the way we calculate such measures. Consequently, our non-GAAP financial measures may not be comparable to similar measures used by other companies. </w:t>
      </w:r>
    </w:p>
    <w:p w:rsidR="00000000" w:rsidRDefault="00897B14">
      <w:pPr>
        <w:ind w:firstLine="360"/>
        <w:divId w:val="1908803247"/>
        <w:rPr>
          <w:rFonts w:eastAsia="Times New Roman"/>
        </w:rPr>
      </w:pPr>
      <w:r>
        <w:rPr>
          <w:rFonts w:eastAsia="Times New Roman"/>
          <w:color w:val="000000"/>
          <w:sz w:val="20"/>
          <w:szCs w:val="20"/>
        </w:rPr>
        <w:t>We also discuss certain operating measures, including AUM, AUA, AV, Protection Solutions Reserves a</w:t>
      </w:r>
      <w:r>
        <w:rPr>
          <w:rFonts w:eastAsia="Times New Roman"/>
          <w:color w:val="000000"/>
          <w:sz w:val="20"/>
          <w:szCs w:val="20"/>
        </w:rPr>
        <w:t xml:space="preserve">nd certain other operating measures, which management believes provide useful information about our businesses and the operational factors underlying our financial performance. </w:t>
      </w:r>
    </w:p>
    <w:p w:rsidR="00000000" w:rsidRDefault="00897B14">
      <w:pPr>
        <w:jc w:val="both"/>
        <w:divId w:val="1820730087"/>
        <w:rPr>
          <w:rFonts w:eastAsia="Times New Roman"/>
        </w:rPr>
      </w:pPr>
      <w:r>
        <w:rPr>
          <w:rFonts w:eastAsia="Times New Roman"/>
          <w:b/>
          <w:bCs/>
          <w:i/>
          <w:iCs/>
          <w:color w:val="000000"/>
          <w:sz w:val="20"/>
          <w:szCs w:val="20"/>
        </w:rPr>
        <w:t xml:space="preserve">Non-GAAP Operating Earnings </w:t>
      </w:r>
    </w:p>
    <w:p w:rsidR="00000000" w:rsidRDefault="00897B14">
      <w:pPr>
        <w:ind w:firstLine="360"/>
        <w:divId w:val="36440877"/>
        <w:rPr>
          <w:rFonts w:eastAsia="Times New Roman"/>
        </w:rPr>
      </w:pPr>
      <w:r>
        <w:rPr>
          <w:rFonts w:eastAsia="Times New Roman"/>
          <w:color w:val="000000"/>
          <w:sz w:val="20"/>
          <w:szCs w:val="20"/>
        </w:rPr>
        <w:t>Non-GAAP operating earnings is an after-tax non-G</w:t>
      </w:r>
      <w:r>
        <w:rPr>
          <w:rFonts w:eastAsia="Times New Roman"/>
          <w:color w:val="000000"/>
          <w:sz w:val="20"/>
          <w:szCs w:val="20"/>
        </w:rPr>
        <w:t>AAP financial measure used to evaluate our financial performance on a consolidated basis that is determined by making certain adjustments to our consolidated after-tax net income attributable to Holdings. The most significant of such adjustments relates to</w:t>
      </w:r>
      <w:r>
        <w:rPr>
          <w:rFonts w:eastAsia="Times New Roman"/>
          <w:color w:val="000000"/>
          <w:sz w:val="20"/>
          <w:szCs w:val="20"/>
        </w:rPr>
        <w:t xml:space="preserve"> our derivative positions, which protect economic value and </w:t>
      </w:r>
    </w:p>
    <w:p w:rsidR="00000000" w:rsidRDefault="00897B14">
      <w:pPr>
        <w:jc w:val="center"/>
        <w:divId w:val="1184899133"/>
        <w:rPr>
          <w:rFonts w:eastAsia="Times New Roman"/>
        </w:rPr>
      </w:pPr>
      <w:r>
        <w:rPr>
          <w:rFonts w:eastAsia="Times New Roman"/>
          <w:color w:val="000000"/>
          <w:sz w:val="20"/>
          <w:szCs w:val="20"/>
        </w:rPr>
        <w:t>80</w:t>
      </w:r>
    </w:p>
    <w:p w:rsidR="00000000" w:rsidRDefault="00897B14">
      <w:pPr>
        <w:rPr>
          <w:rFonts w:eastAsia="Times New Roman"/>
        </w:rPr>
      </w:pPr>
      <w:r>
        <w:rPr>
          <w:rFonts w:eastAsia="Times New Roman"/>
        </w:rPr>
        <w:pict>
          <v:rect id="_x0000_i1106" style="width:0;height:1.5pt" o:hralign="center" o:hrstd="t" o:hr="t" fillcolor="#a0a0a0" stroked="f"/>
        </w:pict>
      </w:r>
    </w:p>
    <w:p w:rsidR="00000000" w:rsidRDefault="00897B14">
      <w:pPr>
        <w:ind w:firstLine="360"/>
        <w:divId w:val="1499270038"/>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706756654"/>
        <w:rPr>
          <w:rFonts w:eastAsia="Times New Roman"/>
        </w:rPr>
      </w:pPr>
      <w:r>
        <w:rPr>
          <w:rFonts w:eastAsia="Times New Roman"/>
          <w:color w:val="000000"/>
          <w:sz w:val="20"/>
          <w:szCs w:val="20"/>
        </w:rPr>
        <w:t xml:space="preserve">statutory capital, and are more sensitive to changes in market conditions than the variable annuity product liabilities as valued under U.S. GAAP. This is a large source of volatility in net income. </w:t>
      </w:r>
    </w:p>
    <w:p w:rsidR="00000000" w:rsidRDefault="00897B14">
      <w:pPr>
        <w:ind w:firstLine="360"/>
        <w:divId w:val="1022635614"/>
        <w:rPr>
          <w:rFonts w:eastAsia="Times New Roman"/>
        </w:rPr>
      </w:pPr>
      <w:r>
        <w:rPr>
          <w:rFonts w:eastAsia="Times New Roman"/>
          <w:color w:val="000000"/>
          <w:sz w:val="20"/>
          <w:szCs w:val="20"/>
        </w:rPr>
        <w:t>Non-GAAP operating earnings equals our consolidated afte</w:t>
      </w:r>
      <w:r>
        <w:rPr>
          <w:rFonts w:eastAsia="Times New Roman"/>
          <w:color w:val="000000"/>
          <w:sz w:val="20"/>
          <w:szCs w:val="20"/>
        </w:rPr>
        <w:t xml:space="preserve">r-tax net income attributable to Holdings adjusted to eliminate the impact of the following items: </w:t>
      </w:r>
    </w:p>
    <w:p w:rsidR="00000000" w:rsidRDefault="00897B14">
      <w:pPr>
        <w:ind w:hanging="360"/>
        <w:jc w:val="both"/>
        <w:divId w:val="1582444909"/>
        <w:rPr>
          <w:rFonts w:eastAsia="Times New Roman"/>
        </w:rPr>
      </w:pPr>
      <w:r>
        <w:rPr>
          <w:rFonts w:eastAsia="Times New Roman"/>
          <w:color w:val="000000"/>
          <w:sz w:val="20"/>
          <w:szCs w:val="20"/>
        </w:rPr>
        <w:t xml:space="preserve">•Items related to variable annuity product features, which include: (i) certain changes in the fair value of the derivatives and other securities we use to </w:t>
      </w:r>
      <w:r>
        <w:rPr>
          <w:rFonts w:eastAsia="Times New Roman"/>
          <w:color w:val="000000"/>
          <w:sz w:val="20"/>
          <w:szCs w:val="20"/>
        </w:rPr>
        <w:t>hedge these features; (ii) the effect of benefit ratio unlock adjustments, including extraordinary economic conditions or events such as COVID-19; and (iii) changes in the fair value of the embedded derivatives reflected within variable annuity products’ n</w:t>
      </w:r>
      <w:r>
        <w:rPr>
          <w:rFonts w:eastAsia="Times New Roman"/>
          <w:color w:val="000000"/>
          <w:sz w:val="20"/>
          <w:szCs w:val="20"/>
        </w:rPr>
        <w:t xml:space="preserve">et derivative results and the impact of these items on DAC amortization on our SCS product; </w:t>
      </w:r>
    </w:p>
    <w:p w:rsidR="00000000" w:rsidRDefault="00897B14">
      <w:pPr>
        <w:ind w:hanging="360"/>
        <w:jc w:val="both"/>
        <w:divId w:val="673414291"/>
        <w:rPr>
          <w:rFonts w:eastAsia="Times New Roman"/>
        </w:rPr>
      </w:pPr>
      <w:r>
        <w:rPr>
          <w:rFonts w:eastAsia="Times New Roman"/>
          <w:color w:val="000000"/>
          <w:sz w:val="20"/>
          <w:szCs w:val="20"/>
        </w:rPr>
        <w:t>•Investment (gains) losses, which includes credit loss impairments of securities/investments, sales or disposals of securities/investments, realized capital gains/</w:t>
      </w:r>
      <w:r>
        <w:rPr>
          <w:rFonts w:eastAsia="Times New Roman"/>
          <w:color w:val="000000"/>
          <w:sz w:val="20"/>
          <w:szCs w:val="20"/>
        </w:rPr>
        <w:t xml:space="preserve">losses and valuation allowances; </w:t>
      </w:r>
    </w:p>
    <w:p w:rsidR="00000000" w:rsidRDefault="00897B14">
      <w:pPr>
        <w:ind w:hanging="360"/>
        <w:jc w:val="both"/>
        <w:divId w:val="1157652364"/>
        <w:rPr>
          <w:rFonts w:eastAsia="Times New Roman"/>
        </w:rPr>
      </w:pPr>
      <w:r>
        <w:rPr>
          <w:rFonts w:eastAsia="Times New Roman"/>
          <w:color w:val="000000"/>
          <w:sz w:val="20"/>
          <w:szCs w:val="20"/>
        </w:rPr>
        <w:t>•Net actuarial (gains) losses, which includes actuarial gains and losses as a result of differences between actual and expected experience on pension plan assets or projected benefit obligation during a given period relate</w:t>
      </w:r>
      <w:r>
        <w:rPr>
          <w:rFonts w:eastAsia="Times New Roman"/>
          <w:color w:val="000000"/>
          <w:sz w:val="20"/>
          <w:szCs w:val="20"/>
        </w:rPr>
        <w:t xml:space="preserve">d to pension, other postretirement benefit obligations, and the one-time impact of the settlement of the defined benefit obligation; </w:t>
      </w:r>
    </w:p>
    <w:p w:rsidR="00000000" w:rsidRDefault="00897B14">
      <w:pPr>
        <w:ind w:hanging="360"/>
        <w:jc w:val="both"/>
        <w:divId w:val="885139239"/>
        <w:rPr>
          <w:rFonts w:eastAsia="Times New Roman"/>
        </w:rPr>
      </w:pPr>
      <w:r>
        <w:rPr>
          <w:rFonts w:eastAsia="Times New Roman"/>
          <w:color w:val="000000"/>
          <w:sz w:val="20"/>
          <w:szCs w:val="20"/>
        </w:rPr>
        <w:t>•Other adjustments, which primarily include restructuring costs related to severance and separation, COVID-19 related impa</w:t>
      </w:r>
      <w:r>
        <w:rPr>
          <w:rFonts w:eastAsia="Times New Roman"/>
          <w:color w:val="000000"/>
          <w:sz w:val="20"/>
          <w:szCs w:val="20"/>
        </w:rPr>
        <w:t>cts, net derivative gains (losses) on certain Non-GMxB derivatives, net investment income from certain items including consolidated VIE investments, seed capital mark-to-market adjustments, unrealized gain/losses associated with equity securities and certa</w:t>
      </w:r>
      <w:r>
        <w:rPr>
          <w:rFonts w:eastAsia="Times New Roman"/>
          <w:color w:val="000000"/>
          <w:sz w:val="20"/>
          <w:szCs w:val="20"/>
        </w:rPr>
        <w:t xml:space="preserve">in legal accruals; and </w:t>
      </w:r>
    </w:p>
    <w:p w:rsidR="00000000" w:rsidRDefault="00897B14">
      <w:pPr>
        <w:ind w:hanging="360"/>
        <w:jc w:val="both"/>
        <w:divId w:val="278074291"/>
        <w:rPr>
          <w:rFonts w:eastAsia="Times New Roman"/>
        </w:rPr>
      </w:pPr>
      <w:r>
        <w:rPr>
          <w:rFonts w:eastAsia="Times New Roman"/>
          <w:color w:val="000000"/>
          <w:sz w:val="20"/>
          <w:szCs w:val="20"/>
        </w:rPr>
        <w:t>•Income tax expense (benefit) related to the above items and non-recurring tax items, which includes the effect of uncertain tax positions for a given audit period.</w:t>
      </w:r>
    </w:p>
    <w:p w:rsidR="00000000" w:rsidRDefault="00897B14">
      <w:pPr>
        <w:ind w:firstLine="360"/>
        <w:divId w:val="1037200095"/>
        <w:rPr>
          <w:rFonts w:eastAsia="Times New Roman"/>
        </w:rPr>
      </w:pPr>
      <w:r>
        <w:rPr>
          <w:rFonts w:eastAsia="Times New Roman"/>
          <w:color w:val="000000"/>
          <w:sz w:val="20"/>
          <w:szCs w:val="20"/>
        </w:rPr>
        <w:t>Because Non-GAAP operating earnings excludes the foregoing items th</w:t>
      </w:r>
      <w:r>
        <w:rPr>
          <w:rFonts w:eastAsia="Times New Roman"/>
          <w:color w:val="000000"/>
          <w:sz w:val="20"/>
          <w:szCs w:val="20"/>
        </w:rPr>
        <w:t>at can be distortive or unpredictable, management believes that this measure enhances the understanding of the Company’s underlying drivers of profitability and trends in our business, thereby allowing management to make decisions that will positively impa</w:t>
      </w:r>
      <w:r>
        <w:rPr>
          <w:rFonts w:eastAsia="Times New Roman"/>
          <w:color w:val="000000"/>
          <w:sz w:val="20"/>
          <w:szCs w:val="20"/>
        </w:rPr>
        <w:t xml:space="preserve">ct our business. </w:t>
      </w:r>
    </w:p>
    <w:p w:rsidR="00000000" w:rsidRDefault="00897B14">
      <w:pPr>
        <w:ind w:firstLine="360"/>
        <w:divId w:val="277178807"/>
        <w:rPr>
          <w:rFonts w:eastAsia="Times New Roman"/>
        </w:rPr>
      </w:pPr>
      <w:r>
        <w:rPr>
          <w:rFonts w:eastAsia="Times New Roman"/>
          <w:color w:val="000000"/>
          <w:sz w:val="20"/>
          <w:szCs w:val="20"/>
        </w:rPr>
        <w:t>We use the prevailing corporate federal income tax rate of 21% while taking into account any non-recurring differences for events recognized differently in our financial statements and federal income tax returns as well as partnership inc</w:t>
      </w:r>
      <w:r>
        <w:rPr>
          <w:rFonts w:eastAsia="Times New Roman"/>
          <w:color w:val="000000"/>
          <w:sz w:val="20"/>
          <w:szCs w:val="20"/>
        </w:rPr>
        <w:t xml:space="preserve">ome taxed at lower rates when reconciling Net income (loss) attributable to Holdings to Non-GAAP operating earnings. </w:t>
      </w:r>
    </w:p>
    <w:p w:rsidR="00000000" w:rsidRDefault="00897B14">
      <w:pPr>
        <w:ind w:firstLine="360"/>
        <w:divId w:val="729419920"/>
        <w:rPr>
          <w:rFonts w:eastAsia="Times New Roman"/>
        </w:rPr>
      </w:pPr>
      <w:r>
        <w:rPr>
          <w:rFonts w:eastAsia="Times New Roman"/>
          <w:color w:val="000000"/>
          <w:sz w:val="20"/>
          <w:szCs w:val="20"/>
        </w:rPr>
        <w:t xml:space="preserve">The table below presents a reconciliation of net income (loss) attributable to Holdings to Non-GAAP operating earnings for the six months </w:t>
      </w:r>
      <w:r>
        <w:rPr>
          <w:rFonts w:eastAsia="Times New Roman"/>
          <w:color w:val="000000"/>
          <w:sz w:val="20"/>
          <w:szCs w:val="20"/>
        </w:rPr>
        <w:t>ended June 30,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3892"/>
        <w:gridCol w:w="39"/>
        <w:gridCol w:w="36"/>
        <w:gridCol w:w="36"/>
        <w:gridCol w:w="36"/>
        <w:gridCol w:w="121"/>
        <w:gridCol w:w="749"/>
        <w:gridCol w:w="36"/>
        <w:gridCol w:w="36"/>
        <w:gridCol w:w="36"/>
        <w:gridCol w:w="36"/>
        <w:gridCol w:w="120"/>
        <w:gridCol w:w="736"/>
        <w:gridCol w:w="36"/>
        <w:gridCol w:w="36"/>
        <w:gridCol w:w="36"/>
        <w:gridCol w:w="36"/>
        <w:gridCol w:w="120"/>
        <w:gridCol w:w="896"/>
        <w:gridCol w:w="36"/>
        <w:gridCol w:w="36"/>
        <w:gridCol w:w="36"/>
        <w:gridCol w:w="36"/>
        <w:gridCol w:w="120"/>
        <w:gridCol w:w="897"/>
        <w:gridCol w:w="36"/>
      </w:tblGrid>
      <w:tr w:rsidR="00000000">
        <w:trPr>
          <w:divId w:val="1264262520"/>
        </w:trPr>
        <w:tc>
          <w:tcPr>
            <w:tcW w:w="50" w:type="pct"/>
            <w:vAlign w:val="center"/>
            <w:hideMark/>
          </w:tcPr>
          <w:p w:rsidR="00000000" w:rsidRDefault="00897B14">
            <w:pPr>
              <w:ind w:firstLine="360"/>
              <w:rPr>
                <w:rFonts w:eastAsia="Times New Roman"/>
              </w:rPr>
            </w:pPr>
          </w:p>
        </w:tc>
        <w:tc>
          <w:tcPr>
            <w:tcW w:w="239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8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26426252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r>
      <w:tr w:rsidR="00000000">
        <w:trPr>
          <w:divId w:val="126426252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1264262520"/>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264262520"/>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attributable to Holdings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(4,019)</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(1,365)</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1,369 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262520"/>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264262520"/>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Variable annuity product features (1)</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(1,147)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262520"/>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262520"/>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262520"/>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adjustments (2) (3) (4)</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770 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262520"/>
        </w:trPr>
        <w:tc>
          <w:tcPr>
            <w:tcW w:w="0" w:type="auto"/>
            <w:gridSpan w:val="3"/>
            <w:shd w:val="clear" w:color="auto" w:fill="FFFF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Income tax expense (benefit) related to above adjustments (5)</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(1,188)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262520"/>
        </w:trPr>
        <w:tc>
          <w:tcPr>
            <w:tcW w:w="0" w:type="auto"/>
            <w:gridSpan w:val="3"/>
            <w:shd w:val="clear" w:color="auto" w:fill="CCEEFF"/>
            <w:tcMar>
              <w:top w:w="30" w:type="dxa"/>
              <w:left w:w="26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Non-recurring tax items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264262520"/>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Non-GAAP operating earnings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1,358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353307784"/>
        <w:rPr>
          <w:rFonts w:eastAsia="Times New Roman"/>
        </w:rPr>
      </w:pPr>
      <w:r>
        <w:rPr>
          <w:rFonts w:eastAsia="Times New Roman"/>
          <w:color w:val="000000"/>
          <w:sz w:val="20"/>
          <w:szCs w:val="20"/>
        </w:rPr>
        <w:t>______________</w:t>
      </w:r>
    </w:p>
    <w:p w:rsidR="00000000" w:rsidRDefault="00897B14">
      <w:pPr>
        <w:ind w:hanging="360"/>
        <w:divId w:val="1110121178"/>
        <w:rPr>
          <w:rFonts w:eastAsia="Times New Roman"/>
        </w:rPr>
      </w:pPr>
      <w:r>
        <w:rPr>
          <w:rFonts w:eastAsia="Times New Roman"/>
          <w:color w:val="000000"/>
          <w:sz w:val="18"/>
          <w:szCs w:val="18"/>
        </w:rPr>
        <w:t xml:space="preserve">(1)Includes COVID-19 impact on Variable annuity product features due to a first quarter 2020 assumption update of $1.5 billion and other COVID-19 related impacts of $35 million for the six months ended </w:t>
      </w:r>
      <w:r>
        <w:rPr>
          <w:rFonts w:eastAsia="Times New Roman"/>
          <w:color w:val="000000"/>
          <w:sz w:val="18"/>
          <w:szCs w:val="18"/>
        </w:rPr>
        <w:t>June 30, 2020.     </w:t>
      </w:r>
    </w:p>
    <w:p w:rsidR="00000000" w:rsidRDefault="00897B14">
      <w:pPr>
        <w:ind w:hanging="360"/>
        <w:divId w:val="1013919015"/>
        <w:rPr>
          <w:rFonts w:eastAsia="Times New Roman"/>
        </w:rPr>
      </w:pPr>
      <w:r>
        <w:rPr>
          <w:rFonts w:eastAsia="Times New Roman"/>
          <w:color w:val="000000"/>
          <w:sz w:val="18"/>
          <w:szCs w:val="18"/>
        </w:rPr>
        <w:t>(2)</w:t>
      </w:r>
      <w:r>
        <w:rPr>
          <w:rFonts w:eastAsia="Times New Roman"/>
          <w:color w:val="000000"/>
          <w:sz w:val="18"/>
          <w:szCs w:val="18"/>
        </w:rPr>
        <w:t>Includes COVID-19 impact on Other adjustments due to a first quarter 2020 assumption update of $1.0 billion for the six months ended June 30, 2020 and other COVID-19 related impacts of $35 million and $86 million for the three and six months ended June 30,</w:t>
      </w:r>
      <w:r>
        <w:rPr>
          <w:rFonts w:eastAsia="Times New Roman"/>
          <w:color w:val="000000"/>
          <w:sz w:val="18"/>
          <w:szCs w:val="18"/>
        </w:rPr>
        <w:t xml:space="preserve"> 2020.</w:t>
      </w:r>
    </w:p>
    <w:p w:rsidR="00000000" w:rsidRDefault="00897B14">
      <w:pPr>
        <w:ind w:hanging="360"/>
        <w:divId w:val="867645372"/>
        <w:rPr>
          <w:rFonts w:eastAsia="Times New Roman"/>
        </w:rPr>
      </w:pPr>
      <w:r>
        <w:rPr>
          <w:rFonts w:eastAsia="Times New Roman"/>
          <w:color w:val="000000"/>
          <w:sz w:val="18"/>
          <w:szCs w:val="18"/>
        </w:rPr>
        <w:t>(3)Includes separation costs of $16 million,$39 million,$37 million and $71 million for the three months and six months ended June 30, 2021 and 2020.</w:t>
      </w:r>
    </w:p>
    <w:p w:rsidR="00000000" w:rsidRDefault="00897B14">
      <w:pPr>
        <w:ind w:hanging="360"/>
        <w:divId w:val="1307928942"/>
        <w:rPr>
          <w:rFonts w:eastAsia="Times New Roman"/>
        </w:rPr>
      </w:pPr>
      <w:r>
        <w:rPr>
          <w:rFonts w:eastAsia="Times New Roman"/>
          <w:color w:val="000000"/>
          <w:sz w:val="18"/>
          <w:szCs w:val="18"/>
        </w:rPr>
        <w:t xml:space="preserve">(4)Includes certain legal accruals related to the cost of insurance litigation of $180 million for </w:t>
      </w:r>
      <w:r>
        <w:rPr>
          <w:rFonts w:eastAsia="Times New Roman"/>
          <w:color w:val="000000"/>
          <w:sz w:val="18"/>
          <w:szCs w:val="18"/>
        </w:rPr>
        <w:t>the six months ended June 30, 2021. No adjustments were made to prior period non-GAAP operating earnings as the impact was immaterial.</w:t>
      </w:r>
    </w:p>
    <w:p w:rsidR="00000000" w:rsidRDefault="00897B14">
      <w:pPr>
        <w:jc w:val="center"/>
        <w:divId w:val="1465735020"/>
        <w:rPr>
          <w:rFonts w:eastAsia="Times New Roman"/>
        </w:rPr>
      </w:pPr>
      <w:r>
        <w:rPr>
          <w:rFonts w:eastAsia="Times New Roman"/>
          <w:color w:val="000000"/>
          <w:sz w:val="20"/>
          <w:szCs w:val="20"/>
        </w:rPr>
        <w:t>81</w:t>
      </w:r>
    </w:p>
    <w:p w:rsidR="00000000" w:rsidRDefault="00897B14">
      <w:pPr>
        <w:rPr>
          <w:rFonts w:eastAsia="Times New Roman"/>
        </w:rPr>
      </w:pPr>
      <w:r>
        <w:rPr>
          <w:rFonts w:eastAsia="Times New Roman"/>
        </w:rPr>
        <w:pict>
          <v:rect id="_x0000_i1107" style="width:0;height:1.5pt" o:hralign="center" o:hrstd="t" o:hr="t" fillcolor="#a0a0a0" stroked="f"/>
        </w:pict>
      </w:r>
    </w:p>
    <w:p w:rsidR="00000000" w:rsidRDefault="00897B14">
      <w:pPr>
        <w:ind w:firstLine="360"/>
        <w:divId w:val="83958282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360"/>
        <w:divId w:val="893275032"/>
        <w:rPr>
          <w:rFonts w:eastAsia="Times New Roman"/>
        </w:rPr>
      </w:pPr>
      <w:r>
        <w:rPr>
          <w:rFonts w:eastAsia="Times New Roman"/>
          <w:color w:val="000000"/>
          <w:sz w:val="18"/>
          <w:szCs w:val="18"/>
        </w:rPr>
        <w:t>(5)In</w:t>
      </w:r>
      <w:r>
        <w:rPr>
          <w:rFonts w:eastAsia="Times New Roman"/>
          <w:color w:val="000000"/>
          <w:sz w:val="18"/>
          <w:szCs w:val="18"/>
        </w:rPr>
        <w:t>cludes income taxes of ($7) million and ($554) million for the above related COVID-19 items for the three and six months ended June 30, 2020.</w:t>
      </w:r>
    </w:p>
    <w:p w:rsidR="00000000" w:rsidRDefault="00897B14">
      <w:pPr>
        <w:jc w:val="both"/>
        <w:divId w:val="703021838"/>
        <w:rPr>
          <w:rFonts w:eastAsia="Times New Roman"/>
        </w:rPr>
      </w:pPr>
      <w:r>
        <w:rPr>
          <w:rFonts w:eastAsia="Times New Roman"/>
          <w:b/>
          <w:bCs/>
          <w:i/>
          <w:iCs/>
          <w:color w:val="000000"/>
          <w:sz w:val="20"/>
          <w:szCs w:val="20"/>
        </w:rPr>
        <w:t xml:space="preserve">Non-GAAP Operating ROE and Non-GAAP Operating ROC by Segment </w:t>
      </w:r>
    </w:p>
    <w:p w:rsidR="00000000" w:rsidRDefault="00897B14">
      <w:pPr>
        <w:ind w:firstLine="360"/>
        <w:divId w:val="263848699"/>
        <w:rPr>
          <w:rFonts w:eastAsia="Times New Roman"/>
        </w:rPr>
      </w:pPr>
      <w:r>
        <w:rPr>
          <w:rFonts w:eastAsia="Times New Roman"/>
          <w:color w:val="000000"/>
          <w:sz w:val="20"/>
          <w:szCs w:val="20"/>
        </w:rPr>
        <w:t>We report Non-GAAP Operating ROE and Non-GAAP Operat</w:t>
      </w:r>
      <w:r>
        <w:rPr>
          <w:rFonts w:eastAsia="Times New Roman"/>
          <w:color w:val="000000"/>
          <w:sz w:val="20"/>
          <w:szCs w:val="20"/>
        </w:rPr>
        <w:t xml:space="preserve">ing ROC by segment for our Individual Retirement, Group Retirement and Protection Solutions segments, each of which is a Non-GAAP financial measure used to evaluate our profitability on a consolidated basis and by segment, respectively. </w:t>
      </w:r>
    </w:p>
    <w:p w:rsidR="00000000" w:rsidRDefault="00897B14">
      <w:pPr>
        <w:ind w:firstLine="360"/>
        <w:divId w:val="1905141089"/>
        <w:rPr>
          <w:rFonts w:eastAsia="Times New Roman"/>
        </w:rPr>
      </w:pPr>
      <w:r>
        <w:rPr>
          <w:rFonts w:eastAsia="Times New Roman"/>
          <w:color w:val="000000"/>
          <w:sz w:val="20"/>
          <w:szCs w:val="20"/>
        </w:rPr>
        <w:t>We calculate Non-G</w:t>
      </w:r>
      <w:r>
        <w:rPr>
          <w:rFonts w:eastAsia="Times New Roman"/>
          <w:color w:val="000000"/>
          <w:sz w:val="20"/>
          <w:szCs w:val="20"/>
        </w:rPr>
        <w:t>AAP Operating ROE by dividing Non-GAAP operating earnings for the previous twelve calendar months by consolidated average equity attributable to Holdings’ common shareholders, excluding AOCI. We calculate Non-GAAP Operating ROC by segment by dividing Opera</w:t>
      </w:r>
      <w:r>
        <w:rPr>
          <w:rFonts w:eastAsia="Times New Roman"/>
          <w:color w:val="000000"/>
          <w:sz w:val="20"/>
          <w:szCs w:val="20"/>
        </w:rPr>
        <w:t>ting earnings (loss) on a segment basis for the previous twelve calendar months by average capital on a segment basis, excluding AOCI, as described below. AOCI fluctuates period-to-period in a manner inconsistent with our underlying profitability drivers a</w:t>
      </w:r>
      <w:r>
        <w:rPr>
          <w:rFonts w:eastAsia="Times New Roman"/>
          <w:color w:val="000000"/>
          <w:sz w:val="20"/>
          <w:szCs w:val="20"/>
        </w:rPr>
        <w:t xml:space="preserve">s the majority of such fluctuation is related to the market volatility of the unrealized gains and losses associated with our AFS securities. </w:t>
      </w:r>
    </w:p>
    <w:p w:rsidR="00000000" w:rsidRDefault="00897B14">
      <w:pPr>
        <w:ind w:firstLine="360"/>
        <w:divId w:val="127551094"/>
        <w:rPr>
          <w:rFonts w:eastAsia="Times New Roman"/>
        </w:rPr>
      </w:pPr>
      <w:r>
        <w:rPr>
          <w:rFonts w:eastAsia="Times New Roman"/>
          <w:color w:val="000000"/>
          <w:sz w:val="20"/>
          <w:szCs w:val="20"/>
        </w:rPr>
        <w:t>Therefore, we believe excluding AOCI is more effective for analyzing the trends of our operations. We do not calc</w:t>
      </w:r>
      <w:r>
        <w:rPr>
          <w:rFonts w:eastAsia="Times New Roman"/>
          <w:color w:val="000000"/>
          <w:sz w:val="20"/>
          <w:szCs w:val="20"/>
        </w:rPr>
        <w:t>ulate Non-GAAP Operating ROC by segment for our Investment Management and Research segment because we do not manage that segment from a return of capital perspective. Instead, we use metrics more directly applicable to an asset management business, such as</w:t>
      </w:r>
      <w:r>
        <w:rPr>
          <w:rFonts w:eastAsia="Times New Roman"/>
          <w:color w:val="000000"/>
          <w:sz w:val="20"/>
          <w:szCs w:val="20"/>
        </w:rPr>
        <w:t xml:space="preserve"> AUM, to evaluate and manage that segment. </w:t>
      </w:r>
    </w:p>
    <w:p w:rsidR="00000000" w:rsidRDefault="00897B14">
      <w:pPr>
        <w:ind w:firstLine="360"/>
        <w:divId w:val="1221019723"/>
        <w:rPr>
          <w:rFonts w:eastAsia="Times New Roman"/>
        </w:rPr>
      </w:pPr>
      <w:r>
        <w:rPr>
          <w:rFonts w:eastAsia="Times New Roman"/>
          <w:color w:val="000000"/>
          <w:sz w:val="20"/>
          <w:szCs w:val="20"/>
        </w:rPr>
        <w:t>For Non-GAAP Operating ROC by segment, capital components pertaining directly to specific segments such as DAC along with targeted capital are directly attributed to these segments. Targeted capital for each segm</w:t>
      </w:r>
      <w:r>
        <w:rPr>
          <w:rFonts w:eastAsia="Times New Roman"/>
          <w:color w:val="000000"/>
          <w:sz w:val="20"/>
          <w:szCs w:val="20"/>
        </w:rPr>
        <w:t>ent is established using assumptions supporting statutory capital adequacy levels, reflecting the NAIC RBC framework adopted as of year-end 2019. To enhance the ability to analyze these measures across periods, interim periods are annualized. Non-GAAP Oper</w:t>
      </w:r>
      <w:r>
        <w:rPr>
          <w:rFonts w:eastAsia="Times New Roman"/>
          <w:color w:val="000000"/>
          <w:sz w:val="20"/>
          <w:szCs w:val="20"/>
        </w:rPr>
        <w:t>ating ROE and Non-GAAP Operating ROC by segment should not be used as substitutes for ROE.</w:t>
      </w:r>
    </w:p>
    <w:p w:rsidR="00000000" w:rsidRDefault="00897B14">
      <w:pPr>
        <w:ind w:firstLine="360"/>
        <w:divId w:val="117460361"/>
        <w:rPr>
          <w:rFonts w:eastAsia="Times New Roman"/>
        </w:rPr>
      </w:pPr>
      <w:r>
        <w:rPr>
          <w:rFonts w:eastAsia="Times New Roman"/>
          <w:color w:val="000000"/>
          <w:sz w:val="20"/>
          <w:szCs w:val="20"/>
        </w:rPr>
        <w:t>The following table presents return on average equity attributable to Holdings’ common shareholders, excluding AOCI and Non-GAAP Operating ROE for the trailing twelv</w:t>
      </w:r>
      <w:r>
        <w:rPr>
          <w:rFonts w:eastAsia="Times New Roman"/>
          <w:color w:val="000000"/>
          <w:sz w:val="20"/>
          <w:szCs w:val="20"/>
        </w:rPr>
        <w:t>e months ended June 30,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6377"/>
        <w:gridCol w:w="36"/>
        <w:gridCol w:w="120"/>
        <w:gridCol w:w="1516"/>
        <w:gridCol w:w="220"/>
      </w:tblGrid>
      <w:tr w:rsidR="00000000">
        <w:trPr>
          <w:divId w:val="288777462"/>
        </w:trPr>
        <w:tc>
          <w:tcPr>
            <w:tcW w:w="50" w:type="pct"/>
            <w:vAlign w:val="center"/>
            <w:hideMark/>
          </w:tcPr>
          <w:p w:rsidR="00000000" w:rsidRDefault="00897B14">
            <w:pPr>
              <w:ind w:firstLine="360"/>
              <w:rPr>
                <w:rFonts w:eastAsia="Times New Roman"/>
              </w:rPr>
            </w:pPr>
          </w:p>
        </w:tc>
        <w:tc>
          <w:tcPr>
            <w:tcW w:w="392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96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28877746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Trailing Twelve Months Ended June 30, 2021</w:t>
            </w:r>
          </w:p>
        </w:tc>
      </w:tr>
      <w:tr w:rsidR="00000000">
        <w:trPr>
          <w:divId w:val="288777462"/>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288777462"/>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(3,451)</w:t>
            </w:r>
          </w:p>
        </w:tc>
        <w:tc>
          <w:tcPr>
            <w:tcW w:w="0" w:type="auto"/>
            <w:tcBorders>
              <w:top w:val="single" w:sz="4"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8877746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9,716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8877746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288777462"/>
          <w:trHeight w:val="280"/>
        </w:trPr>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28877746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88777462"/>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9,716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8877746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bl>
    <w:p w:rsidR="00000000" w:rsidRDefault="00897B14">
      <w:pPr>
        <w:divId w:val="1358894047"/>
        <w:rPr>
          <w:rFonts w:eastAsia="Times New Roman"/>
        </w:rPr>
      </w:pPr>
    </w:p>
    <w:p w:rsidR="00000000" w:rsidRDefault="00897B14">
      <w:pPr>
        <w:ind w:firstLine="360"/>
        <w:divId w:val="1339699326"/>
        <w:rPr>
          <w:rFonts w:eastAsia="Times New Roman"/>
        </w:rPr>
      </w:pPr>
      <w:r>
        <w:rPr>
          <w:rFonts w:eastAsia="Times New Roman"/>
          <w:color w:val="000000"/>
          <w:sz w:val="20"/>
          <w:szCs w:val="20"/>
        </w:rPr>
        <w:t>The following table presents Non-GAAP Operating ROC by segment for our Individual Retirement, Group Retirement and Protection Solutions segments for the trailing twelve months ended June 30,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4721"/>
        <w:gridCol w:w="36"/>
        <w:gridCol w:w="120"/>
        <w:gridCol w:w="837"/>
        <w:gridCol w:w="220"/>
        <w:gridCol w:w="36"/>
        <w:gridCol w:w="36"/>
        <w:gridCol w:w="36"/>
        <w:gridCol w:w="120"/>
        <w:gridCol w:w="718"/>
        <w:gridCol w:w="220"/>
        <w:gridCol w:w="36"/>
        <w:gridCol w:w="36"/>
        <w:gridCol w:w="36"/>
        <w:gridCol w:w="120"/>
        <w:gridCol w:w="721"/>
        <w:gridCol w:w="220"/>
      </w:tblGrid>
      <w:tr w:rsidR="00000000">
        <w:trPr>
          <w:divId w:val="251550741"/>
        </w:trPr>
        <w:tc>
          <w:tcPr>
            <w:tcW w:w="50" w:type="pct"/>
            <w:vAlign w:val="center"/>
            <w:hideMark/>
          </w:tcPr>
          <w:p w:rsidR="00000000" w:rsidRDefault="00897B14">
            <w:pPr>
              <w:ind w:firstLine="360"/>
              <w:rPr>
                <w:rFonts w:eastAsia="Times New Roman"/>
              </w:rPr>
            </w:pPr>
          </w:p>
        </w:tc>
        <w:tc>
          <w:tcPr>
            <w:tcW w:w="29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25155074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Trailing Twelve Months Ended June 30, 2021</w:t>
            </w:r>
          </w:p>
        </w:tc>
      </w:tr>
      <w:tr w:rsidR="00000000">
        <w:trPr>
          <w:divId w:val="25155074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Individual Retirement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Group Retirement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Protection Solutions</w:t>
            </w:r>
          </w:p>
        </w:tc>
      </w:tr>
      <w:tr w:rsidR="00000000">
        <w:trPr>
          <w:divId w:val="25155074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251550741"/>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Operating earnings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1,590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5155074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Average capital </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6,426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1,108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2,137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25155074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Non-GAAP Operating ROC</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bl>
    <w:p w:rsidR="00000000" w:rsidRDefault="00897B14">
      <w:pPr>
        <w:divId w:val="1087767091"/>
        <w:rPr>
          <w:rFonts w:eastAsia="Times New Roman"/>
        </w:rPr>
      </w:pPr>
    </w:p>
    <w:p w:rsidR="00000000" w:rsidRDefault="00897B14">
      <w:pPr>
        <w:jc w:val="center"/>
        <w:divId w:val="1928077185"/>
        <w:rPr>
          <w:rFonts w:eastAsia="Times New Roman"/>
        </w:rPr>
      </w:pPr>
      <w:r>
        <w:rPr>
          <w:rFonts w:eastAsia="Times New Roman"/>
          <w:color w:val="000000"/>
          <w:sz w:val="20"/>
          <w:szCs w:val="20"/>
        </w:rPr>
        <w:t>82</w:t>
      </w:r>
    </w:p>
    <w:p w:rsidR="00000000" w:rsidRDefault="00897B14">
      <w:pPr>
        <w:rPr>
          <w:rFonts w:eastAsia="Times New Roman"/>
        </w:rPr>
      </w:pPr>
      <w:r>
        <w:rPr>
          <w:rFonts w:eastAsia="Times New Roman"/>
        </w:rPr>
        <w:pict>
          <v:rect id="_x0000_i1108" style="width:0;height:1.5pt" o:hralign="center" o:hrstd="t" o:hr="t" fillcolor="#a0a0a0" stroked="f"/>
        </w:pict>
      </w:r>
    </w:p>
    <w:p w:rsidR="00000000" w:rsidRDefault="00897B14">
      <w:pPr>
        <w:ind w:firstLine="360"/>
        <w:divId w:val="106826343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both"/>
        <w:divId w:val="570237777"/>
        <w:rPr>
          <w:rFonts w:eastAsia="Times New Roman"/>
        </w:rPr>
      </w:pPr>
      <w:r>
        <w:rPr>
          <w:rFonts w:eastAsia="Times New Roman"/>
          <w:b/>
          <w:bCs/>
          <w:i/>
          <w:iCs/>
          <w:color w:val="000000"/>
          <w:sz w:val="20"/>
          <w:szCs w:val="20"/>
        </w:rPr>
        <w:t>Non-GAAP Operating Common EPS</w:t>
      </w:r>
    </w:p>
    <w:p w:rsidR="00000000" w:rsidRDefault="00897B14">
      <w:pPr>
        <w:ind w:firstLine="360"/>
        <w:divId w:val="1734502747"/>
        <w:rPr>
          <w:rFonts w:eastAsia="Times New Roman"/>
        </w:rPr>
      </w:pPr>
      <w:r>
        <w:rPr>
          <w:rFonts w:eastAsia="Times New Roman"/>
          <w:color w:val="000000"/>
          <w:sz w:val="20"/>
          <w:szCs w:val="20"/>
        </w:rPr>
        <w:t>Non-GAAP operating common EPS is calculated by dividing Non-GAAP operating earnings by diluted common shares outstanding. The following table sets forth Non-GAAP operating common EPS for the six months ended June 30, 2021 and 2020.</w:t>
      </w:r>
    </w:p>
    <w:tbl>
      <w:tblPr>
        <w:tblW w:w="4678" w:type="pct"/>
        <w:tblCellMar>
          <w:top w:w="15" w:type="dxa"/>
          <w:left w:w="15" w:type="dxa"/>
          <w:bottom w:w="15" w:type="dxa"/>
          <w:right w:w="15" w:type="dxa"/>
        </w:tblCellMar>
        <w:tblLook w:val="04A0" w:firstRow="1" w:lastRow="0" w:firstColumn="1" w:lastColumn="0" w:noHBand="0" w:noVBand="1"/>
      </w:tblPr>
      <w:tblGrid>
        <w:gridCol w:w="39"/>
        <w:gridCol w:w="2997"/>
        <w:gridCol w:w="38"/>
        <w:gridCol w:w="120"/>
        <w:gridCol w:w="888"/>
        <w:gridCol w:w="36"/>
        <w:gridCol w:w="36"/>
        <w:gridCol w:w="36"/>
        <w:gridCol w:w="36"/>
        <w:gridCol w:w="120"/>
        <w:gridCol w:w="841"/>
        <w:gridCol w:w="36"/>
        <w:gridCol w:w="36"/>
        <w:gridCol w:w="36"/>
        <w:gridCol w:w="36"/>
        <w:gridCol w:w="36"/>
        <w:gridCol w:w="36"/>
        <w:gridCol w:w="36"/>
        <w:gridCol w:w="36"/>
        <w:gridCol w:w="36"/>
        <w:gridCol w:w="36"/>
        <w:gridCol w:w="120"/>
        <w:gridCol w:w="902"/>
        <w:gridCol w:w="36"/>
        <w:gridCol w:w="36"/>
        <w:gridCol w:w="36"/>
        <w:gridCol w:w="36"/>
        <w:gridCol w:w="120"/>
        <w:gridCol w:w="902"/>
        <w:gridCol w:w="36"/>
      </w:tblGrid>
      <w:tr w:rsidR="00000000">
        <w:trPr>
          <w:divId w:val="846408176"/>
        </w:trPr>
        <w:tc>
          <w:tcPr>
            <w:tcW w:w="50" w:type="pct"/>
            <w:vAlign w:val="center"/>
            <w:hideMark/>
          </w:tcPr>
          <w:p w:rsidR="00000000" w:rsidRDefault="00897B14">
            <w:pPr>
              <w:ind w:firstLine="360"/>
              <w:rPr>
                <w:rFonts w:eastAsia="Times New Roman"/>
              </w:rPr>
            </w:pPr>
          </w:p>
        </w:tc>
        <w:tc>
          <w:tcPr>
            <w:tcW w:w="203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6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6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846408176"/>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84640817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84640817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(per share amounts)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846408176"/>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attributable to Holdings (1)</w:t>
            </w: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0.29</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(8.92)</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(3.18)</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2.99 </w:t>
            </w:r>
          </w:p>
        </w:tc>
        <w:tc>
          <w:tcPr>
            <w:tcW w:w="0" w:type="auto"/>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available to Holdings’ common shareholders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Adjustments related to:</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846408176"/>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Variable annuity product features (2)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12.70 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(0.98)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(0.38)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(0.38)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adjustments (3) (4) (5)</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Income tax expense (benefit) related to above adjustments (6)</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(0.40)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0.23 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Non-recurring tax items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846408176"/>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Non-GAAP operating common EPS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0.98 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691057912"/>
        <w:rPr>
          <w:rFonts w:eastAsia="Times New Roman"/>
        </w:rPr>
      </w:pPr>
      <w:r>
        <w:rPr>
          <w:rFonts w:eastAsia="Times New Roman"/>
          <w:color w:val="000000"/>
          <w:sz w:val="20"/>
          <w:szCs w:val="20"/>
        </w:rPr>
        <w:t>______________</w:t>
      </w:r>
    </w:p>
    <w:p w:rsidR="00000000" w:rsidRDefault="00897B14">
      <w:pPr>
        <w:ind w:hanging="360"/>
        <w:divId w:val="274094420"/>
        <w:rPr>
          <w:rFonts w:eastAsia="Times New Roman"/>
        </w:rPr>
      </w:pPr>
      <w:r>
        <w:rPr>
          <w:rFonts w:eastAsia="Times New Roman"/>
          <w:color w:val="000000"/>
          <w:sz w:val="18"/>
          <w:szCs w:val="18"/>
        </w:rPr>
        <w:t>(1)</w:t>
      </w:r>
      <w:r>
        <w:rPr>
          <w:rFonts w:eastAsia="Times New Roman"/>
          <w:color w:val="000000"/>
          <w:sz w:val="18"/>
          <w:szCs w:val="18"/>
        </w:rPr>
        <w:t xml:space="preserve">Due to reporting a net loss for the three months ended June 30, 2020 and six months ended June 30, 2021, basic shares was used in the diluted earnings per common share calculation as the use of diluted shares would have resulted in a lower loss per share. </w:t>
      </w:r>
    </w:p>
    <w:p w:rsidR="00000000" w:rsidRDefault="00897B14">
      <w:pPr>
        <w:ind w:hanging="360"/>
        <w:divId w:val="122314549"/>
        <w:rPr>
          <w:rFonts w:eastAsia="Times New Roman"/>
        </w:rPr>
      </w:pPr>
      <w:r>
        <w:rPr>
          <w:rFonts w:eastAsia="Times New Roman"/>
          <w:color w:val="000000"/>
          <w:sz w:val="18"/>
          <w:szCs w:val="18"/>
        </w:rPr>
        <w:t xml:space="preserve">(2)Includes COVID-19 impact on Variable annuity product features due to a first quarter 2020 assumption update of $3.21 and other COVID-19 related impacts of $0.08 for the six months ended June 30, 2020. </w:t>
      </w:r>
    </w:p>
    <w:p w:rsidR="00000000" w:rsidRDefault="00897B14">
      <w:pPr>
        <w:ind w:hanging="360"/>
        <w:divId w:val="666516949"/>
        <w:rPr>
          <w:rFonts w:eastAsia="Times New Roman"/>
        </w:rPr>
      </w:pPr>
      <w:r>
        <w:rPr>
          <w:rFonts w:eastAsia="Times New Roman"/>
          <w:color w:val="000000"/>
          <w:sz w:val="18"/>
          <w:szCs w:val="18"/>
        </w:rPr>
        <w:t>(3)Includes COVID-19 impact on Other adjustments d</w:t>
      </w:r>
      <w:r>
        <w:rPr>
          <w:rFonts w:eastAsia="Times New Roman"/>
          <w:color w:val="000000"/>
          <w:sz w:val="18"/>
          <w:szCs w:val="18"/>
        </w:rPr>
        <w:t xml:space="preserve">ue to a first quarter 2020 assumption update of $2.29 for the six months ended June 30, 2020 and other COVID-19 related impacts of $0.08 and $0.19 for the three and six months ended June 30, 2020. </w:t>
      </w:r>
    </w:p>
    <w:p w:rsidR="00000000" w:rsidRDefault="00897B14">
      <w:pPr>
        <w:ind w:hanging="360"/>
        <w:divId w:val="941036933"/>
        <w:rPr>
          <w:rFonts w:eastAsia="Times New Roman"/>
        </w:rPr>
      </w:pPr>
      <w:r>
        <w:rPr>
          <w:rFonts w:eastAsia="Times New Roman"/>
          <w:color w:val="000000"/>
          <w:sz w:val="18"/>
          <w:szCs w:val="18"/>
        </w:rPr>
        <w:t>(4)Includes separation costs of $0.04, $0.09, $0.09 and $0</w:t>
      </w:r>
      <w:r>
        <w:rPr>
          <w:rFonts w:eastAsia="Times New Roman"/>
          <w:color w:val="000000"/>
          <w:sz w:val="18"/>
          <w:szCs w:val="18"/>
        </w:rPr>
        <w:t>.16 for the three months and six months ended June 30, 2021 and 2020.</w:t>
      </w:r>
    </w:p>
    <w:p w:rsidR="00000000" w:rsidRDefault="00897B14">
      <w:pPr>
        <w:ind w:hanging="360"/>
        <w:divId w:val="254940633"/>
        <w:rPr>
          <w:rFonts w:eastAsia="Times New Roman"/>
        </w:rPr>
      </w:pPr>
      <w:r>
        <w:rPr>
          <w:rFonts w:eastAsia="Times New Roman"/>
          <w:color w:val="000000"/>
          <w:sz w:val="18"/>
          <w:szCs w:val="18"/>
        </w:rPr>
        <w:t>(5)Includes certain legal accruals related to the cost of insurance litigation of $0.42 for the six months ended June 30, 2021. No adjustments were made to prior period non-GAAP operatin</w:t>
      </w:r>
      <w:r>
        <w:rPr>
          <w:rFonts w:eastAsia="Times New Roman"/>
          <w:color w:val="000000"/>
          <w:sz w:val="18"/>
          <w:szCs w:val="18"/>
        </w:rPr>
        <w:t>g EPS as the impact was immaterial.</w:t>
      </w:r>
    </w:p>
    <w:p w:rsidR="00000000" w:rsidRDefault="00897B14">
      <w:pPr>
        <w:ind w:hanging="360"/>
        <w:divId w:val="656033549"/>
        <w:rPr>
          <w:rFonts w:eastAsia="Times New Roman"/>
        </w:rPr>
      </w:pPr>
      <w:r>
        <w:rPr>
          <w:rFonts w:eastAsia="Times New Roman"/>
          <w:color w:val="000000"/>
          <w:sz w:val="18"/>
          <w:szCs w:val="18"/>
        </w:rPr>
        <w:t xml:space="preserve">(6)Includes income taxes of $(0.02) and $(1.21) for the above related COVID-19 items for the three and six months ended June 30, 2020. </w:t>
      </w:r>
    </w:p>
    <w:p w:rsidR="00000000" w:rsidRDefault="00897B14">
      <w:pPr>
        <w:jc w:val="both"/>
        <w:divId w:val="1371758065"/>
        <w:rPr>
          <w:rFonts w:eastAsia="Times New Roman"/>
        </w:rPr>
      </w:pPr>
      <w:r>
        <w:rPr>
          <w:rFonts w:eastAsia="Times New Roman"/>
          <w:b/>
          <w:bCs/>
          <w:i/>
          <w:iCs/>
          <w:color w:val="000000"/>
          <w:sz w:val="20"/>
          <w:szCs w:val="20"/>
        </w:rPr>
        <w:t xml:space="preserve">Assets Under Management </w:t>
      </w:r>
    </w:p>
    <w:p w:rsidR="00000000" w:rsidRDefault="00897B14">
      <w:pPr>
        <w:ind w:firstLine="360"/>
        <w:divId w:val="86318321"/>
        <w:rPr>
          <w:rFonts w:eastAsia="Times New Roman"/>
        </w:rPr>
      </w:pPr>
      <w:r>
        <w:rPr>
          <w:rFonts w:eastAsia="Times New Roman"/>
          <w:color w:val="000000"/>
          <w:sz w:val="20"/>
          <w:szCs w:val="20"/>
        </w:rPr>
        <w:t xml:space="preserve">AUM means investment assets that are managed by one of our </w:t>
      </w:r>
      <w:r>
        <w:rPr>
          <w:rFonts w:eastAsia="Times New Roman"/>
          <w:color w:val="000000"/>
          <w:sz w:val="20"/>
          <w:szCs w:val="20"/>
        </w:rPr>
        <w:t xml:space="preserve">subsidiaries and includes: (i) assets managed by AB; (ii) the assets in our General Account investment portfolio; and (iii) the Separate Accounts assets of our Individual Retirement, Group Retirement and Protection Solutions businesses. Total AUM reflects </w:t>
      </w:r>
      <w:r>
        <w:rPr>
          <w:rFonts w:eastAsia="Times New Roman"/>
          <w:color w:val="000000"/>
          <w:sz w:val="20"/>
          <w:szCs w:val="20"/>
        </w:rPr>
        <w:t xml:space="preserve">exclusions between segments to avoid double counting. </w:t>
      </w:r>
    </w:p>
    <w:p w:rsidR="00000000" w:rsidRDefault="00897B14">
      <w:pPr>
        <w:jc w:val="both"/>
        <w:divId w:val="1575315203"/>
        <w:rPr>
          <w:rFonts w:eastAsia="Times New Roman"/>
        </w:rPr>
      </w:pPr>
      <w:r>
        <w:rPr>
          <w:rFonts w:eastAsia="Times New Roman"/>
          <w:b/>
          <w:bCs/>
          <w:i/>
          <w:iCs/>
          <w:color w:val="000000"/>
          <w:sz w:val="20"/>
          <w:szCs w:val="20"/>
        </w:rPr>
        <w:t xml:space="preserve">Assets Under Administration </w:t>
      </w:r>
    </w:p>
    <w:p w:rsidR="00000000" w:rsidRDefault="00897B14">
      <w:pPr>
        <w:ind w:firstLine="360"/>
        <w:divId w:val="2053311466"/>
        <w:rPr>
          <w:rFonts w:eastAsia="Times New Roman"/>
        </w:rPr>
      </w:pPr>
      <w:r>
        <w:rPr>
          <w:rFonts w:eastAsia="Times New Roman"/>
          <w:color w:val="000000"/>
          <w:sz w:val="20"/>
          <w:szCs w:val="20"/>
        </w:rPr>
        <w:t xml:space="preserve">AUA includes non-insurance client assets that are invested in our savings and investment products or serviced by our Equitable Advisors platform. We provide administrative </w:t>
      </w:r>
      <w:r>
        <w:rPr>
          <w:rFonts w:eastAsia="Times New Roman"/>
          <w:color w:val="000000"/>
          <w:sz w:val="20"/>
          <w:szCs w:val="20"/>
        </w:rPr>
        <w:t xml:space="preserve">services for these assets and generally record the revenues received as distribution fees. </w:t>
      </w:r>
    </w:p>
    <w:p w:rsidR="00000000" w:rsidRDefault="00897B14">
      <w:pPr>
        <w:jc w:val="both"/>
        <w:divId w:val="475029749"/>
        <w:rPr>
          <w:rFonts w:eastAsia="Times New Roman"/>
        </w:rPr>
      </w:pPr>
      <w:r>
        <w:rPr>
          <w:rFonts w:eastAsia="Times New Roman"/>
          <w:b/>
          <w:bCs/>
          <w:i/>
          <w:iCs/>
          <w:color w:val="000000"/>
          <w:sz w:val="20"/>
          <w:szCs w:val="20"/>
        </w:rPr>
        <w:t xml:space="preserve">Account Value </w:t>
      </w:r>
    </w:p>
    <w:p w:rsidR="00000000" w:rsidRDefault="00897B14">
      <w:pPr>
        <w:ind w:firstLine="360"/>
        <w:divId w:val="1127702192"/>
        <w:rPr>
          <w:rFonts w:eastAsia="Times New Roman"/>
        </w:rPr>
      </w:pPr>
      <w:r>
        <w:rPr>
          <w:rFonts w:eastAsia="Times New Roman"/>
          <w:color w:val="000000"/>
          <w:sz w:val="20"/>
          <w:szCs w:val="20"/>
        </w:rPr>
        <w:t>AV generally equals the aggregate policy account value of our retirement products. General Account AV refers to account balances in investment option</w:t>
      </w:r>
      <w:r>
        <w:rPr>
          <w:rFonts w:eastAsia="Times New Roman"/>
          <w:color w:val="000000"/>
          <w:sz w:val="20"/>
          <w:szCs w:val="20"/>
        </w:rPr>
        <w:t>s that are backed by the General Account while Separate Accounts AV refers to Separate Accounts investment assets.</w:t>
      </w:r>
    </w:p>
    <w:p w:rsidR="00000000" w:rsidRDefault="00897B14">
      <w:pPr>
        <w:jc w:val="both"/>
        <w:divId w:val="853501332"/>
        <w:rPr>
          <w:rFonts w:eastAsia="Times New Roman"/>
        </w:rPr>
      </w:pPr>
      <w:r>
        <w:rPr>
          <w:rFonts w:eastAsia="Times New Roman"/>
          <w:b/>
          <w:bCs/>
          <w:i/>
          <w:iCs/>
          <w:color w:val="000000"/>
          <w:sz w:val="20"/>
          <w:szCs w:val="20"/>
        </w:rPr>
        <w:t xml:space="preserve">Protection Solutions Reserves </w:t>
      </w:r>
    </w:p>
    <w:p w:rsidR="00000000" w:rsidRDefault="00897B14">
      <w:pPr>
        <w:ind w:firstLine="360"/>
        <w:divId w:val="281427966"/>
        <w:rPr>
          <w:rFonts w:eastAsia="Times New Roman"/>
        </w:rPr>
      </w:pPr>
      <w:r>
        <w:rPr>
          <w:rFonts w:eastAsia="Times New Roman"/>
          <w:color w:val="000000"/>
          <w:sz w:val="20"/>
          <w:szCs w:val="20"/>
        </w:rPr>
        <w:t xml:space="preserve">Protection Solutions Reserves equals the aggregate value of policyholders’ account balances and future policy benefits for policies in our Protection Solutions segment. </w:t>
      </w:r>
    </w:p>
    <w:p w:rsidR="00000000" w:rsidRDefault="00897B14">
      <w:pPr>
        <w:jc w:val="center"/>
        <w:divId w:val="139395431"/>
        <w:rPr>
          <w:rFonts w:eastAsia="Times New Roman"/>
        </w:rPr>
      </w:pPr>
      <w:r>
        <w:rPr>
          <w:rFonts w:eastAsia="Times New Roman"/>
          <w:color w:val="000000"/>
          <w:sz w:val="20"/>
          <w:szCs w:val="20"/>
        </w:rPr>
        <w:t>83</w:t>
      </w:r>
    </w:p>
    <w:p w:rsidR="00000000" w:rsidRDefault="00897B14">
      <w:pPr>
        <w:rPr>
          <w:rFonts w:eastAsia="Times New Roman"/>
        </w:rPr>
      </w:pPr>
      <w:r>
        <w:rPr>
          <w:rFonts w:eastAsia="Times New Roman"/>
        </w:rPr>
        <w:pict>
          <v:rect id="_x0000_i1109" style="width:0;height:1.5pt" o:hralign="center" o:hrstd="t" o:hr="t" fillcolor="#a0a0a0" stroked="f"/>
        </w:pict>
      </w:r>
    </w:p>
    <w:p w:rsidR="00000000" w:rsidRDefault="00897B14">
      <w:pPr>
        <w:ind w:firstLine="360"/>
        <w:divId w:val="2144812724"/>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255599517"/>
        <w:rPr>
          <w:rFonts w:eastAsia="Times New Roman"/>
        </w:rPr>
      </w:pPr>
      <w:r>
        <w:rPr>
          <w:rFonts w:eastAsia="Times New Roman"/>
          <w:b/>
          <w:bCs/>
          <w:color w:val="000000"/>
          <w:sz w:val="20"/>
          <w:szCs w:val="20"/>
        </w:rPr>
        <w:t xml:space="preserve">Consolidated Results of Operations </w:t>
      </w:r>
    </w:p>
    <w:p w:rsidR="00000000" w:rsidRDefault="00897B14">
      <w:pPr>
        <w:ind w:firstLine="360"/>
        <w:divId w:val="1247229062"/>
        <w:rPr>
          <w:rFonts w:eastAsia="Times New Roman"/>
        </w:rPr>
      </w:pPr>
      <w:r>
        <w:rPr>
          <w:rFonts w:eastAsia="Times New Roman"/>
          <w:color w:val="000000"/>
          <w:sz w:val="20"/>
          <w:szCs w:val="20"/>
        </w:rPr>
        <w:t>Our consolidated results of operations are significantly affected by conditions in the capital markets and the economy because we offer market sensitive products. These products have been a</w:t>
      </w:r>
      <w:r>
        <w:rPr>
          <w:rFonts w:eastAsia="Times New Roman"/>
          <w:color w:val="000000"/>
          <w:sz w:val="20"/>
          <w:szCs w:val="20"/>
        </w:rPr>
        <w:t xml:space="preserve"> significant driver of our results of operations. Because the future claims exposure on these products is sensitive to movements in the equity markets and interest rates, we have in place various hedging and reinsurance programs that are designed to mitiga</w:t>
      </w:r>
      <w:r>
        <w:rPr>
          <w:rFonts w:eastAsia="Times New Roman"/>
          <w:color w:val="000000"/>
          <w:sz w:val="20"/>
          <w:szCs w:val="20"/>
        </w:rPr>
        <w:t>te the economic risk of movements in the equity markets and interest rates. The volatility in net income attributable to Holdings for the periods presented below results from the mismatch between: (i) the change in carrying value of the reserves for GMDB a</w:t>
      </w:r>
      <w:r>
        <w:rPr>
          <w:rFonts w:eastAsia="Times New Roman"/>
          <w:color w:val="000000"/>
          <w:sz w:val="20"/>
          <w:szCs w:val="20"/>
        </w:rPr>
        <w:t xml:space="preserve">nd certain GMIB features that do not fully and immediately reflect the impact of equity and interest market fluctuations; (ii) the change in fair value of products with the GMIB feature that have a no-lapse guarantee; and (iii) our hedging and reinsurance </w:t>
      </w:r>
      <w:r>
        <w:rPr>
          <w:rFonts w:eastAsia="Times New Roman"/>
          <w:color w:val="000000"/>
          <w:sz w:val="20"/>
          <w:szCs w:val="20"/>
        </w:rPr>
        <w:t xml:space="preserve">programs. </w:t>
      </w:r>
    </w:p>
    <w:p w:rsidR="00000000" w:rsidRDefault="00897B14">
      <w:pPr>
        <w:jc w:val="both"/>
        <w:divId w:val="447890622"/>
        <w:rPr>
          <w:rFonts w:eastAsia="Times New Roman"/>
        </w:rPr>
      </w:pPr>
      <w:r>
        <w:rPr>
          <w:rFonts w:eastAsia="Times New Roman"/>
          <w:b/>
          <w:bCs/>
          <w:i/>
          <w:iCs/>
          <w:color w:val="000000"/>
          <w:sz w:val="20"/>
          <w:szCs w:val="20"/>
        </w:rPr>
        <w:t xml:space="preserve">Ownership and Consolidation of AllianceBernstein </w:t>
      </w:r>
    </w:p>
    <w:p w:rsidR="00000000" w:rsidRDefault="00897B14">
      <w:pPr>
        <w:ind w:firstLine="360"/>
        <w:divId w:val="1477600164"/>
        <w:rPr>
          <w:rFonts w:eastAsia="Times New Roman"/>
        </w:rPr>
      </w:pPr>
      <w:r>
        <w:rPr>
          <w:rFonts w:eastAsia="Times New Roman"/>
          <w:color w:val="000000"/>
          <w:sz w:val="20"/>
          <w:szCs w:val="20"/>
        </w:rPr>
        <w:t xml:space="preserve">Our indirect, wholly-owned subsidiary, AllianceBernstein Corporation, is the General Partner of AB. Accordingly, AB’s results are fully reflected in our consolidated financial statements. </w:t>
      </w:r>
    </w:p>
    <w:p w:rsidR="00000000" w:rsidRDefault="00897B14">
      <w:pPr>
        <w:ind w:firstLine="360"/>
        <w:divId w:val="509030501"/>
        <w:rPr>
          <w:rFonts w:eastAsia="Times New Roman"/>
        </w:rPr>
      </w:pPr>
      <w:r>
        <w:rPr>
          <w:rFonts w:eastAsia="Times New Roman"/>
          <w:color w:val="000000"/>
          <w:sz w:val="20"/>
          <w:szCs w:val="20"/>
        </w:rPr>
        <w:t>Our ec</w:t>
      </w:r>
      <w:r>
        <w:rPr>
          <w:rFonts w:eastAsia="Times New Roman"/>
          <w:color w:val="000000"/>
          <w:sz w:val="20"/>
          <w:szCs w:val="20"/>
        </w:rPr>
        <w:t>onomic interest in AB was approximately 65% during the three months and six months ended June 30, 2021 and 2020.</w:t>
      </w:r>
    </w:p>
    <w:p w:rsidR="00000000" w:rsidRDefault="00897B14">
      <w:pPr>
        <w:jc w:val="both"/>
        <w:divId w:val="685210736"/>
        <w:rPr>
          <w:rFonts w:eastAsia="Times New Roman"/>
        </w:rPr>
      </w:pPr>
      <w:r>
        <w:rPr>
          <w:rFonts w:eastAsia="Times New Roman"/>
          <w:b/>
          <w:bCs/>
          <w:i/>
          <w:iCs/>
          <w:color w:val="000000"/>
          <w:sz w:val="20"/>
          <w:szCs w:val="20"/>
        </w:rPr>
        <w:t>Effective Tax Rates</w:t>
      </w:r>
    </w:p>
    <w:p w:rsidR="00000000" w:rsidRDefault="00897B14">
      <w:pPr>
        <w:ind w:firstLine="360"/>
        <w:divId w:val="2028825271"/>
        <w:rPr>
          <w:rFonts w:eastAsia="Times New Roman"/>
        </w:rPr>
      </w:pPr>
      <w:r>
        <w:rPr>
          <w:rFonts w:eastAsia="Times New Roman"/>
          <w:color w:val="000000"/>
          <w:sz w:val="20"/>
          <w:szCs w:val="20"/>
        </w:rPr>
        <w:t>For interim reporting periods, we calculate income tax expense using an estimated annual ETR, with discrete items recognize</w:t>
      </w:r>
      <w:r>
        <w:rPr>
          <w:rFonts w:eastAsia="Times New Roman"/>
          <w:color w:val="000000"/>
          <w:sz w:val="20"/>
          <w:szCs w:val="20"/>
        </w:rPr>
        <w:t xml:space="preserve">d in the period in which they occur. </w:t>
      </w:r>
    </w:p>
    <w:p w:rsidR="00000000" w:rsidRDefault="00897B14">
      <w:pPr>
        <w:jc w:val="both"/>
        <w:divId w:val="483014624"/>
        <w:rPr>
          <w:rFonts w:eastAsia="Times New Roman"/>
        </w:rPr>
      </w:pPr>
      <w:r>
        <w:rPr>
          <w:rFonts w:eastAsia="Times New Roman"/>
          <w:b/>
          <w:bCs/>
          <w:i/>
          <w:iCs/>
          <w:color w:val="000000"/>
          <w:sz w:val="20"/>
          <w:szCs w:val="20"/>
        </w:rPr>
        <w:t>Consolidated Results of Operations</w:t>
      </w:r>
    </w:p>
    <w:p w:rsidR="00000000" w:rsidRDefault="00897B14">
      <w:pPr>
        <w:ind w:firstLine="360"/>
        <w:divId w:val="823277502"/>
        <w:rPr>
          <w:rFonts w:eastAsia="Times New Roman"/>
        </w:rPr>
      </w:pPr>
      <w:r>
        <w:rPr>
          <w:rFonts w:eastAsia="Times New Roman"/>
          <w:color w:val="000000"/>
          <w:sz w:val="20"/>
          <w:szCs w:val="20"/>
        </w:rPr>
        <w:t>The following table summarizes our consolidated statements of income (loss) for the three months and six months ended June 30, 2021 and 2020:</w:t>
      </w:r>
    </w:p>
    <w:p w:rsidR="00000000" w:rsidRDefault="00897B14">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3711"/>
        <w:gridCol w:w="37"/>
        <w:gridCol w:w="121"/>
        <w:gridCol w:w="849"/>
        <w:gridCol w:w="36"/>
        <w:gridCol w:w="36"/>
        <w:gridCol w:w="36"/>
        <w:gridCol w:w="36"/>
        <w:gridCol w:w="121"/>
        <w:gridCol w:w="824"/>
        <w:gridCol w:w="36"/>
        <w:gridCol w:w="36"/>
        <w:gridCol w:w="36"/>
        <w:gridCol w:w="36"/>
        <w:gridCol w:w="120"/>
        <w:gridCol w:w="871"/>
        <w:gridCol w:w="36"/>
        <w:gridCol w:w="36"/>
        <w:gridCol w:w="36"/>
        <w:gridCol w:w="36"/>
        <w:gridCol w:w="120"/>
        <w:gridCol w:w="810"/>
        <w:gridCol w:w="36"/>
        <w:gridCol w:w="36"/>
        <w:gridCol w:w="36"/>
        <w:gridCol w:w="36"/>
        <w:gridCol w:w="36"/>
        <w:gridCol w:w="36"/>
        <w:gridCol w:w="36"/>
      </w:tblGrid>
      <w:tr w:rsidR="00000000">
        <w:trPr>
          <w:divId w:val="7759423"/>
        </w:trPr>
        <w:tc>
          <w:tcPr>
            <w:tcW w:w="50" w:type="pct"/>
            <w:vAlign w:val="center"/>
            <w:hideMark/>
          </w:tcPr>
          <w:p w:rsidR="00000000" w:rsidRDefault="00897B14">
            <w:pPr>
              <w:jc w:val="center"/>
              <w:rPr>
                <w:rFonts w:eastAsia="Times New Roman"/>
              </w:rPr>
            </w:pPr>
          </w:p>
        </w:tc>
        <w:tc>
          <w:tcPr>
            <w:tcW w:w="23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759423"/>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 charges and fee income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Premiums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(1,199)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(6,038)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(3,745)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gains (losses), net: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Credit losses on Available for Sale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investment gains (losses), net</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management and service fees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1,052 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2,188 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revenues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2,950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(2,550)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4,103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10,059 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759423"/>
          <w:trHeight w:val="24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divId w:val="862328871"/>
        <w:rPr>
          <w:rFonts w:eastAsia="Times New Roman"/>
        </w:rPr>
      </w:pPr>
      <w:r>
        <w:rPr>
          <w:rFonts w:eastAsia="Times New Roman"/>
          <w:color w:val="000000"/>
          <w:sz w:val="20"/>
          <w:szCs w:val="20"/>
        </w:rPr>
        <w:t>84</w:t>
      </w:r>
    </w:p>
    <w:p w:rsidR="00000000" w:rsidRDefault="00897B14">
      <w:pPr>
        <w:rPr>
          <w:rFonts w:eastAsia="Times New Roman"/>
        </w:rPr>
      </w:pPr>
      <w:r>
        <w:rPr>
          <w:rFonts w:eastAsia="Times New Roman"/>
        </w:rPr>
        <w:pict>
          <v:rect id="_x0000_i1110" style="width:0;height:1.5pt" o:hralign="center" o:hrstd="t" o:hr="t" fillcolor="#a0a0a0" stroked="f"/>
        </w:pict>
      </w:r>
    </w:p>
    <w:p w:rsidR="00000000" w:rsidRDefault="00897B14">
      <w:pPr>
        <w:ind w:firstLine="360"/>
        <w:divId w:val="1076171556"/>
        <w:rPr>
          <w:rFonts w:eastAsia="Times New Roman"/>
        </w:rPr>
      </w:pPr>
      <w:hyperlink w:anchor="i4720991a3d574ba2ab7d34b235a82556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3711"/>
        <w:gridCol w:w="37"/>
        <w:gridCol w:w="120"/>
        <w:gridCol w:w="849"/>
        <w:gridCol w:w="36"/>
        <w:gridCol w:w="36"/>
        <w:gridCol w:w="36"/>
        <w:gridCol w:w="36"/>
        <w:gridCol w:w="120"/>
        <w:gridCol w:w="824"/>
        <w:gridCol w:w="36"/>
        <w:gridCol w:w="36"/>
        <w:gridCol w:w="36"/>
        <w:gridCol w:w="36"/>
        <w:gridCol w:w="120"/>
        <w:gridCol w:w="871"/>
        <w:gridCol w:w="36"/>
        <w:gridCol w:w="36"/>
        <w:gridCol w:w="36"/>
        <w:gridCol w:w="36"/>
        <w:gridCol w:w="120"/>
        <w:gridCol w:w="812"/>
        <w:gridCol w:w="36"/>
        <w:gridCol w:w="36"/>
        <w:gridCol w:w="36"/>
        <w:gridCol w:w="36"/>
        <w:gridCol w:w="36"/>
        <w:gridCol w:w="36"/>
        <w:gridCol w:w="36"/>
      </w:tblGrid>
      <w:tr w:rsidR="00000000">
        <w:trPr>
          <w:divId w:val="1141388205"/>
        </w:trPr>
        <w:tc>
          <w:tcPr>
            <w:tcW w:w="50" w:type="pct"/>
            <w:vAlign w:val="center"/>
            <w:hideMark/>
          </w:tcPr>
          <w:p w:rsidR="00000000" w:rsidRDefault="00897B14">
            <w:pPr>
              <w:ind w:firstLine="360"/>
              <w:rPr>
                <w:rFonts w:eastAsia="Times New Roman"/>
              </w:rPr>
            </w:pPr>
          </w:p>
        </w:tc>
        <w:tc>
          <w:tcPr>
            <w:tcW w:w="234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 except per share data)</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Policyholders’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736 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3,512 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Compensation and benefits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640 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1,465 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benefits and other deductions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2,706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5,667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(5,008)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tax (expense) benefit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1,075 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 attributable to Holdings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(4,019)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(1,365)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Less: Preferred stock dividends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(4,029)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1,346 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Height w:val="24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 xml:space="preserve">EARNINGS PER COMMON SHARE </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Basic</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0.23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Weighted average common shares outstanding (in millions):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Basic</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455.8 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41388205"/>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428.3</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450.4 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429.2</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457.1 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927"/>
        <w:gridCol w:w="144"/>
        <w:gridCol w:w="144"/>
        <w:gridCol w:w="940"/>
        <w:gridCol w:w="144"/>
        <w:gridCol w:w="144"/>
        <w:gridCol w:w="144"/>
        <w:gridCol w:w="144"/>
        <w:gridCol w:w="144"/>
        <w:gridCol w:w="940"/>
        <w:gridCol w:w="144"/>
        <w:gridCol w:w="144"/>
        <w:gridCol w:w="963"/>
        <w:gridCol w:w="144"/>
        <w:gridCol w:w="144"/>
        <w:gridCol w:w="144"/>
        <w:gridCol w:w="144"/>
        <w:gridCol w:w="144"/>
        <w:gridCol w:w="965"/>
        <w:gridCol w:w="144"/>
        <w:gridCol w:w="160"/>
        <w:gridCol w:w="160"/>
        <w:gridCol w:w="160"/>
        <w:gridCol w:w="480"/>
        <w:gridCol w:w="480"/>
        <w:gridCol w:w="480"/>
      </w:tblGrid>
      <w:tr w:rsidR="00000000">
        <w:tc>
          <w:tcPr>
            <w:tcW w:w="50" w:type="pct"/>
            <w:vAlign w:val="center"/>
            <w:hideMark/>
          </w:tcPr>
          <w:p w:rsidR="00000000" w:rsidRDefault="00897B14">
            <w:pPr>
              <w:rPr>
                <w:rFonts w:eastAsia="Times New Roman"/>
              </w:rPr>
            </w:pPr>
          </w:p>
        </w:tc>
        <w:tc>
          <w:tcPr>
            <w:tcW w:w="23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Non-GAAP 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1,358</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877962821"/>
        <w:rPr>
          <w:rFonts w:eastAsia="Times New Roman"/>
        </w:rPr>
      </w:pPr>
    </w:p>
    <w:p w:rsidR="00000000" w:rsidRDefault="00897B14">
      <w:pPr>
        <w:ind w:firstLine="360"/>
        <w:divId w:val="977225435"/>
        <w:rPr>
          <w:rFonts w:eastAsia="Times New Roman"/>
        </w:rPr>
      </w:pPr>
      <w:r>
        <w:rPr>
          <w:rFonts w:eastAsia="Times New Roman"/>
          <w:color w:val="000000"/>
          <w:sz w:val="20"/>
          <w:szCs w:val="20"/>
        </w:rPr>
        <w:t>The following table summarizes our Non-GAAP operating earnings per common share for the three months and six months ended June 30, 2021 an</w:t>
      </w:r>
      <w:r>
        <w:rPr>
          <w:rFonts w:eastAsia="Times New Roman"/>
          <w:color w:val="000000"/>
          <w:sz w:val="20"/>
          <w:szCs w:val="20"/>
        </w:rPr>
        <w:t>d 2020:</w:t>
      </w:r>
    </w:p>
    <w:tbl>
      <w:tblPr>
        <w:tblW w:w="4985" w:type="pct"/>
        <w:tblCellMar>
          <w:top w:w="15" w:type="dxa"/>
          <w:left w:w="15" w:type="dxa"/>
          <w:bottom w:w="15" w:type="dxa"/>
          <w:right w:w="15" w:type="dxa"/>
        </w:tblCellMar>
        <w:tblLook w:val="04A0" w:firstRow="1" w:lastRow="0" w:firstColumn="1" w:lastColumn="0" w:noHBand="0" w:noVBand="1"/>
      </w:tblPr>
      <w:tblGrid>
        <w:gridCol w:w="37"/>
        <w:gridCol w:w="3318"/>
        <w:gridCol w:w="36"/>
        <w:gridCol w:w="480"/>
        <w:gridCol w:w="653"/>
        <w:gridCol w:w="36"/>
        <w:gridCol w:w="36"/>
        <w:gridCol w:w="36"/>
        <w:gridCol w:w="36"/>
        <w:gridCol w:w="480"/>
        <w:gridCol w:w="653"/>
        <w:gridCol w:w="36"/>
        <w:gridCol w:w="480"/>
        <w:gridCol w:w="674"/>
        <w:gridCol w:w="36"/>
        <w:gridCol w:w="36"/>
        <w:gridCol w:w="36"/>
        <w:gridCol w:w="36"/>
        <w:gridCol w:w="480"/>
        <w:gridCol w:w="414"/>
        <w:gridCol w:w="36"/>
        <w:gridCol w:w="36"/>
        <w:gridCol w:w="36"/>
        <w:gridCol w:w="36"/>
        <w:gridCol w:w="36"/>
        <w:gridCol w:w="36"/>
        <w:gridCol w:w="36"/>
      </w:tblGrid>
      <w:tr w:rsidR="00000000">
        <w:trPr>
          <w:divId w:val="434374223"/>
        </w:trPr>
        <w:tc>
          <w:tcPr>
            <w:tcW w:w="50" w:type="pct"/>
            <w:vAlign w:val="center"/>
            <w:hideMark/>
          </w:tcPr>
          <w:p w:rsidR="00000000" w:rsidRDefault="00897B14">
            <w:pPr>
              <w:ind w:firstLine="360"/>
              <w:rPr>
                <w:rFonts w:eastAsia="Times New Roman"/>
              </w:rPr>
            </w:pPr>
          </w:p>
        </w:tc>
        <w:tc>
          <w:tcPr>
            <w:tcW w:w="235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3437422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ind w:firstLine="360"/>
              <w:jc w:val="center"/>
              <w:rPr>
                <w:rFonts w:eastAsia="Times New Roman"/>
              </w:rPr>
            </w:pPr>
            <w:r>
              <w:rPr>
                <w:rFonts w:eastAsia="Times New Roman"/>
                <w:b/>
                <w:bCs/>
                <w:color w:val="000000"/>
                <w:sz w:val="16"/>
                <w:szCs w:val="16"/>
              </w:rPr>
              <w:t>Three Months Ended June 30,</w:t>
            </w:r>
          </w:p>
        </w:tc>
        <w:tc>
          <w:tcPr>
            <w:tcW w:w="0" w:type="auto"/>
            <w:gridSpan w:val="9"/>
            <w:shd w:val="clear" w:color="auto" w:fill="FFFFFF"/>
            <w:tcMar>
              <w:top w:w="30" w:type="dxa"/>
              <w:left w:w="20" w:type="dxa"/>
              <w:bottom w:w="30" w:type="dxa"/>
              <w:right w:w="20" w:type="dxa"/>
            </w:tcMar>
            <w:vAlign w:val="bottom"/>
            <w:hideMark/>
          </w:tcPr>
          <w:p w:rsidR="00000000" w:rsidRDefault="00897B14">
            <w:pPr>
              <w:spacing w:after="100"/>
              <w:ind w:firstLine="36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434374223"/>
        </w:trPr>
        <w:tc>
          <w:tcPr>
            <w:tcW w:w="0" w:type="auto"/>
            <w:gridSpan w:val="3"/>
            <w:tcMar>
              <w:top w:w="0" w:type="dxa"/>
              <w:left w:w="20" w:type="dxa"/>
              <w:bottom w:w="0" w:type="dxa"/>
              <w:right w:w="20" w:type="dxa"/>
            </w:tcMar>
            <w:vAlign w:val="center"/>
            <w:hideMark/>
          </w:tcPr>
          <w:p w:rsidR="00000000" w:rsidRDefault="00897B14">
            <w:pPr>
              <w:spacing w:after="100"/>
              <w:ind w:firstLine="36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ind w:firstLine="360"/>
              <w:rPr>
                <w:rFonts w:eastAsia="Times New Roman"/>
              </w:rPr>
            </w:pPr>
            <w:r>
              <w:rPr>
                <w:rFonts w:eastAsia="Times New Roman"/>
                <w:b/>
                <w:bCs/>
                <w:color w:val="000000"/>
                <w:sz w:val="20"/>
                <w:szCs w:val="20"/>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897B14">
            <w:pPr>
              <w:spacing w:after="100"/>
              <w:ind w:firstLine="36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ind w:firstLine="360"/>
              <w:rPr>
                <w:rFonts w:eastAsia="Times New Roman"/>
              </w:rPr>
            </w:pPr>
            <w:r>
              <w:rPr>
                <w:rFonts w:eastAsia="Times New Roman"/>
                <w:color w:val="000000"/>
                <w:sz w:val="20"/>
                <w:szCs w:val="20"/>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ind w:firstLine="360"/>
              <w:jc w:val="center"/>
              <w:rPr>
                <w:rFonts w:eastAsia="Times New Roman"/>
              </w:rPr>
            </w:pPr>
            <w:r>
              <w:rPr>
                <w:rFonts w:eastAsia="Times New Roman"/>
                <w:b/>
                <w:bCs/>
                <w:color w:val="000000"/>
                <w:sz w:val="18"/>
                <w:szCs w:val="18"/>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ind w:firstLine="360"/>
              <w:jc w:val="center"/>
              <w:rPr>
                <w:rFonts w:eastAsia="Times New Roman"/>
              </w:rPr>
            </w:pPr>
            <w:r>
              <w:rPr>
                <w:rFonts w:eastAsia="Times New Roman"/>
                <w:color w:val="000000"/>
                <w:sz w:val="18"/>
                <w:szCs w:val="18"/>
              </w:rPr>
              <w:t>2020</w:t>
            </w:r>
          </w:p>
        </w:tc>
        <w:tc>
          <w:tcPr>
            <w:tcW w:w="0" w:type="auto"/>
            <w:gridSpan w:val="3"/>
            <w:vAlign w:val="center"/>
            <w:hideMark/>
          </w:tcPr>
          <w:p w:rsidR="00000000" w:rsidRDefault="00897B14">
            <w:pPr>
              <w:spacing w:after="100"/>
              <w:ind w:firstLine="36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34374223"/>
          <w:trHeight w:val="22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434374223"/>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Non-GAAP </w:t>
            </w:r>
            <w:r>
              <w:rPr>
                <w:rFonts w:eastAsia="Times New Roman"/>
                <w:color w:val="000000"/>
                <w:sz w:val="20"/>
                <w:szCs w:val="20"/>
              </w:rPr>
              <w:t>operating earnings per common share:</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3437422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Basic </w:t>
            </w:r>
          </w:p>
        </w:tc>
        <w:tc>
          <w:tcPr>
            <w:tcW w:w="0" w:type="auto"/>
            <w:shd w:val="clear" w:color="auto" w:fill="CCEE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0.98 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3437422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0.98 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2.11 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532620207"/>
        <w:rPr>
          <w:rFonts w:eastAsia="Times New Roman"/>
        </w:rPr>
      </w:pPr>
    </w:p>
    <w:p w:rsidR="00000000" w:rsidRDefault="00897B14">
      <w:pPr>
        <w:ind w:firstLine="360"/>
        <w:divId w:val="351495441"/>
        <w:rPr>
          <w:rFonts w:eastAsia="Times New Roman"/>
        </w:rPr>
      </w:pPr>
    </w:p>
    <w:p w:rsidR="00000000" w:rsidRDefault="00897B14">
      <w:pPr>
        <w:divId w:val="1987931241"/>
        <w:rPr>
          <w:rFonts w:eastAsia="Times New Roman"/>
        </w:rPr>
      </w:pPr>
      <w:r>
        <w:rPr>
          <w:rFonts w:eastAsia="Times New Roman"/>
          <w:b/>
          <w:bCs/>
          <w:color w:val="000000"/>
          <w:sz w:val="20"/>
          <w:szCs w:val="20"/>
          <w:shd w:val="clear" w:color="auto" w:fill="FFFFFF"/>
        </w:rPr>
        <w:t>Three Months Ended June 30, 2021 Compare</w:t>
      </w:r>
      <w:r>
        <w:rPr>
          <w:rFonts w:eastAsia="Times New Roman"/>
          <w:b/>
          <w:bCs/>
          <w:color w:val="000000"/>
          <w:sz w:val="20"/>
          <w:szCs w:val="20"/>
          <w:shd w:val="clear" w:color="auto" w:fill="FFFFFF"/>
        </w:rPr>
        <w:t>d to the Three Months Ended June 30, 2020</w:t>
      </w:r>
    </w:p>
    <w:p w:rsidR="00000000" w:rsidRDefault="00897B14">
      <w:pPr>
        <w:jc w:val="both"/>
        <w:divId w:val="280187639"/>
        <w:rPr>
          <w:rFonts w:eastAsia="Times New Roman"/>
        </w:rPr>
      </w:pPr>
      <w:r>
        <w:rPr>
          <w:rFonts w:eastAsia="Times New Roman"/>
          <w:b/>
          <w:bCs/>
          <w:i/>
          <w:iCs/>
          <w:color w:val="000000"/>
          <w:sz w:val="20"/>
          <w:szCs w:val="20"/>
          <w:shd w:val="clear" w:color="auto" w:fill="FFFFFF"/>
        </w:rPr>
        <w:t>Net Income Attributable to Holdings</w:t>
      </w:r>
    </w:p>
    <w:p w:rsidR="00000000" w:rsidRDefault="00897B14">
      <w:pPr>
        <w:ind w:firstLine="360"/>
        <w:divId w:val="1973095331"/>
        <w:rPr>
          <w:rFonts w:eastAsia="Times New Roman"/>
        </w:rPr>
      </w:pPr>
      <w:r>
        <w:rPr>
          <w:rFonts w:eastAsia="Times New Roman"/>
          <w:color w:val="000000"/>
          <w:sz w:val="20"/>
          <w:szCs w:val="20"/>
          <w:shd w:val="clear" w:color="auto" w:fill="FFFFFF"/>
        </w:rPr>
        <w:t>Net loss attributable to Holdings decreased by $4.1 billion, to a net income of $123 million for the three months ended June 30, 2021 from a net loss of $4.0 billion in the three months ended June 30, 2020. The following notable items were the primary driv</w:t>
      </w:r>
      <w:r>
        <w:rPr>
          <w:rFonts w:eastAsia="Times New Roman"/>
          <w:color w:val="000000"/>
          <w:sz w:val="20"/>
          <w:szCs w:val="20"/>
          <w:shd w:val="clear" w:color="auto" w:fill="FFFFFF"/>
        </w:rPr>
        <w:t>ers for the change in net income (loss):</w:t>
      </w:r>
    </w:p>
    <w:p w:rsidR="00000000" w:rsidRDefault="00897B14">
      <w:pPr>
        <w:divId w:val="2042972717"/>
        <w:rPr>
          <w:rFonts w:eastAsia="Times New Roman"/>
        </w:rPr>
      </w:pPr>
      <w:r>
        <w:rPr>
          <w:rFonts w:eastAsia="Times New Roman"/>
          <w:color w:val="000000"/>
          <w:sz w:val="20"/>
          <w:szCs w:val="20"/>
          <w:shd w:val="clear" w:color="auto" w:fill="FFFFFF"/>
        </w:rPr>
        <w:t>Favorable items included:</w:t>
      </w:r>
    </w:p>
    <w:p w:rsidR="00000000" w:rsidRDefault="00897B14">
      <w:pPr>
        <w:jc w:val="center"/>
        <w:divId w:val="1036395603"/>
        <w:rPr>
          <w:rFonts w:eastAsia="Times New Roman"/>
        </w:rPr>
      </w:pPr>
      <w:r>
        <w:rPr>
          <w:rFonts w:eastAsia="Times New Roman"/>
          <w:color w:val="000000"/>
          <w:sz w:val="20"/>
          <w:szCs w:val="20"/>
        </w:rPr>
        <w:t>85</w:t>
      </w:r>
    </w:p>
    <w:p w:rsidR="00000000" w:rsidRDefault="00897B14">
      <w:pPr>
        <w:rPr>
          <w:rFonts w:eastAsia="Times New Roman"/>
        </w:rPr>
      </w:pPr>
      <w:r>
        <w:rPr>
          <w:rFonts w:eastAsia="Times New Roman"/>
        </w:rPr>
        <w:pict>
          <v:rect id="_x0000_i1111" style="width:0;height:1.5pt" o:hralign="center" o:hrstd="t" o:hr="t" fillcolor="#a0a0a0" stroked="f"/>
        </w:pict>
      </w:r>
    </w:p>
    <w:p w:rsidR="00000000" w:rsidRDefault="00897B14">
      <w:pPr>
        <w:ind w:firstLine="360"/>
        <w:divId w:val="118112133"/>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360"/>
        <w:divId w:val="1752659860"/>
        <w:rPr>
          <w:rFonts w:eastAsia="Times New Roman"/>
        </w:rPr>
      </w:pPr>
      <w:r>
        <w:rPr>
          <w:rFonts w:eastAsia="Times New Roman"/>
          <w:color w:val="000000"/>
          <w:sz w:val="20"/>
          <w:szCs w:val="20"/>
        </w:rPr>
        <w:t>•Net derivative loss decreased by $4.8 billion mainly due to a decrease i</w:t>
      </w:r>
      <w:r>
        <w:rPr>
          <w:rFonts w:eastAsia="Times New Roman"/>
          <w:color w:val="000000"/>
          <w:sz w:val="20"/>
          <w:szCs w:val="20"/>
        </w:rPr>
        <w:t>n interest rates and equity market appreciation in the second quarter of 2021 as well as the second quarter 2020 negative impacts from non-performance risk and credit spreads due to spread tightening.</w:t>
      </w:r>
    </w:p>
    <w:p w:rsidR="00000000" w:rsidRDefault="00897B14">
      <w:pPr>
        <w:ind w:hanging="360"/>
        <w:divId w:val="614754389"/>
        <w:rPr>
          <w:rFonts w:eastAsia="Times New Roman"/>
        </w:rPr>
      </w:pPr>
      <w:r>
        <w:rPr>
          <w:rFonts w:eastAsia="Times New Roman"/>
          <w:color w:val="000000"/>
          <w:sz w:val="20"/>
          <w:szCs w:val="20"/>
        </w:rPr>
        <w:t>•Fee-type revenue increased by $399 million mainly driv</w:t>
      </w:r>
      <w:r>
        <w:rPr>
          <w:rFonts w:eastAsia="Times New Roman"/>
          <w:color w:val="000000"/>
          <w:sz w:val="20"/>
          <w:szCs w:val="20"/>
        </w:rPr>
        <w:t>en by higher base fees, performance-based fees and distribution revenues</w:t>
      </w:r>
      <w:r>
        <w:rPr>
          <w:rFonts w:eastAsia="Times New Roman"/>
          <w:color w:val="000000"/>
          <w:sz w:val="20"/>
          <w:szCs w:val="20"/>
          <w:shd w:val="clear" w:color="auto" w:fill="FFFFFF"/>
        </w:rPr>
        <w:t xml:space="preserve"> in our Investment Management &amp; Research segment as a result of higher average AUM and net inflows and higher fees in our Individual, Group Retirement and Protection Solutions segments</w:t>
      </w:r>
      <w:r>
        <w:rPr>
          <w:rFonts w:eastAsia="Times New Roman"/>
          <w:color w:val="000000"/>
          <w:sz w:val="20"/>
          <w:szCs w:val="20"/>
          <w:shd w:val="clear" w:color="auto" w:fill="FFFFFF"/>
        </w:rPr>
        <w:t xml:space="preserve"> as a result of higher average Separate Accounts AV </w:t>
      </w:r>
      <w:r>
        <w:rPr>
          <w:rFonts w:eastAsia="Times New Roman"/>
          <w:color w:val="000000"/>
          <w:sz w:val="20"/>
          <w:szCs w:val="20"/>
        </w:rPr>
        <w:t>and higher broker-dealer related revenues.</w:t>
      </w:r>
    </w:p>
    <w:p w:rsidR="00000000" w:rsidRDefault="00897B14">
      <w:pPr>
        <w:ind w:hanging="360"/>
        <w:divId w:val="779034527"/>
        <w:rPr>
          <w:rFonts w:eastAsia="Times New Roman"/>
        </w:rPr>
      </w:pPr>
      <w:r>
        <w:rPr>
          <w:rFonts w:eastAsia="Times New Roman"/>
          <w:color w:val="000000"/>
          <w:sz w:val="20"/>
          <w:szCs w:val="20"/>
        </w:rPr>
        <w:t>•Investment gains increased by $251 million mainly due to rebalancing in the General Account portfolio associated with the Venerable transaction.</w:t>
      </w:r>
    </w:p>
    <w:p w:rsidR="00000000" w:rsidRDefault="00897B14">
      <w:pPr>
        <w:ind w:hanging="360"/>
        <w:divId w:val="917136513"/>
        <w:rPr>
          <w:rFonts w:eastAsia="Times New Roman"/>
        </w:rPr>
      </w:pPr>
      <w:r>
        <w:rPr>
          <w:rFonts w:eastAsia="Times New Roman"/>
          <w:color w:val="000000"/>
          <w:sz w:val="20"/>
          <w:szCs w:val="20"/>
        </w:rPr>
        <w:t>•Amortization o</w:t>
      </w:r>
      <w:r>
        <w:rPr>
          <w:rFonts w:eastAsia="Times New Roman"/>
          <w:color w:val="000000"/>
          <w:sz w:val="20"/>
          <w:szCs w:val="20"/>
        </w:rPr>
        <w:t>f DAC decreased by $56 million mainly due to our Protection Solutions and Individual Retirement segments. The decrease in our Protection Solutions segment was driven by the impact of the assumption update in the first quarter of 2020 related to COVID-19 (a</w:t>
      </w:r>
      <w:r>
        <w:rPr>
          <w:rFonts w:eastAsia="Times New Roman"/>
          <w:color w:val="000000"/>
          <w:sz w:val="20"/>
          <w:szCs w:val="20"/>
        </w:rPr>
        <w:t>s a result of the lower interest rate assumption, Protection Solutions entered into loss recognition resulting in an acceleration of DAC amortization in second quarter 2020).The decrease in our Individual Retirement segment reflected the lower increase equ</w:t>
      </w:r>
      <w:r>
        <w:rPr>
          <w:rFonts w:eastAsia="Times New Roman"/>
          <w:color w:val="000000"/>
          <w:sz w:val="20"/>
          <w:szCs w:val="20"/>
        </w:rPr>
        <w:t xml:space="preserve">ity markets on SCS assets during the second quarter 2021 compared to second quarter 2020. </w:t>
      </w:r>
    </w:p>
    <w:p w:rsidR="00000000" w:rsidRDefault="00897B14">
      <w:pPr>
        <w:ind w:hanging="360"/>
        <w:jc w:val="both"/>
        <w:divId w:val="1503474061"/>
        <w:rPr>
          <w:rFonts w:eastAsia="Times New Roman"/>
        </w:rPr>
      </w:pPr>
      <w:r>
        <w:rPr>
          <w:rFonts w:eastAsia="Times New Roman"/>
          <w:color w:val="000000"/>
          <w:sz w:val="20"/>
          <w:szCs w:val="20"/>
        </w:rPr>
        <w:t>•Net investment income increased by $11 million mainly due to higher prepayments, higher asset balances and higher income from our alternative investment portfolio p</w:t>
      </w:r>
      <w:r>
        <w:rPr>
          <w:rFonts w:eastAsia="Times New Roman"/>
          <w:color w:val="000000"/>
          <w:sz w:val="20"/>
          <w:szCs w:val="20"/>
        </w:rPr>
        <w:t>artially offset by the Venerable transaction.</w:t>
      </w:r>
    </w:p>
    <w:p w:rsidR="00000000" w:rsidRDefault="00897B14">
      <w:pPr>
        <w:divId w:val="2112167484"/>
        <w:rPr>
          <w:rFonts w:eastAsia="Times New Roman"/>
        </w:rPr>
      </w:pPr>
      <w:r>
        <w:rPr>
          <w:rFonts w:eastAsia="Times New Roman"/>
          <w:color w:val="000000"/>
          <w:sz w:val="20"/>
          <w:szCs w:val="20"/>
        </w:rPr>
        <w:t>These were partially offset by the following unfavorable items:</w:t>
      </w:r>
    </w:p>
    <w:p w:rsidR="00000000" w:rsidRDefault="00897B14">
      <w:pPr>
        <w:ind w:hanging="360"/>
        <w:divId w:val="1824539225"/>
        <w:rPr>
          <w:rFonts w:eastAsia="Times New Roman"/>
        </w:rPr>
      </w:pPr>
      <w:r>
        <w:rPr>
          <w:rFonts w:eastAsia="Times New Roman"/>
          <w:color w:val="000000"/>
          <w:sz w:val="20"/>
          <w:szCs w:val="20"/>
        </w:rPr>
        <w:t>•Compensation, benefits and other operating expenses increased by $112 million mainly due to higher employee compensation in our Investment Manage</w:t>
      </w:r>
      <w:r>
        <w:rPr>
          <w:rFonts w:eastAsia="Times New Roman"/>
          <w:color w:val="000000"/>
          <w:sz w:val="20"/>
          <w:szCs w:val="20"/>
        </w:rPr>
        <w:t>ment and Research segment due to higher revenues and expenses related to the Venerable transaction.</w:t>
      </w:r>
    </w:p>
    <w:p w:rsidR="00000000" w:rsidRDefault="00897B14">
      <w:pPr>
        <w:ind w:hanging="360"/>
        <w:divId w:val="2097508621"/>
        <w:rPr>
          <w:rFonts w:eastAsia="Times New Roman"/>
        </w:rPr>
      </w:pPr>
      <w:r>
        <w:rPr>
          <w:rFonts w:eastAsia="Times New Roman"/>
          <w:color w:val="000000"/>
          <w:sz w:val="20"/>
          <w:szCs w:val="20"/>
        </w:rPr>
        <w:t xml:space="preserve">•Policyholders’ benefits increased by $92 million mainly due to our Protection Solutions and Individual Retirement segments. The increase in our Protection </w:t>
      </w:r>
      <w:r>
        <w:rPr>
          <w:rFonts w:eastAsia="Times New Roman"/>
          <w:color w:val="000000"/>
          <w:sz w:val="20"/>
          <w:szCs w:val="20"/>
        </w:rPr>
        <w:t>Solutions segment was mainly due to Profit followed by Loss reserves reactivity to realized capital gains and the increase in Employee Benefits’ reserves due to strong growth partially offset by lower adverse mortality. The increase in our Individual Retir</w:t>
      </w:r>
      <w:r>
        <w:rPr>
          <w:rFonts w:eastAsia="Times New Roman"/>
          <w:color w:val="000000"/>
          <w:sz w:val="20"/>
          <w:szCs w:val="20"/>
        </w:rPr>
        <w:t>ement segment reflects lower equity markets appreciation in the second quarter of 2021 compared to the second quarter of 2020 partially offset by the Venerable transaction.</w:t>
      </w:r>
    </w:p>
    <w:p w:rsidR="00000000" w:rsidRDefault="00897B14">
      <w:pPr>
        <w:ind w:hanging="360"/>
        <w:divId w:val="585072185"/>
        <w:rPr>
          <w:rFonts w:eastAsia="Times New Roman"/>
        </w:rPr>
      </w:pPr>
      <w:r>
        <w:rPr>
          <w:rFonts w:eastAsia="Times New Roman"/>
          <w:color w:val="000000"/>
          <w:sz w:val="20"/>
          <w:szCs w:val="20"/>
        </w:rPr>
        <w:t xml:space="preserve">•Commissions and distribution-related payments increased by $95 million mainly due </w:t>
      </w:r>
      <w:r>
        <w:rPr>
          <w:rFonts w:eastAsia="Times New Roman"/>
          <w:color w:val="000000"/>
          <w:sz w:val="20"/>
          <w:szCs w:val="20"/>
        </w:rPr>
        <w:t>to higher distribution-related payments in our Investment Management and Research segment, as well as the growth in broker dealer sales.</w:t>
      </w:r>
    </w:p>
    <w:p w:rsidR="00000000" w:rsidRDefault="00897B14">
      <w:pPr>
        <w:ind w:hanging="360"/>
        <w:divId w:val="1980259213"/>
        <w:rPr>
          <w:rFonts w:eastAsia="Times New Roman"/>
        </w:rPr>
      </w:pPr>
      <w:r>
        <w:rPr>
          <w:rFonts w:eastAsia="Times New Roman"/>
          <w:color w:val="000000"/>
          <w:sz w:val="20"/>
          <w:szCs w:val="20"/>
        </w:rPr>
        <w:t>•Net income attributable to noncontrolling interest increased by $14 million mainly due to higher AB pre-tax income par</w:t>
      </w:r>
      <w:r>
        <w:rPr>
          <w:rFonts w:eastAsia="Times New Roman"/>
          <w:color w:val="000000"/>
          <w:sz w:val="20"/>
          <w:szCs w:val="20"/>
        </w:rPr>
        <w:t>tially offset by lower consolidated VIE income.</w:t>
      </w:r>
    </w:p>
    <w:p w:rsidR="00000000" w:rsidRDefault="00897B14">
      <w:pPr>
        <w:ind w:hanging="360"/>
        <w:jc w:val="both"/>
        <w:divId w:val="1410536047"/>
        <w:rPr>
          <w:rFonts w:eastAsia="Times New Roman"/>
        </w:rPr>
      </w:pPr>
      <w:r>
        <w:rPr>
          <w:rFonts w:eastAsia="Times New Roman"/>
          <w:color w:val="000000"/>
          <w:sz w:val="20"/>
          <w:szCs w:val="20"/>
        </w:rPr>
        <w:t xml:space="preserve">•Income tax expense increased by $1.1 billion mainly due to pre-tax income in the second quarter of 2021 compared to a pre-tax loss in the second quarter of 2020. </w:t>
      </w:r>
    </w:p>
    <w:p w:rsidR="00000000" w:rsidRDefault="00897B14">
      <w:pPr>
        <w:jc w:val="both"/>
        <w:divId w:val="717433135"/>
        <w:rPr>
          <w:rFonts w:eastAsia="Times New Roman"/>
        </w:rPr>
      </w:pPr>
      <w:r>
        <w:rPr>
          <w:rFonts w:eastAsia="Times New Roman"/>
          <w:b/>
          <w:bCs/>
          <w:i/>
          <w:iCs/>
          <w:color w:val="000000"/>
          <w:sz w:val="20"/>
          <w:szCs w:val="20"/>
        </w:rPr>
        <w:t>Non-GAAP Operating Earnings</w:t>
      </w:r>
    </w:p>
    <w:p w:rsidR="00000000" w:rsidRDefault="00897B14">
      <w:pPr>
        <w:ind w:firstLine="360"/>
        <w:divId w:val="129061081"/>
        <w:rPr>
          <w:rFonts w:eastAsia="Times New Roman"/>
        </w:rPr>
      </w:pPr>
      <w:r>
        <w:rPr>
          <w:rFonts w:eastAsia="Times New Roman"/>
          <w:color w:val="000000"/>
          <w:sz w:val="20"/>
          <w:szCs w:val="20"/>
          <w:shd w:val="clear" w:color="auto" w:fill="FFFFFF"/>
        </w:rPr>
        <w:t>Non-GAAP Operati</w:t>
      </w:r>
      <w:r>
        <w:rPr>
          <w:rFonts w:eastAsia="Times New Roman"/>
          <w:color w:val="000000"/>
          <w:sz w:val="20"/>
          <w:szCs w:val="20"/>
          <w:shd w:val="clear" w:color="auto" w:fill="FFFFFF"/>
        </w:rPr>
        <w:t>ng Earnings increased by $307 million to $758 million for the three months ended June 30, 2021 from $451 million in the three months ended June 30, 2020. The following notable items were the primary drivers for the change in Non-GAAP Operating Earnings:</w:t>
      </w:r>
    </w:p>
    <w:p w:rsidR="00000000" w:rsidRDefault="00897B14">
      <w:pPr>
        <w:ind w:firstLine="360"/>
        <w:divId w:val="881019167"/>
        <w:rPr>
          <w:rFonts w:eastAsia="Times New Roman"/>
        </w:rPr>
      </w:pPr>
      <w:r>
        <w:rPr>
          <w:rFonts w:eastAsia="Times New Roman"/>
          <w:color w:val="000000"/>
          <w:sz w:val="20"/>
          <w:szCs w:val="20"/>
          <w:shd w:val="clear" w:color="auto" w:fill="FFFFFF"/>
        </w:rPr>
        <w:t>Fa</w:t>
      </w:r>
      <w:r>
        <w:rPr>
          <w:rFonts w:eastAsia="Times New Roman"/>
          <w:color w:val="000000"/>
          <w:sz w:val="20"/>
          <w:szCs w:val="20"/>
          <w:shd w:val="clear" w:color="auto" w:fill="FFFFFF"/>
        </w:rPr>
        <w:t>vorable items included:</w:t>
      </w:r>
    </w:p>
    <w:p w:rsidR="00000000" w:rsidRDefault="00897B14">
      <w:pPr>
        <w:ind w:hanging="180"/>
        <w:divId w:val="1315451037"/>
        <w:rPr>
          <w:rFonts w:eastAsia="Times New Roman"/>
        </w:rPr>
      </w:pPr>
      <w:r>
        <w:rPr>
          <w:rFonts w:eastAsia="Times New Roman"/>
          <w:color w:val="000000"/>
          <w:sz w:val="20"/>
          <w:szCs w:val="20"/>
          <w:shd w:val="clear" w:color="auto" w:fill="FFFFFF"/>
        </w:rPr>
        <w:t xml:space="preserve">•Fee-type revenue increased by $395 million mainly due to </w:t>
      </w:r>
      <w:r>
        <w:rPr>
          <w:rFonts w:eastAsia="Times New Roman"/>
          <w:color w:val="000000"/>
          <w:sz w:val="20"/>
          <w:szCs w:val="20"/>
        </w:rPr>
        <w:t>higher base fees, performance-based fees and distribution revenues</w:t>
      </w:r>
      <w:r>
        <w:rPr>
          <w:rFonts w:eastAsia="Times New Roman"/>
          <w:color w:val="000000"/>
          <w:sz w:val="20"/>
          <w:szCs w:val="20"/>
          <w:shd w:val="clear" w:color="auto" w:fill="FFFFFF"/>
        </w:rPr>
        <w:t xml:space="preserve"> in our Investment Management &amp; Research segment as a result of higher average AUM and net inflows and highe</w:t>
      </w:r>
      <w:r>
        <w:rPr>
          <w:rFonts w:eastAsia="Times New Roman"/>
          <w:color w:val="000000"/>
          <w:sz w:val="20"/>
          <w:szCs w:val="20"/>
          <w:shd w:val="clear" w:color="auto" w:fill="FFFFFF"/>
        </w:rPr>
        <w:t xml:space="preserve">r fees in our Individual, Group Retirement and Protection Solutions segments as a result of higher average Separate Accounts AV </w:t>
      </w:r>
      <w:r>
        <w:rPr>
          <w:rFonts w:eastAsia="Times New Roman"/>
          <w:color w:val="000000"/>
          <w:sz w:val="20"/>
          <w:szCs w:val="20"/>
        </w:rPr>
        <w:t>and higher broker-dealer related revenues.</w:t>
      </w:r>
    </w:p>
    <w:p w:rsidR="00000000" w:rsidRDefault="00897B14">
      <w:pPr>
        <w:ind w:hanging="180"/>
        <w:divId w:val="378088452"/>
        <w:rPr>
          <w:rFonts w:eastAsia="Times New Roman"/>
        </w:rPr>
      </w:pPr>
      <w:r>
        <w:rPr>
          <w:rFonts w:eastAsia="Times New Roman"/>
          <w:color w:val="000000"/>
          <w:sz w:val="20"/>
          <w:szCs w:val="20"/>
        </w:rPr>
        <w:t>•</w:t>
      </w:r>
      <w:r>
        <w:rPr>
          <w:rFonts w:eastAsia="Times New Roman"/>
          <w:color w:val="000000"/>
          <w:sz w:val="20"/>
          <w:szCs w:val="20"/>
        </w:rPr>
        <w:t>Net investment income increased by $299 million mainly due to higher prepayments, higher asset balances and higher income from our alternative investment portfolio partially offset by the Venerable transaction.</w:t>
      </w:r>
    </w:p>
    <w:p w:rsidR="00000000" w:rsidRDefault="00897B14">
      <w:pPr>
        <w:ind w:hanging="180"/>
        <w:jc w:val="both"/>
        <w:divId w:val="460151754"/>
        <w:rPr>
          <w:rFonts w:eastAsia="Times New Roman"/>
        </w:rPr>
      </w:pPr>
      <w:r>
        <w:rPr>
          <w:rFonts w:eastAsia="Times New Roman"/>
          <w:color w:val="000000"/>
          <w:sz w:val="20"/>
          <w:szCs w:val="20"/>
        </w:rPr>
        <w:t>•Net derivative loss decreased by $33 million</w:t>
      </w:r>
      <w:r>
        <w:rPr>
          <w:rFonts w:eastAsia="Times New Roman"/>
          <w:color w:val="000000"/>
          <w:sz w:val="20"/>
          <w:szCs w:val="20"/>
        </w:rPr>
        <w:t xml:space="preserve"> mainly due to equity market appreciation, which is offset in Policyholder’s benefits, partially offset by inflation related hedging losses.</w:t>
      </w:r>
    </w:p>
    <w:p w:rsidR="00000000" w:rsidRDefault="00897B14">
      <w:pPr>
        <w:ind w:firstLine="360"/>
        <w:divId w:val="1752045539"/>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897B14">
      <w:pPr>
        <w:jc w:val="center"/>
        <w:divId w:val="1742408407"/>
        <w:rPr>
          <w:rFonts w:eastAsia="Times New Roman"/>
        </w:rPr>
      </w:pPr>
      <w:r>
        <w:rPr>
          <w:rFonts w:eastAsia="Times New Roman"/>
          <w:color w:val="000000"/>
          <w:sz w:val="20"/>
          <w:szCs w:val="20"/>
        </w:rPr>
        <w:t>86</w:t>
      </w:r>
    </w:p>
    <w:p w:rsidR="00000000" w:rsidRDefault="00897B14">
      <w:pPr>
        <w:rPr>
          <w:rFonts w:eastAsia="Times New Roman"/>
        </w:rPr>
      </w:pPr>
      <w:r>
        <w:rPr>
          <w:rFonts w:eastAsia="Times New Roman"/>
        </w:rPr>
        <w:pict>
          <v:rect id="_x0000_i1112" style="width:0;height:1.5pt" o:hralign="center" o:hrstd="t" o:hr="t" fillcolor="#a0a0a0" stroked="f"/>
        </w:pict>
      </w:r>
    </w:p>
    <w:p w:rsidR="00000000" w:rsidRDefault="00897B14">
      <w:pPr>
        <w:ind w:firstLine="360"/>
        <w:divId w:val="413015529"/>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180"/>
        <w:divId w:val="1339308922"/>
        <w:rPr>
          <w:rFonts w:eastAsia="Times New Roman"/>
        </w:rPr>
      </w:pPr>
      <w:r>
        <w:rPr>
          <w:rFonts w:eastAsia="Times New Roman"/>
          <w:color w:val="000000"/>
          <w:sz w:val="20"/>
          <w:szCs w:val="20"/>
        </w:rPr>
        <w:t xml:space="preserve">•Compensation, benefits and other operating costs and expenses increased by $112 million mainly due to employee compensation in our Investment </w:t>
      </w:r>
      <w:r>
        <w:rPr>
          <w:rFonts w:eastAsia="Times New Roman"/>
          <w:color w:val="000000"/>
          <w:sz w:val="20"/>
          <w:szCs w:val="20"/>
        </w:rPr>
        <w:t>Management and Research segment due to higher revenues.</w:t>
      </w:r>
    </w:p>
    <w:p w:rsidR="00000000" w:rsidRDefault="00897B14">
      <w:pPr>
        <w:ind w:hanging="180"/>
        <w:divId w:val="1060714408"/>
        <w:rPr>
          <w:rFonts w:eastAsia="Times New Roman"/>
        </w:rPr>
      </w:pPr>
      <w:r>
        <w:rPr>
          <w:rFonts w:eastAsia="Times New Roman"/>
          <w:color w:val="000000"/>
          <w:sz w:val="20"/>
          <w:szCs w:val="20"/>
        </w:rPr>
        <w:t>•Commissions and distribution-related payments increased by $95 million mainly due to higher distribution-related payments in our Investment Management and Research segment, as well as the growth in b</w:t>
      </w:r>
      <w:r>
        <w:rPr>
          <w:rFonts w:eastAsia="Times New Roman"/>
          <w:color w:val="000000"/>
          <w:sz w:val="20"/>
          <w:szCs w:val="20"/>
        </w:rPr>
        <w:t>roker dealer sales.</w:t>
      </w:r>
    </w:p>
    <w:p w:rsidR="00000000" w:rsidRDefault="00897B14">
      <w:pPr>
        <w:ind w:hanging="180"/>
        <w:divId w:val="775977854"/>
        <w:rPr>
          <w:rFonts w:eastAsia="Times New Roman"/>
        </w:rPr>
      </w:pPr>
      <w:r>
        <w:rPr>
          <w:rFonts w:eastAsia="Times New Roman"/>
          <w:color w:val="000000"/>
          <w:sz w:val="20"/>
          <w:szCs w:val="20"/>
        </w:rPr>
        <w:t>•Policyholders’ benefits increased by $82 million mainly due to equity market appreciation, which is offset in the Net Derivative gains.</w:t>
      </w:r>
    </w:p>
    <w:p w:rsidR="00000000" w:rsidRDefault="00897B14">
      <w:pPr>
        <w:ind w:hanging="180"/>
        <w:divId w:val="965238467"/>
        <w:rPr>
          <w:rFonts w:eastAsia="Times New Roman"/>
        </w:rPr>
      </w:pPr>
      <w:r>
        <w:rPr>
          <w:rFonts w:eastAsia="Times New Roman"/>
          <w:color w:val="000000"/>
          <w:sz w:val="20"/>
          <w:szCs w:val="20"/>
        </w:rPr>
        <w:t>•Earnings attributable to the noncontrolling interest increased by $28 million mainly due to higher</w:t>
      </w:r>
      <w:r>
        <w:rPr>
          <w:rFonts w:eastAsia="Times New Roman"/>
          <w:color w:val="000000"/>
          <w:sz w:val="20"/>
          <w:szCs w:val="20"/>
        </w:rPr>
        <w:t xml:space="preserve"> AB Operating earnings in our Investment Management and Research segment.</w:t>
      </w:r>
    </w:p>
    <w:p w:rsidR="00000000" w:rsidRDefault="00897B14">
      <w:pPr>
        <w:ind w:hanging="180"/>
        <w:jc w:val="both"/>
        <w:divId w:val="336736733"/>
        <w:rPr>
          <w:rFonts w:eastAsia="Times New Roman"/>
        </w:rPr>
      </w:pPr>
      <w:r>
        <w:rPr>
          <w:rFonts w:eastAsia="Times New Roman"/>
          <w:color w:val="000000"/>
          <w:sz w:val="20"/>
          <w:szCs w:val="20"/>
        </w:rPr>
        <w:t>•Income tax expense increased by $81 million driven by higher pre-tax earnings, partially offset by a lower effective tax rate.</w:t>
      </w:r>
    </w:p>
    <w:p w:rsidR="00000000" w:rsidRDefault="00897B14">
      <w:pPr>
        <w:divId w:val="2038309489"/>
        <w:rPr>
          <w:rFonts w:eastAsia="Times New Roman"/>
        </w:rPr>
      </w:pPr>
      <w:r>
        <w:rPr>
          <w:rFonts w:eastAsia="Times New Roman"/>
          <w:b/>
          <w:bCs/>
          <w:color w:val="000000"/>
          <w:sz w:val="20"/>
          <w:szCs w:val="20"/>
          <w:shd w:val="clear" w:color="auto" w:fill="FFFFFF"/>
        </w:rPr>
        <w:t>Six Months Ended June 30, 2021 Compared to the Six Mon</w:t>
      </w:r>
      <w:r>
        <w:rPr>
          <w:rFonts w:eastAsia="Times New Roman"/>
          <w:b/>
          <w:bCs/>
          <w:color w:val="000000"/>
          <w:sz w:val="20"/>
          <w:szCs w:val="20"/>
          <w:shd w:val="clear" w:color="auto" w:fill="FFFFFF"/>
        </w:rPr>
        <w:t>ths Ended June 30, 2020</w:t>
      </w:r>
    </w:p>
    <w:p w:rsidR="00000000" w:rsidRDefault="00897B14">
      <w:pPr>
        <w:jc w:val="both"/>
        <w:divId w:val="1276015835"/>
        <w:rPr>
          <w:rFonts w:eastAsia="Times New Roman"/>
        </w:rPr>
      </w:pPr>
      <w:r>
        <w:rPr>
          <w:rFonts w:eastAsia="Times New Roman"/>
          <w:b/>
          <w:bCs/>
          <w:i/>
          <w:iCs/>
          <w:color w:val="000000"/>
          <w:sz w:val="20"/>
          <w:szCs w:val="20"/>
          <w:shd w:val="clear" w:color="auto" w:fill="FFFFFF"/>
        </w:rPr>
        <w:t>Net Income Attributable to Holdings</w:t>
      </w:r>
    </w:p>
    <w:p w:rsidR="00000000" w:rsidRDefault="00897B14">
      <w:pPr>
        <w:ind w:firstLine="360"/>
        <w:divId w:val="721371524"/>
        <w:rPr>
          <w:rFonts w:eastAsia="Times New Roman"/>
        </w:rPr>
      </w:pPr>
      <w:r>
        <w:rPr>
          <w:rFonts w:eastAsia="Times New Roman"/>
          <w:color w:val="000000"/>
          <w:sz w:val="20"/>
          <w:szCs w:val="20"/>
          <w:shd w:val="clear" w:color="auto" w:fill="FFFFFF"/>
        </w:rPr>
        <w:t>Net income (loss) attributable to Holdings decreased by $2.7 billion to a net loss of $1.4 billion for the six months ended June 30, 2021 from a net income of $1.4 billion for the six months ended</w:t>
      </w:r>
      <w:r>
        <w:rPr>
          <w:rFonts w:eastAsia="Times New Roman"/>
          <w:color w:val="000000"/>
          <w:sz w:val="20"/>
          <w:szCs w:val="20"/>
          <w:shd w:val="clear" w:color="auto" w:fill="FFFFFF"/>
        </w:rPr>
        <w:t xml:space="preserve"> June 30, 2020. The following notable items were the primary drivers for the change in net income (loss):</w:t>
      </w:r>
    </w:p>
    <w:p w:rsidR="00000000" w:rsidRDefault="00897B14">
      <w:pPr>
        <w:divId w:val="1956328152"/>
        <w:rPr>
          <w:rFonts w:eastAsia="Times New Roman"/>
        </w:rPr>
      </w:pPr>
      <w:r>
        <w:rPr>
          <w:rFonts w:eastAsia="Times New Roman"/>
          <w:color w:val="000000"/>
          <w:sz w:val="20"/>
          <w:szCs w:val="20"/>
          <w:shd w:val="clear" w:color="auto" w:fill="FFFFFF"/>
        </w:rPr>
        <w:t>Unfavorable items included:</w:t>
      </w:r>
    </w:p>
    <w:p w:rsidR="00000000" w:rsidRDefault="00897B14">
      <w:pPr>
        <w:ind w:hanging="360"/>
        <w:divId w:val="503204840"/>
        <w:rPr>
          <w:rFonts w:eastAsia="Times New Roman"/>
        </w:rPr>
      </w:pPr>
      <w:r>
        <w:rPr>
          <w:rFonts w:eastAsia="Times New Roman"/>
          <w:color w:val="000000"/>
          <w:sz w:val="20"/>
          <w:szCs w:val="20"/>
        </w:rPr>
        <w:t xml:space="preserve">•Net derivative gains decreased by $7.1 billion driven by an increase in interest rates and equity market appreciation in </w:t>
      </w:r>
      <w:r>
        <w:rPr>
          <w:rFonts w:eastAsia="Times New Roman"/>
          <w:color w:val="000000"/>
          <w:sz w:val="20"/>
          <w:szCs w:val="20"/>
        </w:rPr>
        <w:t>the first half of 2021 compared to decreases in interest rates and equity market depreciation in the first half of 2020, as well as the positive impacts from non-performance risk and credit spreads widening in the first half of 2020.</w:t>
      </w:r>
    </w:p>
    <w:p w:rsidR="00000000" w:rsidRDefault="00897B14">
      <w:pPr>
        <w:ind w:hanging="360"/>
        <w:divId w:val="402874509"/>
        <w:rPr>
          <w:rFonts w:eastAsia="Times New Roman"/>
        </w:rPr>
      </w:pPr>
      <w:r>
        <w:rPr>
          <w:rFonts w:eastAsia="Times New Roman"/>
          <w:color w:val="000000"/>
          <w:sz w:val="20"/>
          <w:szCs w:val="20"/>
        </w:rPr>
        <w:t>•Compensation, benefit</w:t>
      </w:r>
      <w:r>
        <w:rPr>
          <w:rFonts w:eastAsia="Times New Roman"/>
          <w:color w:val="000000"/>
          <w:sz w:val="20"/>
          <w:szCs w:val="20"/>
        </w:rPr>
        <w:t>s and other operating expenses increased by $336 million mainly due to higher litigation reserve accruals, including the COI litigation. In addition, employee compensation in our Investment Management and Research segment increased due to higher revenues.</w:t>
      </w:r>
    </w:p>
    <w:p w:rsidR="00000000" w:rsidRDefault="00897B14">
      <w:pPr>
        <w:ind w:hanging="360"/>
        <w:divId w:val="368189274"/>
        <w:rPr>
          <w:rFonts w:eastAsia="Times New Roman"/>
        </w:rPr>
      </w:pPr>
      <w:r>
        <w:rPr>
          <w:rFonts w:eastAsia="Times New Roman"/>
          <w:color w:val="000000"/>
          <w:sz w:val="20"/>
          <w:szCs w:val="20"/>
        </w:rPr>
        <w:t>•Commissions and distribution-related payments increased by $139 million mainly due to higher distribution-related payments in our Investment Management and Research segment, as well as the growth in broker dealer sales.</w:t>
      </w:r>
    </w:p>
    <w:p w:rsidR="00000000" w:rsidRDefault="00897B14">
      <w:pPr>
        <w:ind w:hanging="360"/>
        <w:jc w:val="both"/>
        <w:divId w:val="1402210869"/>
        <w:rPr>
          <w:rFonts w:eastAsia="Times New Roman"/>
        </w:rPr>
      </w:pPr>
      <w:r>
        <w:rPr>
          <w:rFonts w:eastAsia="Times New Roman"/>
          <w:color w:val="000000"/>
          <w:sz w:val="20"/>
          <w:szCs w:val="20"/>
        </w:rPr>
        <w:t>•Net income attributable to noncont</w:t>
      </w:r>
      <w:r>
        <w:rPr>
          <w:rFonts w:eastAsia="Times New Roman"/>
          <w:color w:val="000000"/>
          <w:sz w:val="20"/>
          <w:szCs w:val="20"/>
        </w:rPr>
        <w:t>rolling interest increased by $65 million mainly due to higher AB pre-tax income and higher consolidated VIE income.</w:t>
      </w:r>
    </w:p>
    <w:p w:rsidR="00000000" w:rsidRDefault="00897B14">
      <w:pPr>
        <w:divId w:val="697660871"/>
        <w:rPr>
          <w:rFonts w:eastAsia="Times New Roman"/>
        </w:rPr>
      </w:pPr>
      <w:r>
        <w:rPr>
          <w:rFonts w:eastAsia="Times New Roman"/>
          <w:color w:val="000000"/>
          <w:sz w:val="20"/>
          <w:szCs w:val="20"/>
          <w:shd w:val="clear" w:color="auto" w:fill="FFFFFF"/>
        </w:rPr>
        <w:t>These were partially offset by the following favorable items:</w:t>
      </w:r>
    </w:p>
    <w:p w:rsidR="00000000" w:rsidRDefault="00897B14">
      <w:pPr>
        <w:ind w:hanging="360"/>
        <w:divId w:val="237637703"/>
        <w:rPr>
          <w:rFonts w:eastAsia="Times New Roman"/>
        </w:rPr>
      </w:pPr>
      <w:r>
        <w:rPr>
          <w:rFonts w:eastAsia="Times New Roman"/>
          <w:color w:val="000000"/>
          <w:sz w:val="20"/>
          <w:szCs w:val="20"/>
        </w:rPr>
        <w:t xml:space="preserve">•Policyholders’ </w:t>
      </w:r>
      <w:r>
        <w:rPr>
          <w:rFonts w:eastAsia="Times New Roman"/>
          <w:color w:val="000000"/>
          <w:sz w:val="20"/>
          <w:szCs w:val="20"/>
        </w:rPr>
        <w:t>benefits decreased by $1.7 billion mainly due to our Individual Retirement segment reflecting the non-recurrence of the interest rate assumption update in the first half of 2020 and equity markets appreciation in the first half of 2021 compared to equity m</w:t>
      </w:r>
      <w:r>
        <w:rPr>
          <w:rFonts w:eastAsia="Times New Roman"/>
          <w:color w:val="000000"/>
          <w:sz w:val="20"/>
          <w:szCs w:val="20"/>
        </w:rPr>
        <w:t>arket depreciation in the first half of 2020. This was partially offset by an increase in our Protections Solutions segment reflecting an increase in PFBL reserve from current year capital gains and unfavorable morality driven by COVID-19 claims in the fir</w:t>
      </w:r>
      <w:r>
        <w:rPr>
          <w:rFonts w:eastAsia="Times New Roman"/>
          <w:color w:val="000000"/>
          <w:sz w:val="20"/>
          <w:szCs w:val="20"/>
        </w:rPr>
        <w:t>st quarter in 2021, which were offset by higher ceded coverage and the release of reserves. Employee Benefits’ reserves continue to grow in line with the block size.</w:t>
      </w:r>
    </w:p>
    <w:p w:rsidR="00000000" w:rsidRDefault="00897B14">
      <w:pPr>
        <w:ind w:hanging="360"/>
        <w:divId w:val="2079130840"/>
        <w:rPr>
          <w:rFonts w:eastAsia="Times New Roman"/>
        </w:rPr>
      </w:pPr>
      <w:r>
        <w:rPr>
          <w:rFonts w:eastAsia="Times New Roman"/>
          <w:color w:val="000000"/>
          <w:sz w:val="20"/>
          <w:szCs w:val="20"/>
        </w:rPr>
        <w:t xml:space="preserve">•Amortization of DAC decreased by $1.3 billion mainly due to the interest rate assumption </w:t>
      </w:r>
      <w:r>
        <w:rPr>
          <w:rFonts w:eastAsia="Times New Roman"/>
          <w:color w:val="000000"/>
          <w:sz w:val="20"/>
          <w:szCs w:val="20"/>
        </w:rPr>
        <w:t>update in the first quarter of 2020 as a result of the extraordinary economic conditions driven by COVID-19. As a result of the lower interest rate assumption, Protection Solutions segment entered into loss recognition resulting in an acceleration of DAC a</w:t>
      </w:r>
      <w:r>
        <w:rPr>
          <w:rFonts w:eastAsia="Times New Roman"/>
          <w:color w:val="000000"/>
          <w:sz w:val="20"/>
          <w:szCs w:val="20"/>
        </w:rPr>
        <w:t>mortization in the first half of 2020.</w:t>
      </w:r>
    </w:p>
    <w:p w:rsidR="00000000" w:rsidRDefault="00897B14">
      <w:pPr>
        <w:ind w:hanging="360"/>
        <w:divId w:val="1851793793"/>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Fee-type revenue increased by $454 million mainly driven by higher base fees, performance fees and distribution revenues in our Investment Management &amp; Research segment as a result of higher average AUM revenues and </w:t>
      </w:r>
      <w:r>
        <w:rPr>
          <w:rFonts w:eastAsia="Times New Roman"/>
          <w:color w:val="000000"/>
          <w:sz w:val="20"/>
          <w:szCs w:val="20"/>
        </w:rPr>
        <w:t>higher fees in our Individual and Group Retirement segments as a result of higher average Separate Accounts AV and higher broker-dealer related revenues. The increase was partially offset by lower amortization of the initial fee liability from the non-recu</w:t>
      </w:r>
      <w:r>
        <w:rPr>
          <w:rFonts w:eastAsia="Times New Roman"/>
          <w:color w:val="000000"/>
          <w:sz w:val="20"/>
          <w:szCs w:val="20"/>
        </w:rPr>
        <w:t>rrence of the first quarter 2020 interest rate assumption update.</w:t>
      </w:r>
    </w:p>
    <w:p w:rsidR="00000000" w:rsidRDefault="00897B14">
      <w:pPr>
        <w:ind w:hanging="360"/>
        <w:divId w:val="1871800871"/>
        <w:rPr>
          <w:rFonts w:eastAsia="Times New Roman"/>
        </w:rPr>
      </w:pPr>
      <w:r>
        <w:rPr>
          <w:rFonts w:eastAsia="Times New Roman"/>
          <w:color w:val="000000"/>
          <w:sz w:val="20"/>
          <w:szCs w:val="20"/>
        </w:rPr>
        <w:t>•Investment gains increased by $431 million mainly due to rebalancing in the General Account portfolio associated with the Venerable transaction.</w:t>
      </w:r>
    </w:p>
    <w:p w:rsidR="00000000" w:rsidRDefault="00897B14">
      <w:pPr>
        <w:ind w:hanging="360"/>
        <w:divId w:val="281495800"/>
        <w:rPr>
          <w:rFonts w:eastAsia="Times New Roman"/>
        </w:rPr>
      </w:pPr>
      <w:r>
        <w:rPr>
          <w:rFonts w:eastAsia="Times New Roman"/>
          <w:color w:val="000000"/>
          <w:sz w:val="20"/>
          <w:szCs w:val="20"/>
        </w:rPr>
        <w:t>•Net investment income increased by $266 mil</w:t>
      </w:r>
      <w:r>
        <w:rPr>
          <w:rFonts w:eastAsia="Times New Roman"/>
          <w:color w:val="000000"/>
          <w:sz w:val="20"/>
          <w:szCs w:val="20"/>
        </w:rPr>
        <w:t>lion mainly due to higher prepayments, higher asset balances and higher income from our alternative investment portfolio partially offset by the Venerable transaction.</w:t>
      </w:r>
    </w:p>
    <w:p w:rsidR="00000000" w:rsidRDefault="00897B14">
      <w:pPr>
        <w:jc w:val="center"/>
        <w:divId w:val="1633444585"/>
        <w:rPr>
          <w:rFonts w:eastAsia="Times New Roman"/>
        </w:rPr>
      </w:pPr>
      <w:r>
        <w:rPr>
          <w:rFonts w:eastAsia="Times New Roman"/>
          <w:color w:val="000000"/>
          <w:sz w:val="20"/>
          <w:szCs w:val="20"/>
        </w:rPr>
        <w:t>87</w:t>
      </w:r>
    </w:p>
    <w:p w:rsidR="00000000" w:rsidRDefault="00897B14">
      <w:pPr>
        <w:rPr>
          <w:rFonts w:eastAsia="Times New Roman"/>
        </w:rPr>
      </w:pPr>
      <w:r>
        <w:rPr>
          <w:rFonts w:eastAsia="Times New Roman"/>
        </w:rPr>
        <w:pict>
          <v:rect id="_x0000_i1113" style="width:0;height:1.5pt" o:hralign="center" o:hrstd="t" o:hr="t" fillcolor="#a0a0a0" stroked="f"/>
        </w:pict>
      </w:r>
    </w:p>
    <w:p w:rsidR="00000000" w:rsidRDefault="00897B14">
      <w:pPr>
        <w:ind w:firstLine="360"/>
        <w:divId w:val="163613501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360"/>
        <w:jc w:val="both"/>
        <w:divId w:val="2130079546"/>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Income tax expense decreased by $746 million mainly due to a pre-tax loss in the first half of 2021 compared to a pre-tax income in the first half of 2020.</w:t>
      </w:r>
    </w:p>
    <w:p w:rsidR="00000000" w:rsidRDefault="00897B14">
      <w:pPr>
        <w:ind w:firstLine="360"/>
        <w:divId w:val="899095358"/>
        <w:rPr>
          <w:rFonts w:eastAsia="Times New Roman"/>
        </w:rPr>
      </w:pPr>
      <w:r>
        <w:rPr>
          <w:rFonts w:eastAsia="Times New Roman"/>
          <w:color w:val="000000"/>
          <w:sz w:val="20"/>
          <w:szCs w:val="20"/>
        </w:rPr>
        <w:t>See “—Significant Factors Impacting Our Results—Assumption Updates and Model Changes” for more infor</w:t>
      </w:r>
      <w:r>
        <w:rPr>
          <w:rFonts w:eastAsia="Times New Roman"/>
          <w:color w:val="000000"/>
          <w:sz w:val="20"/>
          <w:szCs w:val="20"/>
        </w:rPr>
        <w:t xml:space="preserve">mation regarding assumption updates. </w:t>
      </w:r>
    </w:p>
    <w:p w:rsidR="00000000" w:rsidRDefault="00897B14">
      <w:pPr>
        <w:jc w:val="both"/>
        <w:divId w:val="446513706"/>
        <w:rPr>
          <w:rFonts w:eastAsia="Times New Roman"/>
        </w:rPr>
      </w:pPr>
      <w:r>
        <w:rPr>
          <w:rFonts w:eastAsia="Times New Roman"/>
          <w:b/>
          <w:bCs/>
          <w:i/>
          <w:iCs/>
          <w:color w:val="000000"/>
          <w:sz w:val="20"/>
          <w:szCs w:val="20"/>
          <w:shd w:val="clear" w:color="auto" w:fill="FFFFFF"/>
        </w:rPr>
        <w:t>Non-GAAP Operating Earnings</w:t>
      </w:r>
    </w:p>
    <w:p w:rsidR="00000000" w:rsidRDefault="00897B14">
      <w:pPr>
        <w:ind w:firstLine="360"/>
        <w:divId w:val="1377461213"/>
        <w:rPr>
          <w:rFonts w:eastAsia="Times New Roman"/>
        </w:rPr>
      </w:pPr>
      <w:r>
        <w:rPr>
          <w:rFonts w:eastAsia="Times New Roman"/>
          <w:color w:val="000000"/>
          <w:sz w:val="20"/>
          <w:szCs w:val="20"/>
          <w:shd w:val="clear" w:color="auto" w:fill="FFFFFF"/>
        </w:rPr>
        <w:t xml:space="preserve">Non-GAAP operating earnings increased by $372 million to $1.4 billion for the </w:t>
      </w:r>
      <w:r>
        <w:rPr>
          <w:rFonts w:eastAsia="Times New Roman"/>
          <w:color w:val="000000"/>
          <w:sz w:val="20"/>
          <w:szCs w:val="20"/>
        </w:rPr>
        <w:t>six months ended June 30, 2021</w:t>
      </w:r>
      <w:r>
        <w:rPr>
          <w:rFonts w:eastAsia="Times New Roman"/>
          <w:color w:val="000000"/>
          <w:sz w:val="20"/>
          <w:szCs w:val="20"/>
          <w:shd w:val="clear" w:color="auto" w:fill="FFFFFF"/>
        </w:rPr>
        <w:t xml:space="preserve"> from $986 million in the </w:t>
      </w:r>
      <w:r>
        <w:rPr>
          <w:rFonts w:eastAsia="Times New Roman"/>
          <w:color w:val="000000"/>
          <w:sz w:val="20"/>
          <w:szCs w:val="20"/>
        </w:rPr>
        <w:t>six months ended June 30, 2020</w:t>
      </w:r>
      <w:r>
        <w:rPr>
          <w:rFonts w:eastAsia="Times New Roman"/>
          <w:color w:val="000000"/>
          <w:sz w:val="20"/>
          <w:szCs w:val="20"/>
          <w:shd w:val="clear" w:color="auto" w:fill="FFFFFF"/>
        </w:rPr>
        <w:t>. The following notable it</w:t>
      </w:r>
      <w:r>
        <w:rPr>
          <w:rFonts w:eastAsia="Times New Roman"/>
          <w:color w:val="000000"/>
          <w:sz w:val="20"/>
          <w:szCs w:val="20"/>
          <w:shd w:val="clear" w:color="auto" w:fill="FFFFFF"/>
        </w:rPr>
        <w:t>ems were the primary drivers for the change in Non-GAAP operating earnings.</w:t>
      </w:r>
    </w:p>
    <w:p w:rsidR="00000000" w:rsidRDefault="00897B14">
      <w:pPr>
        <w:divId w:val="676805230"/>
        <w:rPr>
          <w:rFonts w:eastAsia="Times New Roman"/>
        </w:rPr>
      </w:pPr>
      <w:r>
        <w:rPr>
          <w:rFonts w:eastAsia="Times New Roman"/>
          <w:color w:val="000000"/>
          <w:sz w:val="20"/>
          <w:szCs w:val="20"/>
          <w:shd w:val="clear" w:color="auto" w:fill="FFFFFF"/>
        </w:rPr>
        <w:t>Favorable items included:</w:t>
      </w:r>
    </w:p>
    <w:p w:rsidR="00000000" w:rsidRDefault="00897B14">
      <w:pPr>
        <w:ind w:hanging="180"/>
        <w:divId w:val="514659084"/>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Fee-type revenue increased by $495 million mainly due to higher base fees, performance-based fees and distribution revenues in our Investment Management </w:t>
      </w:r>
      <w:r>
        <w:rPr>
          <w:rFonts w:eastAsia="Times New Roman"/>
          <w:color w:val="000000"/>
          <w:sz w:val="20"/>
          <w:szCs w:val="20"/>
        </w:rPr>
        <w:t xml:space="preserve">&amp; Research segment as a result of higher average AUM revenues, higher fees in our Individual and Group Retirement segments as a result of higher average Separate Accounts AV and higher broker-dealer related revenues. </w:t>
      </w:r>
    </w:p>
    <w:p w:rsidR="00000000" w:rsidRDefault="00897B14">
      <w:pPr>
        <w:ind w:hanging="180"/>
        <w:jc w:val="both"/>
        <w:divId w:val="865099970"/>
        <w:rPr>
          <w:rFonts w:eastAsia="Times New Roman"/>
        </w:rPr>
      </w:pPr>
      <w:r>
        <w:rPr>
          <w:rFonts w:eastAsia="Times New Roman"/>
          <w:color w:val="000000"/>
          <w:sz w:val="20"/>
          <w:szCs w:val="20"/>
          <w:shd w:val="clear" w:color="auto" w:fill="FFFFFF"/>
        </w:rPr>
        <w:t>•</w:t>
      </w:r>
      <w:r>
        <w:rPr>
          <w:rFonts w:eastAsia="Times New Roman"/>
          <w:color w:val="000000"/>
          <w:sz w:val="20"/>
          <w:szCs w:val="20"/>
        </w:rPr>
        <w:t>Net investment income increased by $4</w:t>
      </w:r>
      <w:r>
        <w:rPr>
          <w:rFonts w:eastAsia="Times New Roman"/>
          <w:color w:val="000000"/>
          <w:sz w:val="20"/>
          <w:szCs w:val="20"/>
        </w:rPr>
        <w:t>07 million mainly due to higher prepayments, higher asset balances and higher income from our alternative investment portfolio partially offset by the Venerable transaction.</w:t>
      </w:r>
    </w:p>
    <w:p w:rsidR="00000000" w:rsidRDefault="00897B14">
      <w:pPr>
        <w:ind w:hanging="180"/>
        <w:divId w:val="610668385"/>
        <w:rPr>
          <w:rFonts w:eastAsia="Times New Roman"/>
        </w:rPr>
      </w:pPr>
      <w:r>
        <w:rPr>
          <w:rFonts w:eastAsia="Times New Roman"/>
          <w:color w:val="000000"/>
          <w:sz w:val="20"/>
          <w:szCs w:val="20"/>
        </w:rPr>
        <w:t>•Policyholders’ benefits decreased by $382 million mainly due to equity market app</w:t>
      </w:r>
      <w:r>
        <w:rPr>
          <w:rFonts w:eastAsia="Times New Roman"/>
          <w:color w:val="000000"/>
          <w:sz w:val="20"/>
          <w:szCs w:val="20"/>
        </w:rPr>
        <w:t>reciation, which is offset in the Net Derivative gains, partially offset by higher ongoing reserves resulting from assumption updates in 2020 and higher death claims in 2021.</w:t>
      </w:r>
    </w:p>
    <w:p w:rsidR="00000000" w:rsidRDefault="00897B14">
      <w:pPr>
        <w:ind w:hanging="180"/>
        <w:divId w:val="222255965"/>
        <w:rPr>
          <w:rFonts w:eastAsia="Times New Roman"/>
        </w:rPr>
      </w:pPr>
      <w:r>
        <w:rPr>
          <w:rFonts w:eastAsia="Times New Roman"/>
          <w:color w:val="000000"/>
          <w:sz w:val="20"/>
          <w:szCs w:val="20"/>
        </w:rPr>
        <w:t xml:space="preserve">•Amortization of DAC decreased by $31 million mainly in our Protection Solutions </w:t>
      </w:r>
      <w:r>
        <w:rPr>
          <w:rFonts w:eastAsia="Times New Roman"/>
          <w:color w:val="000000"/>
          <w:sz w:val="20"/>
          <w:szCs w:val="20"/>
        </w:rPr>
        <w:t>segment reflecting lower VISL baseline amortization following the DAC write-off in the first half of 2020.</w:t>
      </w:r>
    </w:p>
    <w:p w:rsidR="00000000" w:rsidRDefault="00897B14">
      <w:pPr>
        <w:ind w:hanging="180"/>
        <w:jc w:val="both"/>
        <w:divId w:val="280845738"/>
        <w:rPr>
          <w:rFonts w:eastAsia="Times New Roman"/>
        </w:rPr>
      </w:pPr>
      <w:r>
        <w:rPr>
          <w:rFonts w:eastAsia="Times New Roman"/>
          <w:color w:val="000000"/>
          <w:sz w:val="20"/>
          <w:szCs w:val="20"/>
        </w:rPr>
        <w:t>•Interest credited to policyholders’ account balances decreased by $30 million mainly due to the impact of equity market appreciation on our SCS prod</w:t>
      </w:r>
      <w:r>
        <w:rPr>
          <w:rFonts w:eastAsia="Times New Roman"/>
          <w:color w:val="000000"/>
          <w:sz w:val="20"/>
          <w:szCs w:val="20"/>
        </w:rPr>
        <w:t>uct features.</w:t>
      </w:r>
    </w:p>
    <w:p w:rsidR="00000000" w:rsidRDefault="00897B14">
      <w:pPr>
        <w:ind w:firstLine="360"/>
        <w:divId w:val="1826899620"/>
        <w:rPr>
          <w:rFonts w:eastAsia="Times New Roman"/>
        </w:rPr>
      </w:pPr>
      <w:r>
        <w:rPr>
          <w:rFonts w:eastAsia="Times New Roman"/>
          <w:color w:val="000000"/>
          <w:sz w:val="20"/>
          <w:szCs w:val="20"/>
        </w:rPr>
        <w:t>These were partially offset by the following unfavorable items:</w:t>
      </w:r>
    </w:p>
    <w:p w:rsidR="00000000" w:rsidRDefault="00897B14">
      <w:pPr>
        <w:ind w:hanging="180"/>
        <w:divId w:val="207649895"/>
        <w:rPr>
          <w:rFonts w:eastAsia="Times New Roman"/>
        </w:rPr>
      </w:pPr>
      <w:r>
        <w:rPr>
          <w:rFonts w:eastAsia="Times New Roman"/>
          <w:color w:val="000000"/>
          <w:sz w:val="20"/>
          <w:szCs w:val="20"/>
        </w:rPr>
        <w:t>•Net derivative gains decreased by $540 million mainly due to equity market appreciation, which is offset in Policyholder’s benefits, and inflation related hedging losses.</w:t>
      </w:r>
    </w:p>
    <w:p w:rsidR="00000000" w:rsidRDefault="00897B14">
      <w:pPr>
        <w:ind w:hanging="180"/>
        <w:divId w:val="813377308"/>
        <w:rPr>
          <w:rFonts w:eastAsia="Times New Roman"/>
        </w:rPr>
      </w:pPr>
      <w:r>
        <w:rPr>
          <w:rFonts w:eastAsia="Times New Roman"/>
          <w:color w:val="000000"/>
          <w:sz w:val="20"/>
          <w:szCs w:val="20"/>
        </w:rPr>
        <w:t>•Compe</w:t>
      </w:r>
      <w:r>
        <w:rPr>
          <w:rFonts w:eastAsia="Times New Roman"/>
          <w:color w:val="000000"/>
          <w:sz w:val="20"/>
          <w:szCs w:val="20"/>
        </w:rPr>
        <w:t>nsation, benefits and other operating costs and expenses increased by $147 million mainly due to employee compensation in our Investment Management and Research segment due to higher revenues.</w:t>
      </w:r>
    </w:p>
    <w:p w:rsidR="00000000" w:rsidRDefault="00897B14">
      <w:pPr>
        <w:ind w:hanging="180"/>
        <w:divId w:val="1803882394"/>
        <w:rPr>
          <w:rFonts w:eastAsia="Times New Roman"/>
        </w:rPr>
      </w:pPr>
      <w:r>
        <w:rPr>
          <w:rFonts w:eastAsia="Times New Roman"/>
          <w:color w:val="000000"/>
          <w:sz w:val="20"/>
          <w:szCs w:val="20"/>
        </w:rPr>
        <w:t>•Commissions and distribution-related payments increased by $13</w:t>
      </w:r>
      <w:r>
        <w:rPr>
          <w:rFonts w:eastAsia="Times New Roman"/>
          <w:color w:val="000000"/>
          <w:sz w:val="20"/>
          <w:szCs w:val="20"/>
        </w:rPr>
        <w:t>9 million mainly due to higher distribution-related payments in our Investment Management and Research segment, as well as the growth in broker dealer sales.</w:t>
      </w:r>
    </w:p>
    <w:p w:rsidR="00000000" w:rsidRDefault="00897B14">
      <w:pPr>
        <w:ind w:hanging="180"/>
        <w:divId w:val="190340259"/>
        <w:rPr>
          <w:rFonts w:eastAsia="Times New Roman"/>
        </w:rPr>
      </w:pPr>
      <w:r>
        <w:rPr>
          <w:rFonts w:eastAsia="Times New Roman"/>
          <w:color w:val="000000"/>
          <w:sz w:val="20"/>
          <w:szCs w:val="20"/>
        </w:rPr>
        <w:t>•</w:t>
      </w:r>
      <w:r>
        <w:rPr>
          <w:rFonts w:eastAsia="Times New Roman"/>
          <w:color w:val="000000"/>
          <w:sz w:val="20"/>
          <w:szCs w:val="20"/>
        </w:rPr>
        <w:t>Earnings attributable to the noncontrolling interest increased by $56 million mainly due to higher AB Operating earnings in our Investment Management and Research segment.</w:t>
      </w:r>
    </w:p>
    <w:p w:rsidR="00000000" w:rsidRDefault="00897B14">
      <w:pPr>
        <w:ind w:hanging="180"/>
        <w:jc w:val="both"/>
        <w:divId w:val="1996952398"/>
        <w:rPr>
          <w:rFonts w:eastAsia="Times New Roman"/>
        </w:rPr>
      </w:pPr>
      <w:r>
        <w:rPr>
          <w:rFonts w:eastAsia="Times New Roman"/>
          <w:color w:val="000000"/>
          <w:sz w:val="20"/>
          <w:szCs w:val="20"/>
        </w:rPr>
        <w:t>•Income tax expense increased by $87 million mainly driven by higher pre-tax earning</w:t>
      </w:r>
      <w:r>
        <w:rPr>
          <w:rFonts w:eastAsia="Times New Roman"/>
          <w:color w:val="000000"/>
          <w:sz w:val="20"/>
          <w:szCs w:val="20"/>
        </w:rPr>
        <w:t>s.</w:t>
      </w:r>
    </w:p>
    <w:p w:rsidR="00000000" w:rsidRDefault="00897B14">
      <w:pPr>
        <w:divId w:val="937101179"/>
        <w:rPr>
          <w:rFonts w:eastAsia="Times New Roman"/>
        </w:rPr>
      </w:pPr>
      <w:r>
        <w:rPr>
          <w:rFonts w:eastAsia="Times New Roman"/>
          <w:b/>
          <w:bCs/>
          <w:color w:val="000000"/>
          <w:sz w:val="20"/>
          <w:szCs w:val="20"/>
        </w:rPr>
        <w:t>Results of Operations by Segment</w:t>
      </w:r>
    </w:p>
    <w:p w:rsidR="00000000" w:rsidRDefault="00897B14">
      <w:pPr>
        <w:ind w:firstLine="360"/>
        <w:divId w:val="2035498144"/>
        <w:rPr>
          <w:rFonts w:eastAsia="Times New Roman"/>
        </w:rPr>
      </w:pPr>
      <w:r>
        <w:rPr>
          <w:rFonts w:eastAsia="Times New Roman"/>
          <w:color w:val="000000"/>
          <w:sz w:val="20"/>
          <w:szCs w:val="20"/>
        </w:rPr>
        <w:t>We manage our business through the following four segments: Individual Retirement, Group Retirement, Investment Management and Research, and Protection Solutions. We report certain activities and items that are not inclu</w:t>
      </w:r>
      <w:r>
        <w:rPr>
          <w:rFonts w:eastAsia="Times New Roman"/>
          <w:color w:val="000000"/>
          <w:sz w:val="20"/>
          <w:szCs w:val="20"/>
        </w:rPr>
        <w:t>ded in our four segments in Corporate and Other. The following section presents our discussion of operating earnings (loss) by segment and AUM, AV and Protection Solutions Reserves by segment, as applicable. Consistent with U.S. GAAP guidance for segment r</w:t>
      </w:r>
      <w:r>
        <w:rPr>
          <w:rFonts w:eastAsia="Times New Roman"/>
          <w:color w:val="000000"/>
          <w:sz w:val="20"/>
          <w:szCs w:val="20"/>
        </w:rPr>
        <w:t>eporting, operating earnings (loss) is our U.S. GAAP measure of segment performance. See Note 13 of the Notes to the Consolidated Financial Statements for further information on our segments.</w:t>
      </w:r>
    </w:p>
    <w:p w:rsidR="00000000" w:rsidRDefault="00897B14">
      <w:pPr>
        <w:ind w:firstLine="360"/>
        <w:divId w:val="1922174162"/>
        <w:rPr>
          <w:rFonts w:eastAsia="Times New Roman"/>
        </w:rPr>
      </w:pPr>
      <w:r>
        <w:rPr>
          <w:rFonts w:eastAsia="Times New Roman"/>
          <w:color w:val="000000"/>
          <w:sz w:val="20"/>
          <w:szCs w:val="20"/>
        </w:rPr>
        <w:t xml:space="preserve">The following table summarizes operating earnings (loss) on our </w:t>
      </w:r>
      <w:r>
        <w:rPr>
          <w:rFonts w:eastAsia="Times New Roman"/>
          <w:color w:val="000000"/>
          <w:sz w:val="20"/>
          <w:szCs w:val="20"/>
        </w:rPr>
        <w:t>segments and Corporate and Other for the three months and six months ended June 30, 2021 and 2020:</w:t>
      </w:r>
    </w:p>
    <w:p w:rsidR="00000000" w:rsidRDefault="00897B14">
      <w:pPr>
        <w:jc w:val="center"/>
        <w:divId w:val="1876455887"/>
        <w:rPr>
          <w:rFonts w:eastAsia="Times New Roman"/>
        </w:rPr>
      </w:pPr>
      <w:r>
        <w:rPr>
          <w:rFonts w:eastAsia="Times New Roman"/>
          <w:color w:val="000000"/>
          <w:sz w:val="20"/>
          <w:szCs w:val="20"/>
        </w:rPr>
        <w:t>88</w:t>
      </w:r>
    </w:p>
    <w:p w:rsidR="00000000" w:rsidRDefault="00897B14">
      <w:pPr>
        <w:rPr>
          <w:rFonts w:eastAsia="Times New Roman"/>
        </w:rPr>
      </w:pPr>
      <w:r>
        <w:rPr>
          <w:rFonts w:eastAsia="Times New Roman"/>
        </w:rPr>
        <w:pict>
          <v:rect id="_x0000_i1114" style="width:0;height:1.5pt" o:hralign="center" o:hrstd="t" o:hr="t" fillcolor="#a0a0a0" stroked="f"/>
        </w:pict>
      </w:r>
    </w:p>
    <w:p w:rsidR="00000000" w:rsidRDefault="00897B14">
      <w:pPr>
        <w:ind w:firstLine="360"/>
        <w:divId w:val="1632397509"/>
        <w:rPr>
          <w:rFonts w:eastAsia="Times New Roman"/>
        </w:rPr>
      </w:pPr>
      <w:hyperlink w:anchor="i4720991a3d574ba2ab7d34b235a82556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4017"/>
        <w:gridCol w:w="38"/>
        <w:gridCol w:w="120"/>
        <w:gridCol w:w="683"/>
        <w:gridCol w:w="36"/>
        <w:gridCol w:w="36"/>
        <w:gridCol w:w="36"/>
        <w:gridCol w:w="36"/>
        <w:gridCol w:w="120"/>
        <w:gridCol w:w="683"/>
        <w:gridCol w:w="36"/>
        <w:gridCol w:w="36"/>
        <w:gridCol w:w="36"/>
        <w:gridCol w:w="36"/>
        <w:gridCol w:w="120"/>
        <w:gridCol w:w="871"/>
        <w:gridCol w:w="36"/>
        <w:gridCol w:w="36"/>
        <w:gridCol w:w="36"/>
        <w:gridCol w:w="36"/>
        <w:gridCol w:w="120"/>
        <w:gridCol w:w="811"/>
        <w:gridCol w:w="36"/>
        <w:gridCol w:w="36"/>
        <w:gridCol w:w="36"/>
        <w:gridCol w:w="36"/>
        <w:gridCol w:w="36"/>
        <w:gridCol w:w="36"/>
        <w:gridCol w:w="36"/>
      </w:tblGrid>
      <w:tr w:rsidR="00000000">
        <w:trPr>
          <w:divId w:val="1745836582"/>
        </w:trPr>
        <w:tc>
          <w:tcPr>
            <w:tcW w:w="50" w:type="pct"/>
            <w:vAlign w:val="center"/>
            <w:hideMark/>
          </w:tcPr>
          <w:p w:rsidR="00000000" w:rsidRDefault="00897B14">
            <w:pPr>
              <w:ind w:firstLine="360"/>
              <w:rPr>
                <w:rFonts w:eastAsia="Times New Roman"/>
              </w:rPr>
            </w:pPr>
          </w:p>
        </w:tc>
        <w:tc>
          <w:tcPr>
            <w:tcW w:w="254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Operating earnings (loss) by segment:</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45836582"/>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1,358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292178962"/>
        <w:rPr>
          <w:rFonts w:eastAsia="Times New Roman"/>
        </w:rPr>
      </w:pPr>
    </w:p>
    <w:p w:rsidR="00000000" w:rsidRDefault="00897B14">
      <w:pPr>
        <w:jc w:val="both"/>
        <w:divId w:val="1547138551"/>
        <w:rPr>
          <w:rFonts w:eastAsia="Times New Roman"/>
        </w:rPr>
      </w:pPr>
      <w:r>
        <w:rPr>
          <w:rFonts w:eastAsia="Times New Roman"/>
          <w:b/>
          <w:bCs/>
          <w:i/>
          <w:iCs/>
          <w:color w:val="000000"/>
          <w:sz w:val="20"/>
          <w:szCs w:val="20"/>
        </w:rPr>
        <w:t xml:space="preserve">Effective Tax Rates by Segment </w:t>
      </w:r>
    </w:p>
    <w:p w:rsidR="00000000" w:rsidRDefault="00897B14">
      <w:pPr>
        <w:ind w:firstLine="360"/>
        <w:divId w:val="996033733"/>
        <w:rPr>
          <w:rFonts w:eastAsia="Times New Roman"/>
        </w:rPr>
      </w:pPr>
      <w:r>
        <w:rPr>
          <w:rFonts w:eastAsia="Times New Roman"/>
          <w:color w:val="000000"/>
          <w:sz w:val="20"/>
          <w:szCs w:val="20"/>
        </w:rPr>
        <w:t>Income tax expense is calculated using th</w:t>
      </w:r>
      <w:r>
        <w:rPr>
          <w:rFonts w:eastAsia="Times New Roman"/>
          <w:color w:val="000000"/>
          <w:sz w:val="20"/>
          <w:szCs w:val="20"/>
        </w:rPr>
        <w:t>e ETR and then allocated to our business segments using an 17% ETR for our retirement and protection businesses (Individual Retirement, Group Retirement, and Protection Solutions) and a 27% ETR for Investment Management and Research.</w:t>
      </w:r>
    </w:p>
    <w:p w:rsidR="00000000" w:rsidRDefault="00897B14">
      <w:pPr>
        <w:divId w:val="1573348276"/>
        <w:rPr>
          <w:rFonts w:eastAsia="Times New Roman"/>
        </w:rPr>
      </w:pPr>
      <w:r>
        <w:rPr>
          <w:rFonts w:eastAsia="Times New Roman"/>
          <w:b/>
          <w:bCs/>
          <w:color w:val="000000"/>
          <w:sz w:val="20"/>
          <w:szCs w:val="20"/>
        </w:rPr>
        <w:t>Individual Retirement</w:t>
      </w:r>
    </w:p>
    <w:p w:rsidR="00000000" w:rsidRDefault="00897B14">
      <w:pPr>
        <w:ind w:firstLine="360"/>
        <w:divId w:val="506023118"/>
        <w:rPr>
          <w:rFonts w:eastAsia="Times New Roman"/>
        </w:rPr>
      </w:pPr>
      <w:r>
        <w:rPr>
          <w:rFonts w:eastAsia="Times New Roman"/>
          <w:color w:val="000000"/>
          <w:sz w:val="20"/>
          <w:szCs w:val="20"/>
        </w:rPr>
        <w:t>The Individual Retirement segment includes our variable annuity products which primarily meet the needs of individuals saving for retirement or seeking retirement income.</w:t>
      </w:r>
    </w:p>
    <w:p w:rsidR="00000000" w:rsidRDefault="00897B14">
      <w:pPr>
        <w:ind w:firstLine="360"/>
        <w:divId w:val="380057541"/>
        <w:rPr>
          <w:rFonts w:eastAsia="Times New Roman"/>
        </w:rPr>
      </w:pPr>
      <w:r>
        <w:rPr>
          <w:rFonts w:eastAsia="Times New Roman"/>
          <w:color w:val="000000"/>
          <w:sz w:val="20"/>
          <w:szCs w:val="20"/>
        </w:rPr>
        <w:t>The following table summarizes operating earnings of our Individual Retirement segmen</w:t>
      </w:r>
      <w:r>
        <w:rPr>
          <w:rFonts w:eastAsia="Times New Roman"/>
          <w:color w:val="000000"/>
          <w:sz w:val="20"/>
          <w:szCs w:val="20"/>
        </w:rPr>
        <w:t>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3769"/>
        <w:gridCol w:w="36"/>
        <w:gridCol w:w="120"/>
        <w:gridCol w:w="797"/>
        <w:gridCol w:w="36"/>
        <w:gridCol w:w="36"/>
        <w:gridCol w:w="36"/>
        <w:gridCol w:w="36"/>
        <w:gridCol w:w="120"/>
        <w:gridCol w:w="797"/>
        <w:gridCol w:w="36"/>
        <w:gridCol w:w="120"/>
        <w:gridCol w:w="867"/>
        <w:gridCol w:w="36"/>
        <w:gridCol w:w="36"/>
        <w:gridCol w:w="36"/>
        <w:gridCol w:w="36"/>
        <w:gridCol w:w="120"/>
        <w:gridCol w:w="839"/>
        <w:gridCol w:w="36"/>
        <w:gridCol w:w="36"/>
        <w:gridCol w:w="36"/>
        <w:gridCol w:w="36"/>
        <w:gridCol w:w="36"/>
        <w:gridCol w:w="36"/>
        <w:gridCol w:w="36"/>
        <w:gridCol w:w="36"/>
        <w:gridCol w:w="36"/>
        <w:gridCol w:w="36"/>
      </w:tblGrid>
      <w:tr w:rsidR="00000000">
        <w:trPr>
          <w:divId w:val="2025548177"/>
        </w:trPr>
        <w:tc>
          <w:tcPr>
            <w:tcW w:w="50" w:type="pct"/>
            <w:vAlign w:val="center"/>
            <w:hideMark/>
          </w:tcPr>
          <w:p w:rsidR="00000000" w:rsidRDefault="00897B14">
            <w:pPr>
              <w:ind w:firstLine="360"/>
              <w:rPr>
                <w:rFonts w:eastAsia="Times New Roman"/>
              </w:rPr>
            </w:pPr>
          </w:p>
        </w:tc>
        <w:tc>
          <w:tcPr>
            <w:tcW w:w="240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4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2554817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gridSpan w:val="3"/>
            <w:vAlign w:val="center"/>
            <w:hideMark/>
          </w:tcPr>
          <w:p w:rsidR="00000000" w:rsidRDefault="00897B14">
            <w:pPr>
              <w:spacing w:after="100"/>
              <w:jc w:val="center"/>
              <w:rPr>
                <w:rFonts w:eastAsia="Times New Roman"/>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25548177"/>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2554817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2554817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777</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723 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18572191"/>
        <w:rPr>
          <w:rFonts w:eastAsia="Times New Roman"/>
        </w:rPr>
      </w:pPr>
    </w:p>
    <w:p w:rsidR="00000000" w:rsidRDefault="00897B14">
      <w:pPr>
        <w:divId w:val="497883842"/>
        <w:rPr>
          <w:rFonts w:eastAsia="Times New Roman"/>
        </w:rPr>
      </w:pPr>
    </w:p>
    <w:p w:rsidR="00000000" w:rsidRDefault="00897B14">
      <w:pPr>
        <w:ind w:firstLine="360"/>
        <w:divId w:val="595288876"/>
        <w:rPr>
          <w:rFonts w:eastAsia="Times New Roman"/>
        </w:rPr>
      </w:pPr>
      <w:r>
        <w:rPr>
          <w:rFonts w:eastAsia="Times New Roman"/>
          <w:color w:val="000000"/>
          <w:sz w:val="20"/>
          <w:szCs w:val="20"/>
        </w:rPr>
        <w:t>Key components of operating earnings are:</w:t>
      </w:r>
    </w:p>
    <w:tbl>
      <w:tblPr>
        <w:tblW w:w="4707" w:type="pct"/>
        <w:jc w:val="center"/>
        <w:tblCellMar>
          <w:top w:w="15" w:type="dxa"/>
          <w:left w:w="15" w:type="dxa"/>
          <w:bottom w:w="15" w:type="dxa"/>
          <w:right w:w="15" w:type="dxa"/>
        </w:tblCellMar>
        <w:tblLook w:val="04A0" w:firstRow="1" w:lastRow="0" w:firstColumn="1" w:lastColumn="0" w:noHBand="0" w:noVBand="1"/>
      </w:tblPr>
      <w:tblGrid>
        <w:gridCol w:w="38"/>
        <w:gridCol w:w="3842"/>
        <w:gridCol w:w="37"/>
        <w:gridCol w:w="120"/>
        <w:gridCol w:w="697"/>
        <w:gridCol w:w="36"/>
        <w:gridCol w:w="36"/>
        <w:gridCol w:w="36"/>
        <w:gridCol w:w="36"/>
        <w:gridCol w:w="120"/>
        <w:gridCol w:w="649"/>
        <w:gridCol w:w="36"/>
        <w:gridCol w:w="36"/>
        <w:gridCol w:w="120"/>
        <w:gridCol w:w="756"/>
        <w:gridCol w:w="36"/>
        <w:gridCol w:w="36"/>
        <w:gridCol w:w="36"/>
        <w:gridCol w:w="36"/>
        <w:gridCol w:w="120"/>
        <w:gridCol w:w="708"/>
        <w:gridCol w:w="36"/>
        <w:gridCol w:w="36"/>
        <w:gridCol w:w="36"/>
        <w:gridCol w:w="36"/>
        <w:gridCol w:w="36"/>
        <w:gridCol w:w="36"/>
        <w:gridCol w:w="36"/>
      </w:tblGrid>
      <w:tr w:rsidR="00000000">
        <w:trPr>
          <w:divId w:val="712385448"/>
          <w:jc w:val="center"/>
        </w:trPr>
        <w:tc>
          <w:tcPr>
            <w:tcW w:w="50" w:type="pct"/>
            <w:vAlign w:val="center"/>
            <w:hideMark/>
          </w:tcPr>
          <w:p w:rsidR="00000000" w:rsidRDefault="00897B14">
            <w:pPr>
              <w:ind w:firstLine="360"/>
              <w:rPr>
                <w:rFonts w:eastAsia="Times New Roman"/>
              </w:rPr>
            </w:pPr>
          </w:p>
        </w:tc>
        <w:tc>
          <w:tcPr>
            <w:tcW w:w="258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3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6"/>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493 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1,959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12385448"/>
          <w:jc w:val="center"/>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divId w:val="2081752625"/>
        <w:rPr>
          <w:rFonts w:eastAsia="Times New Roman"/>
        </w:rPr>
      </w:pPr>
      <w:r>
        <w:rPr>
          <w:rFonts w:eastAsia="Times New Roman"/>
          <w:color w:val="000000"/>
          <w:sz w:val="20"/>
          <w:szCs w:val="20"/>
        </w:rPr>
        <w:t>89</w:t>
      </w:r>
    </w:p>
    <w:p w:rsidR="00000000" w:rsidRDefault="00897B14">
      <w:pPr>
        <w:rPr>
          <w:rFonts w:eastAsia="Times New Roman"/>
        </w:rPr>
      </w:pPr>
      <w:r>
        <w:rPr>
          <w:rFonts w:eastAsia="Times New Roman"/>
        </w:rPr>
        <w:pict>
          <v:rect id="_x0000_i1115" style="width:0;height:1.5pt" o:hralign="center" o:hrstd="t" o:hr="t" fillcolor="#a0a0a0" stroked="f"/>
        </w:pict>
      </w:r>
    </w:p>
    <w:p w:rsidR="00000000" w:rsidRDefault="00897B14">
      <w:pPr>
        <w:divId w:val="1092580767"/>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862277954"/>
        <w:rPr>
          <w:rFonts w:eastAsia="Times New Roman"/>
        </w:rPr>
      </w:pPr>
    </w:p>
    <w:p w:rsidR="00000000" w:rsidRDefault="00897B14">
      <w:pPr>
        <w:ind w:firstLine="360"/>
        <w:divId w:val="1073351175"/>
        <w:rPr>
          <w:rFonts w:eastAsia="Times New Roman"/>
        </w:rPr>
      </w:pPr>
      <w:r>
        <w:rPr>
          <w:rFonts w:eastAsia="Times New Roman"/>
          <w:color w:val="000000"/>
          <w:sz w:val="20"/>
          <w:szCs w:val="20"/>
        </w:rPr>
        <w:t>The following table summarizes AV for our Individual Retirement segment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21"/>
        <w:gridCol w:w="38"/>
        <w:gridCol w:w="120"/>
        <w:gridCol w:w="954"/>
        <w:gridCol w:w="36"/>
        <w:gridCol w:w="36"/>
        <w:gridCol w:w="36"/>
        <w:gridCol w:w="36"/>
        <w:gridCol w:w="120"/>
        <w:gridCol w:w="917"/>
        <w:gridCol w:w="36"/>
        <w:gridCol w:w="36"/>
        <w:gridCol w:w="36"/>
        <w:gridCol w:w="36"/>
        <w:gridCol w:w="36"/>
        <w:gridCol w:w="36"/>
        <w:gridCol w:w="36"/>
      </w:tblGrid>
      <w:tr w:rsidR="00000000">
        <w:trPr>
          <w:divId w:val="1156413367"/>
          <w:jc w:val="center"/>
        </w:trPr>
        <w:tc>
          <w:tcPr>
            <w:tcW w:w="50" w:type="pct"/>
            <w:vAlign w:val="center"/>
            <w:hideMark/>
          </w:tcPr>
          <w:p w:rsidR="00000000" w:rsidRDefault="00897B14">
            <w:pPr>
              <w:ind w:firstLine="360"/>
              <w:rPr>
                <w:rFonts w:eastAsia="Times New Roman"/>
              </w:rPr>
            </w:pPr>
          </w:p>
        </w:tc>
        <w:tc>
          <w:tcPr>
            <w:tcW w:w="356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34,090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30,783 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74,345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86,607 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156413367"/>
          <w:jc w:val="center"/>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     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108,435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117,390 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firstLine="360"/>
        <w:divId w:val="1131047149"/>
        <w:rPr>
          <w:rFonts w:eastAsia="Times New Roman"/>
        </w:rPr>
      </w:pPr>
      <w:r>
        <w:rPr>
          <w:rFonts w:eastAsia="Times New Roman"/>
          <w:color w:val="000000"/>
          <w:sz w:val="20"/>
          <w:szCs w:val="20"/>
        </w:rPr>
        <w:t>The followi</w:t>
      </w:r>
      <w:r>
        <w:rPr>
          <w:rFonts w:eastAsia="Times New Roman"/>
          <w:color w:val="000000"/>
          <w:sz w:val="20"/>
          <w:szCs w:val="20"/>
        </w:rPr>
        <w:t>ng table summarizes a roll-forward of AV for our Individual Retirement segment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67"/>
        <w:gridCol w:w="37"/>
        <w:gridCol w:w="120"/>
        <w:gridCol w:w="700"/>
        <w:gridCol w:w="36"/>
        <w:gridCol w:w="36"/>
        <w:gridCol w:w="36"/>
        <w:gridCol w:w="36"/>
        <w:gridCol w:w="120"/>
        <w:gridCol w:w="700"/>
        <w:gridCol w:w="36"/>
        <w:gridCol w:w="36"/>
        <w:gridCol w:w="36"/>
        <w:gridCol w:w="36"/>
        <w:gridCol w:w="120"/>
        <w:gridCol w:w="700"/>
        <w:gridCol w:w="36"/>
        <w:gridCol w:w="36"/>
        <w:gridCol w:w="36"/>
        <w:gridCol w:w="36"/>
        <w:gridCol w:w="120"/>
        <w:gridCol w:w="700"/>
        <w:gridCol w:w="36"/>
        <w:gridCol w:w="36"/>
        <w:gridCol w:w="36"/>
        <w:gridCol w:w="36"/>
        <w:gridCol w:w="36"/>
        <w:gridCol w:w="36"/>
        <w:gridCol w:w="36"/>
      </w:tblGrid>
      <w:tr w:rsidR="00000000">
        <w:trPr>
          <w:jc w:val="center"/>
        </w:trPr>
        <w:tc>
          <w:tcPr>
            <w:tcW w:w="50" w:type="pct"/>
            <w:vAlign w:val="center"/>
            <w:hideMark/>
          </w:tcPr>
          <w:p w:rsidR="00000000" w:rsidRDefault="00897B14">
            <w:pPr>
              <w:ind w:firstLine="360"/>
              <w:rPr>
                <w:rFonts w:eastAsia="Times New Roman"/>
              </w:rPr>
            </w:pPr>
          </w:p>
        </w:tc>
        <w:tc>
          <w:tcPr>
            <w:tcW w:w="270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0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120,780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93,589 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117,390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108,922 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Gross premiums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1,719 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5,290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3,709 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w:t>
            </w: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(2,999)</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(1,772)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(5,984)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(4,082)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Net flows (1)</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w:t>
            </w:r>
            <w:r>
              <w:rPr>
                <w:rFonts w:eastAsia="Times New Roman"/>
                <w:color w:val="000000"/>
                <w:sz w:val="20"/>
                <w:szCs w:val="20"/>
              </w:rPr>
              <w:t>Investment performance, interest credited and policy charges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10,304 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(4,700)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Ceded to Venerable (2)</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Reclassified to Liabilities held for sale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 (3)</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108,435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103,840 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108,435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103,840 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1263878313"/>
        <w:rPr>
          <w:rFonts w:eastAsia="Times New Roman"/>
        </w:rPr>
      </w:pPr>
      <w:r>
        <w:rPr>
          <w:rFonts w:eastAsia="Times New Roman"/>
          <w:color w:val="000000"/>
          <w:sz w:val="18"/>
          <w:szCs w:val="18"/>
        </w:rPr>
        <w:t>______________</w:t>
      </w:r>
    </w:p>
    <w:p w:rsidR="00000000" w:rsidRDefault="00897B14">
      <w:pPr>
        <w:ind w:hanging="360"/>
        <w:divId w:val="790131432"/>
        <w:rPr>
          <w:rFonts w:eastAsia="Times New Roman"/>
        </w:rPr>
      </w:pPr>
    </w:p>
    <w:p w:rsidR="00000000" w:rsidRDefault="00897B14">
      <w:pPr>
        <w:ind w:hanging="360"/>
        <w:divId w:val="1624001760"/>
        <w:rPr>
          <w:rFonts w:eastAsia="Times New Roman"/>
        </w:rPr>
      </w:pPr>
      <w:r>
        <w:rPr>
          <w:rFonts w:eastAsia="Times New Roman"/>
          <w:color w:val="000000"/>
          <w:sz w:val="18"/>
          <w:szCs w:val="18"/>
        </w:rPr>
        <w:t xml:space="preserve">(1) </w:t>
      </w:r>
      <w:r>
        <w:rPr>
          <w:rFonts w:eastAsia="Times New Roman"/>
          <w:color w:val="000000"/>
          <w:sz w:val="20"/>
          <w:szCs w:val="20"/>
        </w:rPr>
        <w:t>N</w:t>
      </w:r>
      <w:r>
        <w:rPr>
          <w:rFonts w:eastAsia="Times New Roman"/>
          <w:color w:val="000000"/>
          <w:sz w:val="18"/>
          <w:szCs w:val="18"/>
        </w:rPr>
        <w:t>et flows of ($120) mill</w:t>
      </w:r>
      <w:r>
        <w:rPr>
          <w:rFonts w:eastAsia="Times New Roman"/>
          <w:color w:val="000000"/>
          <w:sz w:val="18"/>
          <w:szCs w:val="18"/>
        </w:rPr>
        <w:t xml:space="preserve">ion and Investment performance, interest credited and policy charges of $148 million not included as it relates to the activity from June 1, 2021 to June 30, 2021 for the AV ceded to Venerable. </w:t>
      </w:r>
    </w:p>
    <w:p w:rsidR="00000000" w:rsidRDefault="00897B14">
      <w:pPr>
        <w:ind w:hanging="360"/>
        <w:divId w:val="1178228473"/>
        <w:rPr>
          <w:rFonts w:eastAsia="Times New Roman"/>
        </w:rPr>
      </w:pPr>
      <w:r>
        <w:rPr>
          <w:rFonts w:eastAsia="Times New Roman"/>
          <w:color w:val="000000"/>
          <w:sz w:val="18"/>
          <w:szCs w:val="18"/>
        </w:rPr>
        <w:t>(2) Effective June 1, 2021, AV excludes activity related to c</w:t>
      </w:r>
      <w:r>
        <w:rPr>
          <w:rFonts w:eastAsia="Times New Roman"/>
          <w:color w:val="000000"/>
          <w:sz w:val="18"/>
          <w:szCs w:val="18"/>
        </w:rPr>
        <w:t>eded AV to Venerable. In addition, roll-forward reflects the AV ceded to Venerable as of the transaction date. For additional information on the Venerable transaction see Note 1 of the Notes to Consolidated Financial Statements.</w:t>
      </w:r>
    </w:p>
    <w:p w:rsidR="00000000" w:rsidRDefault="00897B14">
      <w:pPr>
        <w:ind w:hanging="360"/>
        <w:divId w:val="969943244"/>
        <w:rPr>
          <w:rFonts w:eastAsia="Times New Roman"/>
        </w:rPr>
      </w:pPr>
      <w:r>
        <w:rPr>
          <w:rFonts w:eastAsia="Times New Roman"/>
          <w:color w:val="000000"/>
          <w:sz w:val="18"/>
          <w:szCs w:val="18"/>
        </w:rPr>
        <w:t xml:space="preserve">(3) </w:t>
      </w:r>
      <w:r>
        <w:rPr>
          <w:rFonts w:eastAsia="Times New Roman"/>
          <w:color w:val="000000"/>
          <w:sz w:val="18"/>
          <w:szCs w:val="18"/>
        </w:rPr>
        <w:t>For the three and six months ended June 30, 2021, amounts reflect AV transfer of a closed block of GMxB business from GR to IR. For the six months ended June 30, 2020, amounts are primarily related to our fixed income annuity (“FIA”) contracts which were p</w:t>
      </w:r>
      <w:r>
        <w:rPr>
          <w:rFonts w:eastAsia="Times New Roman"/>
          <w:color w:val="000000"/>
          <w:sz w:val="18"/>
          <w:szCs w:val="18"/>
        </w:rPr>
        <w:t>reviously reported as Policyholders’ account balances in the consolidated balance sheets and therefore included in our definition of “Account Value”. Effective January 1, 2020, FIAs are reported as future policy benefits and other policyholders’ liabilitie</w:t>
      </w:r>
      <w:r>
        <w:rPr>
          <w:rFonts w:eastAsia="Times New Roman"/>
          <w:color w:val="000000"/>
          <w:sz w:val="18"/>
          <w:szCs w:val="18"/>
        </w:rPr>
        <w:t>s in the consolidated balance sheets and accordingly were excluded from Account Value.</w:t>
      </w:r>
    </w:p>
    <w:p w:rsidR="00000000" w:rsidRDefault="00897B14">
      <w:pPr>
        <w:divId w:val="506166923"/>
        <w:rPr>
          <w:rFonts w:eastAsia="Times New Roman"/>
        </w:rPr>
      </w:pPr>
      <w:r>
        <w:rPr>
          <w:rFonts w:eastAsia="Times New Roman"/>
          <w:b/>
          <w:bCs/>
          <w:color w:val="000000"/>
          <w:sz w:val="20"/>
          <w:szCs w:val="20"/>
        </w:rPr>
        <w:t>Three Months Ended June 30, 2021 Compared to the Three Months Ended June 30, 2020 for the Individual Retirement Segment</w:t>
      </w:r>
    </w:p>
    <w:p w:rsidR="00000000" w:rsidRDefault="00897B14">
      <w:pPr>
        <w:jc w:val="both"/>
        <w:divId w:val="1002705124"/>
        <w:rPr>
          <w:rFonts w:eastAsia="Times New Roman"/>
        </w:rPr>
      </w:pPr>
      <w:r>
        <w:rPr>
          <w:rFonts w:eastAsia="Times New Roman"/>
          <w:b/>
          <w:bCs/>
          <w:i/>
          <w:iCs/>
          <w:color w:val="000000"/>
          <w:sz w:val="20"/>
          <w:szCs w:val="20"/>
        </w:rPr>
        <w:t>Operating earnings</w:t>
      </w:r>
    </w:p>
    <w:p w:rsidR="00000000" w:rsidRDefault="00897B14">
      <w:pPr>
        <w:ind w:firstLine="360"/>
        <w:divId w:val="155078962"/>
        <w:rPr>
          <w:rFonts w:eastAsia="Times New Roman"/>
        </w:rPr>
      </w:pPr>
      <w:r>
        <w:rPr>
          <w:rFonts w:eastAsia="Times New Roman"/>
          <w:color w:val="000000"/>
          <w:sz w:val="20"/>
          <w:szCs w:val="20"/>
        </w:rPr>
        <w:t>Operating earnings increased $</w:t>
      </w:r>
      <w:r>
        <w:rPr>
          <w:rFonts w:eastAsia="Times New Roman"/>
          <w:color w:val="000000"/>
          <w:sz w:val="20"/>
          <w:szCs w:val="20"/>
        </w:rPr>
        <w:t xml:space="preserve">64 million to $414 million during the three months ended June 30, 2021 from $350 million in the three months ended June 30, 2020. </w:t>
      </w:r>
      <w:r>
        <w:rPr>
          <w:rFonts w:eastAsia="Times New Roman"/>
          <w:color w:val="000000"/>
          <w:sz w:val="20"/>
          <w:szCs w:val="20"/>
          <w:shd w:val="clear" w:color="auto" w:fill="FFFFFF"/>
        </w:rPr>
        <w:t>The following notable items were the primary drivers of the change in operating earnings:</w:t>
      </w:r>
    </w:p>
    <w:p w:rsidR="00000000" w:rsidRDefault="00897B14">
      <w:pPr>
        <w:ind w:firstLine="360"/>
        <w:divId w:val="487212796"/>
        <w:rPr>
          <w:rFonts w:eastAsia="Times New Roman"/>
        </w:rPr>
      </w:pPr>
      <w:r>
        <w:rPr>
          <w:rFonts w:eastAsia="Times New Roman"/>
          <w:color w:val="000000"/>
          <w:sz w:val="20"/>
          <w:szCs w:val="20"/>
        </w:rPr>
        <w:t>Favorable items included:</w:t>
      </w:r>
    </w:p>
    <w:p w:rsidR="00000000" w:rsidRDefault="00897B14">
      <w:pPr>
        <w:ind w:hanging="360"/>
        <w:jc w:val="both"/>
        <w:divId w:val="1226526800"/>
        <w:rPr>
          <w:rFonts w:eastAsia="Times New Roman"/>
        </w:rPr>
      </w:pPr>
      <w:r>
        <w:rPr>
          <w:rFonts w:eastAsia="Times New Roman"/>
          <w:color w:val="000000"/>
          <w:sz w:val="20"/>
          <w:szCs w:val="20"/>
        </w:rPr>
        <w:t>•Net investment income increased by $85 million mainly due to higher prepayments, higher asset balances and higher income from our alternative investment portfolio partially offset by the Venerable transaction.</w:t>
      </w:r>
    </w:p>
    <w:p w:rsidR="00000000" w:rsidRDefault="00897B14">
      <w:pPr>
        <w:ind w:hanging="360"/>
        <w:jc w:val="both"/>
        <w:divId w:val="439765767"/>
        <w:rPr>
          <w:rFonts w:eastAsia="Times New Roman"/>
        </w:rPr>
      </w:pPr>
      <w:r>
        <w:rPr>
          <w:rFonts w:eastAsia="Times New Roman"/>
          <w:color w:val="000000"/>
          <w:sz w:val="20"/>
          <w:szCs w:val="20"/>
        </w:rPr>
        <w:t>•Fee-type revenue i</w:t>
      </w:r>
      <w:r>
        <w:rPr>
          <w:rFonts w:eastAsia="Times New Roman"/>
          <w:color w:val="000000"/>
          <w:sz w:val="20"/>
          <w:szCs w:val="20"/>
        </w:rPr>
        <w:t>ncreased by $65 million due to higher average Separate Accounts AV as a result of equity market appreciation since the market lows in the second quarter of 2020 and inflows from our current product offering. The increase in Fee-type revenue was partially o</w:t>
      </w:r>
      <w:r>
        <w:rPr>
          <w:rFonts w:eastAsia="Times New Roman"/>
          <w:color w:val="000000"/>
          <w:sz w:val="20"/>
          <w:szCs w:val="20"/>
        </w:rPr>
        <w:t>ffset by the impacts of fee-income ceded to Venerable.</w:t>
      </w:r>
    </w:p>
    <w:p w:rsidR="00000000" w:rsidRDefault="00897B14">
      <w:pPr>
        <w:ind w:hanging="360"/>
        <w:jc w:val="both"/>
        <w:divId w:val="1772242993"/>
        <w:rPr>
          <w:rFonts w:eastAsia="Times New Roman"/>
        </w:rPr>
      </w:pPr>
      <w:r>
        <w:rPr>
          <w:rFonts w:eastAsia="Times New Roman"/>
          <w:color w:val="000000"/>
          <w:sz w:val="20"/>
          <w:szCs w:val="20"/>
        </w:rPr>
        <w:t>•Interest credited to policyholders’ account balances decreased by $14 million mainly due to the impact of equity market appreciation on our SCS product features.</w:t>
      </w:r>
    </w:p>
    <w:p w:rsidR="00000000" w:rsidRDefault="00897B14">
      <w:pPr>
        <w:jc w:val="center"/>
        <w:divId w:val="435099801"/>
        <w:rPr>
          <w:rFonts w:eastAsia="Times New Roman"/>
        </w:rPr>
      </w:pPr>
      <w:r>
        <w:rPr>
          <w:rFonts w:eastAsia="Times New Roman"/>
          <w:color w:val="000000"/>
          <w:sz w:val="20"/>
          <w:szCs w:val="20"/>
        </w:rPr>
        <w:t>90</w:t>
      </w:r>
    </w:p>
    <w:p w:rsidR="00000000" w:rsidRDefault="00897B14">
      <w:pPr>
        <w:rPr>
          <w:rFonts w:eastAsia="Times New Roman"/>
        </w:rPr>
      </w:pPr>
      <w:r>
        <w:rPr>
          <w:rFonts w:eastAsia="Times New Roman"/>
        </w:rPr>
        <w:pict>
          <v:rect id="_x0000_i1116" style="width:0;height:1.5pt" o:hralign="center" o:hrstd="t" o:hr="t" fillcolor="#a0a0a0" stroked="f"/>
        </w:pict>
      </w:r>
    </w:p>
    <w:p w:rsidR="00000000" w:rsidRDefault="00897B14">
      <w:pPr>
        <w:divId w:val="1659184633"/>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462965437"/>
        <w:rPr>
          <w:rFonts w:eastAsia="Times New Roman"/>
        </w:rPr>
      </w:pPr>
      <w:r>
        <w:rPr>
          <w:rFonts w:eastAsia="Times New Roman"/>
          <w:color w:val="000000"/>
          <w:sz w:val="20"/>
          <w:szCs w:val="20"/>
        </w:rPr>
        <w:t>These were partially offset by the following unfavorable items:</w:t>
      </w:r>
    </w:p>
    <w:p w:rsidR="00000000" w:rsidRDefault="00897B14">
      <w:pPr>
        <w:ind w:hanging="360"/>
        <w:divId w:val="737553317"/>
        <w:rPr>
          <w:rFonts w:eastAsia="Times New Roman"/>
        </w:rPr>
      </w:pPr>
      <w:r>
        <w:rPr>
          <w:rFonts w:eastAsia="Times New Roman"/>
          <w:color w:val="000000"/>
          <w:sz w:val="20"/>
          <w:szCs w:val="20"/>
        </w:rPr>
        <w:t>•Net GMxB results decreased by $46 million primarily due to ongoing higher reserves resulting from assumption upd</w:t>
      </w:r>
      <w:r>
        <w:rPr>
          <w:rFonts w:eastAsia="Times New Roman"/>
          <w:color w:val="000000"/>
          <w:sz w:val="20"/>
          <w:szCs w:val="20"/>
        </w:rPr>
        <w:t>ates in 2020, partially offset by the Venerable transaction. GMxB results are included in policy charges and fee income, net derivative gains (losses), and policyholders’ benefits.</w:t>
      </w:r>
    </w:p>
    <w:p w:rsidR="00000000" w:rsidRDefault="00897B14">
      <w:pPr>
        <w:ind w:hanging="360"/>
        <w:divId w:val="1941447124"/>
        <w:rPr>
          <w:rFonts w:eastAsia="Times New Roman"/>
        </w:rPr>
      </w:pPr>
      <w:r>
        <w:rPr>
          <w:rFonts w:eastAsia="Times New Roman"/>
          <w:color w:val="000000"/>
          <w:sz w:val="20"/>
          <w:szCs w:val="20"/>
        </w:rPr>
        <w:t>•Commissions and distribution-related payments increased by $15 million mai</w:t>
      </w:r>
      <w:r>
        <w:rPr>
          <w:rFonts w:eastAsia="Times New Roman"/>
          <w:color w:val="000000"/>
          <w:sz w:val="20"/>
          <w:szCs w:val="20"/>
        </w:rPr>
        <w:t>nly due to higher average asset balances.</w:t>
      </w:r>
    </w:p>
    <w:p w:rsidR="00000000" w:rsidRDefault="00897B14">
      <w:pPr>
        <w:ind w:hanging="360"/>
        <w:divId w:val="1423605340"/>
        <w:rPr>
          <w:rFonts w:eastAsia="Times New Roman"/>
        </w:rPr>
      </w:pPr>
      <w:r>
        <w:rPr>
          <w:rFonts w:eastAsia="Times New Roman"/>
          <w:color w:val="000000"/>
          <w:sz w:val="20"/>
          <w:szCs w:val="20"/>
        </w:rPr>
        <w:t>•Compensation, benefits and other operating costs and expenses increased by $12 million primarily due to lower legal expenses and lower investment management fees from lower average SA assets in 2020.</w:t>
      </w:r>
    </w:p>
    <w:p w:rsidR="00000000" w:rsidRDefault="00897B14">
      <w:pPr>
        <w:ind w:hanging="360"/>
        <w:divId w:val="735975542"/>
        <w:rPr>
          <w:rFonts w:eastAsia="Times New Roman"/>
        </w:rPr>
      </w:pPr>
      <w:r>
        <w:rPr>
          <w:rFonts w:eastAsia="Times New Roman"/>
          <w:color w:val="000000"/>
          <w:sz w:val="20"/>
          <w:szCs w:val="20"/>
        </w:rPr>
        <w:t>•Non-GMxB rel</w:t>
      </w:r>
      <w:r>
        <w:rPr>
          <w:rFonts w:eastAsia="Times New Roman"/>
          <w:color w:val="000000"/>
          <w:sz w:val="20"/>
          <w:szCs w:val="20"/>
        </w:rPr>
        <w:t>ated derivative gains decreased by $12 million primarily due to inflation related hedging loss, partially offset by CDS coupons.</w:t>
      </w:r>
    </w:p>
    <w:p w:rsidR="00000000" w:rsidRDefault="00897B14">
      <w:pPr>
        <w:ind w:hanging="360"/>
        <w:jc w:val="both"/>
        <w:divId w:val="47463406"/>
        <w:rPr>
          <w:rFonts w:eastAsia="Times New Roman"/>
        </w:rPr>
      </w:pPr>
      <w:r>
        <w:rPr>
          <w:rFonts w:eastAsia="Times New Roman"/>
          <w:color w:val="000000"/>
          <w:sz w:val="20"/>
          <w:szCs w:val="20"/>
        </w:rPr>
        <w:t xml:space="preserve">•Income tax expense increased by $14 million mainly driven by higher pre-tax earnings, partially offset by lower effective tax </w:t>
      </w:r>
      <w:r>
        <w:rPr>
          <w:rFonts w:eastAsia="Times New Roman"/>
          <w:color w:val="000000"/>
          <w:sz w:val="20"/>
          <w:szCs w:val="20"/>
        </w:rPr>
        <w:t>rate.</w:t>
      </w:r>
    </w:p>
    <w:p w:rsidR="00000000" w:rsidRDefault="00897B14">
      <w:pPr>
        <w:jc w:val="both"/>
        <w:divId w:val="757025503"/>
        <w:rPr>
          <w:rFonts w:eastAsia="Times New Roman"/>
        </w:rPr>
      </w:pPr>
      <w:r>
        <w:rPr>
          <w:rFonts w:eastAsia="Times New Roman"/>
          <w:b/>
          <w:bCs/>
          <w:i/>
          <w:iCs/>
          <w:color w:val="000000"/>
          <w:sz w:val="20"/>
          <w:szCs w:val="20"/>
        </w:rPr>
        <w:t>Net Flows and AV</w:t>
      </w:r>
    </w:p>
    <w:p w:rsidR="00000000" w:rsidRDefault="00897B14">
      <w:pPr>
        <w:ind w:hanging="180"/>
        <w:divId w:val="1540699515"/>
        <w:rPr>
          <w:rFonts w:eastAsia="Times New Roman"/>
        </w:rPr>
      </w:pPr>
      <w:r>
        <w:rPr>
          <w:rFonts w:eastAsia="Times New Roman"/>
          <w:color w:val="000000"/>
          <w:sz w:val="20"/>
          <w:szCs w:val="20"/>
        </w:rPr>
        <w:t>•The decline in AV of $12.3 billion in the three months ended June 30, 2021 was primarily due to $16.9 billion of AV ceded to Venerable and $178 million in net outflows, partially offset by a $4.7 billion increase in equity markets.</w:t>
      </w:r>
    </w:p>
    <w:p w:rsidR="00000000" w:rsidRDefault="00897B14">
      <w:pPr>
        <w:ind w:hanging="180"/>
        <w:jc w:val="both"/>
        <w:divId w:val="1100762308"/>
        <w:rPr>
          <w:rFonts w:eastAsia="Times New Roman"/>
        </w:rPr>
      </w:pPr>
      <w:r>
        <w:rPr>
          <w:rFonts w:eastAsia="Times New Roman"/>
          <w:color w:val="000000"/>
          <w:sz w:val="20"/>
          <w:szCs w:val="20"/>
        </w:rPr>
        <w:t>•Net outflows of $178 million were $125 million higher than in the three months ended June 30, 2020, mainly driven by $940 million of outflows on our older fixed-rate GMxB block, partially offset by $762 million of inflows on our newer, less capital-intens</w:t>
      </w:r>
      <w:r>
        <w:rPr>
          <w:rFonts w:eastAsia="Times New Roman"/>
          <w:color w:val="000000"/>
          <w:sz w:val="20"/>
          <w:szCs w:val="20"/>
        </w:rPr>
        <w:t>ive products.</w:t>
      </w:r>
    </w:p>
    <w:p w:rsidR="00000000" w:rsidRDefault="00897B14">
      <w:pPr>
        <w:divId w:val="660625945"/>
        <w:rPr>
          <w:rFonts w:eastAsia="Times New Roman"/>
        </w:rPr>
      </w:pPr>
      <w:r>
        <w:rPr>
          <w:rFonts w:eastAsia="Times New Roman"/>
          <w:b/>
          <w:bCs/>
          <w:color w:val="000000"/>
          <w:sz w:val="20"/>
          <w:szCs w:val="20"/>
          <w:shd w:val="clear" w:color="auto" w:fill="FFFFFF"/>
        </w:rPr>
        <w:t>Six Months Ended June 30, 2021 Compared to the Six Months Ended June 30, 2020 for the Individual Retirement Segment</w:t>
      </w:r>
    </w:p>
    <w:p w:rsidR="00000000" w:rsidRDefault="00897B14">
      <w:pPr>
        <w:jc w:val="both"/>
        <w:divId w:val="437217922"/>
        <w:rPr>
          <w:rFonts w:eastAsia="Times New Roman"/>
        </w:rPr>
      </w:pPr>
      <w:r>
        <w:rPr>
          <w:rFonts w:eastAsia="Times New Roman"/>
          <w:b/>
          <w:bCs/>
          <w:i/>
          <w:iCs/>
          <w:color w:val="000000"/>
          <w:sz w:val="20"/>
          <w:szCs w:val="20"/>
          <w:shd w:val="clear" w:color="auto" w:fill="FFFFFF"/>
        </w:rPr>
        <w:t>Operating earnings</w:t>
      </w:r>
    </w:p>
    <w:p w:rsidR="00000000" w:rsidRDefault="00897B14">
      <w:pPr>
        <w:ind w:firstLine="360"/>
        <w:divId w:val="304042186"/>
        <w:rPr>
          <w:rFonts w:eastAsia="Times New Roman"/>
        </w:rPr>
      </w:pPr>
      <w:r>
        <w:rPr>
          <w:rFonts w:eastAsia="Times New Roman"/>
          <w:color w:val="000000"/>
          <w:sz w:val="20"/>
          <w:szCs w:val="20"/>
          <w:shd w:val="clear" w:color="auto" w:fill="FFFFFF"/>
        </w:rPr>
        <w:t xml:space="preserve">Operating earnings increased $54 million to $777 million during the </w:t>
      </w:r>
      <w:r>
        <w:rPr>
          <w:rFonts w:eastAsia="Times New Roman"/>
          <w:color w:val="000000"/>
          <w:sz w:val="20"/>
          <w:szCs w:val="20"/>
        </w:rPr>
        <w:t>six months ended June 30, 2021</w:t>
      </w:r>
      <w:r>
        <w:rPr>
          <w:rFonts w:eastAsia="Times New Roman"/>
          <w:color w:val="000000"/>
          <w:sz w:val="20"/>
          <w:szCs w:val="20"/>
          <w:shd w:val="clear" w:color="auto" w:fill="FFFFFF"/>
        </w:rPr>
        <w:t xml:space="preserve"> from $723 million in the </w:t>
      </w:r>
      <w:r>
        <w:rPr>
          <w:rFonts w:eastAsia="Times New Roman"/>
          <w:color w:val="000000"/>
          <w:sz w:val="20"/>
          <w:szCs w:val="20"/>
        </w:rPr>
        <w:t>six months ended June 30, 2020</w:t>
      </w:r>
      <w:r>
        <w:rPr>
          <w:rFonts w:eastAsia="Times New Roman"/>
          <w:color w:val="000000"/>
          <w:sz w:val="20"/>
          <w:szCs w:val="20"/>
          <w:shd w:val="clear" w:color="auto" w:fill="FFFFFF"/>
        </w:rPr>
        <w:t>. The following notable items were the primary drivers of the change in operating earnings:</w:t>
      </w:r>
    </w:p>
    <w:p w:rsidR="00000000" w:rsidRDefault="00897B14">
      <w:pPr>
        <w:divId w:val="1879926332"/>
        <w:rPr>
          <w:rFonts w:eastAsia="Times New Roman"/>
        </w:rPr>
      </w:pPr>
    </w:p>
    <w:p w:rsidR="00000000" w:rsidRDefault="00897B14">
      <w:pPr>
        <w:divId w:val="773987147"/>
        <w:rPr>
          <w:rFonts w:eastAsia="Times New Roman"/>
        </w:rPr>
      </w:pPr>
      <w:r>
        <w:rPr>
          <w:rFonts w:eastAsia="Times New Roman"/>
          <w:color w:val="000000"/>
          <w:sz w:val="20"/>
          <w:szCs w:val="20"/>
          <w:shd w:val="clear" w:color="auto" w:fill="FFFFFF"/>
        </w:rPr>
        <w:t>Favorable items included:</w:t>
      </w:r>
    </w:p>
    <w:p w:rsidR="00000000" w:rsidRDefault="00897B14">
      <w:pPr>
        <w:ind w:hanging="180"/>
        <w:divId w:val="264775835"/>
        <w:rPr>
          <w:rFonts w:eastAsia="Times New Roman"/>
        </w:rPr>
      </w:pPr>
      <w:r>
        <w:rPr>
          <w:rFonts w:eastAsia="Times New Roman"/>
          <w:color w:val="000000"/>
          <w:sz w:val="20"/>
          <w:szCs w:val="20"/>
        </w:rPr>
        <w:t>•Fee-type revenue increased by $105 million mainly due to higher average Separate Accounts AV as a result of equity market appreciation since the market lows in the first half of 2020 and inflows from our current product offering.</w:t>
      </w:r>
      <w:r>
        <w:rPr>
          <w:rFonts w:eastAsia="Times New Roman"/>
          <w:color w:val="000000"/>
          <w:sz w:val="20"/>
          <w:szCs w:val="20"/>
        </w:rPr>
        <w:t xml:space="preserve"> The increase in Fee-type revenue was partially offset by the impacts of fee-income ceded to Venerable.</w:t>
      </w:r>
    </w:p>
    <w:p w:rsidR="00000000" w:rsidRDefault="00897B14">
      <w:pPr>
        <w:ind w:hanging="180"/>
        <w:divId w:val="1134832221"/>
        <w:rPr>
          <w:rFonts w:eastAsia="Times New Roman"/>
        </w:rPr>
      </w:pPr>
      <w:r>
        <w:rPr>
          <w:rFonts w:eastAsia="Times New Roman"/>
          <w:color w:val="000000"/>
          <w:sz w:val="20"/>
          <w:szCs w:val="20"/>
        </w:rPr>
        <w:t>•Net investment income increased by $94 million mainly due to higher prepayments, higher asset balances and higher income from our alternative investmen</w:t>
      </w:r>
      <w:r>
        <w:rPr>
          <w:rFonts w:eastAsia="Times New Roman"/>
          <w:color w:val="000000"/>
          <w:sz w:val="20"/>
          <w:szCs w:val="20"/>
        </w:rPr>
        <w:t>t portfolio partially offset by the Venerable transaction.</w:t>
      </w:r>
    </w:p>
    <w:p w:rsidR="00000000" w:rsidRDefault="00897B14">
      <w:pPr>
        <w:ind w:hanging="180"/>
        <w:jc w:val="both"/>
        <w:divId w:val="911542462"/>
        <w:rPr>
          <w:rFonts w:eastAsia="Times New Roman"/>
        </w:rPr>
      </w:pPr>
      <w:r>
        <w:rPr>
          <w:rFonts w:eastAsia="Times New Roman"/>
          <w:color w:val="000000"/>
          <w:sz w:val="20"/>
          <w:szCs w:val="20"/>
        </w:rPr>
        <w:t>•Interest credited to policyholders’ account balances decreased by $28 million mainly due to the impact of equity market appreciation on our SCS product features.</w:t>
      </w:r>
    </w:p>
    <w:p w:rsidR="00000000" w:rsidRDefault="00897B14">
      <w:pPr>
        <w:divId w:val="1744059658"/>
        <w:rPr>
          <w:rFonts w:eastAsia="Times New Roman"/>
        </w:rPr>
      </w:pPr>
      <w:r>
        <w:rPr>
          <w:rFonts w:eastAsia="Times New Roman"/>
          <w:color w:val="000000"/>
          <w:sz w:val="20"/>
          <w:szCs w:val="20"/>
        </w:rPr>
        <w:t>These were partially offset by the</w:t>
      </w:r>
      <w:r>
        <w:rPr>
          <w:rFonts w:eastAsia="Times New Roman"/>
          <w:color w:val="000000"/>
          <w:sz w:val="20"/>
          <w:szCs w:val="20"/>
        </w:rPr>
        <w:t xml:space="preserve"> following unfavorable items:</w:t>
      </w:r>
    </w:p>
    <w:p w:rsidR="00000000" w:rsidRDefault="00897B14">
      <w:pPr>
        <w:ind w:hanging="180"/>
        <w:divId w:val="806973791"/>
        <w:rPr>
          <w:rFonts w:eastAsia="Times New Roman"/>
        </w:rPr>
      </w:pPr>
      <w:r>
        <w:rPr>
          <w:rFonts w:eastAsia="Times New Roman"/>
          <w:color w:val="000000"/>
          <w:sz w:val="20"/>
          <w:szCs w:val="20"/>
        </w:rPr>
        <w:t>•Net GMxB results decreased by $127 million primarily due to ongoing higher reserves resulting from assumption updates in 2020 and higher death claims, partially offset by the Venerable transaction.</w:t>
      </w:r>
    </w:p>
    <w:p w:rsidR="00000000" w:rsidRDefault="00897B14">
      <w:pPr>
        <w:ind w:hanging="180"/>
        <w:divId w:val="14616977"/>
        <w:rPr>
          <w:rFonts w:eastAsia="Times New Roman"/>
        </w:rPr>
      </w:pPr>
      <w:r>
        <w:rPr>
          <w:rFonts w:eastAsia="Times New Roman"/>
          <w:color w:val="000000"/>
          <w:sz w:val="20"/>
          <w:szCs w:val="20"/>
        </w:rPr>
        <w:t>•Commissions and distributi</w:t>
      </w:r>
      <w:r>
        <w:rPr>
          <w:rFonts w:eastAsia="Times New Roman"/>
          <w:color w:val="000000"/>
          <w:sz w:val="20"/>
          <w:szCs w:val="20"/>
        </w:rPr>
        <w:t>on-related payments increased by $24 million mainly due to higher average asset balances.</w:t>
      </w:r>
    </w:p>
    <w:p w:rsidR="00000000" w:rsidRDefault="00897B14">
      <w:pPr>
        <w:ind w:hanging="180"/>
        <w:divId w:val="234365777"/>
        <w:rPr>
          <w:rFonts w:eastAsia="Times New Roman"/>
        </w:rPr>
      </w:pPr>
      <w:r>
        <w:rPr>
          <w:rFonts w:eastAsia="Times New Roman"/>
          <w:color w:val="000000"/>
          <w:sz w:val="20"/>
          <w:szCs w:val="20"/>
        </w:rPr>
        <w:t>•Compensation, benefits and other operating costs and expenses increased by $18 million primarily due to lower legal expenses and lower investment management fees fro</w:t>
      </w:r>
      <w:r>
        <w:rPr>
          <w:rFonts w:eastAsia="Times New Roman"/>
          <w:color w:val="000000"/>
          <w:sz w:val="20"/>
          <w:szCs w:val="20"/>
        </w:rPr>
        <w:t>m lower average SA assets in 2020.</w:t>
      </w:r>
    </w:p>
    <w:p w:rsidR="00000000" w:rsidRDefault="00897B14">
      <w:pPr>
        <w:ind w:hanging="180"/>
        <w:divId w:val="1784960730"/>
        <w:rPr>
          <w:rFonts w:eastAsia="Times New Roman"/>
        </w:rPr>
      </w:pPr>
      <w:r>
        <w:rPr>
          <w:rFonts w:eastAsia="Times New Roman"/>
          <w:color w:val="000000"/>
          <w:sz w:val="20"/>
          <w:szCs w:val="20"/>
        </w:rPr>
        <w:t>•Non-GMxB related derivative gains decreased by $13 million primarily due to inflation related hedging loss, partially offset by CDS coupons.</w:t>
      </w:r>
    </w:p>
    <w:p w:rsidR="00000000" w:rsidRDefault="00897B14">
      <w:pPr>
        <w:ind w:hanging="180"/>
        <w:jc w:val="both"/>
        <w:divId w:val="495536764"/>
        <w:rPr>
          <w:rFonts w:eastAsia="Times New Roman"/>
        </w:rPr>
      </w:pPr>
      <w:r>
        <w:rPr>
          <w:rFonts w:eastAsia="Times New Roman"/>
          <w:color w:val="000000"/>
          <w:sz w:val="20"/>
          <w:szCs w:val="20"/>
        </w:rPr>
        <w:t>•Income tax expense increased by $5 million mainly driven by higher pre-tax ear</w:t>
      </w:r>
      <w:r>
        <w:rPr>
          <w:rFonts w:eastAsia="Times New Roman"/>
          <w:color w:val="000000"/>
          <w:sz w:val="20"/>
          <w:szCs w:val="20"/>
        </w:rPr>
        <w:t>nings, partially offset by a lower effective tax rate.</w:t>
      </w:r>
    </w:p>
    <w:p w:rsidR="00000000" w:rsidRDefault="00897B14">
      <w:pPr>
        <w:jc w:val="center"/>
        <w:divId w:val="473908505"/>
        <w:rPr>
          <w:rFonts w:eastAsia="Times New Roman"/>
        </w:rPr>
      </w:pPr>
      <w:r>
        <w:rPr>
          <w:rFonts w:eastAsia="Times New Roman"/>
          <w:color w:val="000000"/>
          <w:sz w:val="20"/>
          <w:szCs w:val="20"/>
        </w:rPr>
        <w:t>91</w:t>
      </w:r>
    </w:p>
    <w:p w:rsidR="00000000" w:rsidRDefault="00897B14">
      <w:pPr>
        <w:rPr>
          <w:rFonts w:eastAsia="Times New Roman"/>
        </w:rPr>
      </w:pPr>
      <w:r>
        <w:rPr>
          <w:rFonts w:eastAsia="Times New Roman"/>
        </w:rPr>
        <w:pict>
          <v:rect id="_x0000_i1117" style="width:0;height:1.5pt" o:hralign="center" o:hrstd="t" o:hr="t" fillcolor="#a0a0a0" stroked="f"/>
        </w:pict>
      </w:r>
    </w:p>
    <w:p w:rsidR="00000000" w:rsidRDefault="00897B14">
      <w:pPr>
        <w:divId w:val="143944316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both"/>
        <w:divId w:val="81873959"/>
        <w:rPr>
          <w:rFonts w:eastAsia="Times New Roman"/>
        </w:rPr>
      </w:pPr>
      <w:r>
        <w:rPr>
          <w:rFonts w:eastAsia="Times New Roman"/>
          <w:b/>
          <w:bCs/>
          <w:i/>
          <w:iCs/>
          <w:color w:val="000000"/>
          <w:sz w:val="20"/>
          <w:szCs w:val="20"/>
        </w:rPr>
        <w:t>Net Flows and AV</w:t>
      </w:r>
    </w:p>
    <w:p w:rsidR="00000000" w:rsidRDefault="00897B14">
      <w:pPr>
        <w:ind w:hanging="180"/>
        <w:divId w:val="177358237"/>
        <w:rPr>
          <w:rFonts w:eastAsia="Times New Roman"/>
        </w:rPr>
      </w:pPr>
      <w:r>
        <w:rPr>
          <w:rFonts w:eastAsia="Times New Roman"/>
          <w:color w:val="000000"/>
          <w:sz w:val="20"/>
          <w:szCs w:val="20"/>
        </w:rPr>
        <w:t xml:space="preserve">•The decline in AV of $9.0 billion in the six months ended June 30, </w:t>
      </w:r>
      <w:r>
        <w:rPr>
          <w:rFonts w:eastAsia="Times New Roman"/>
          <w:color w:val="000000"/>
          <w:sz w:val="20"/>
          <w:szCs w:val="20"/>
        </w:rPr>
        <w:t>2021 was driven by $16.9 billion of AV ceded to Venerable and net outflows of $694 million partially offset by an increase in investments performance and interest credited to account balances, net of policy charges of $8.6 billion as a result of equity mar</w:t>
      </w:r>
      <w:r>
        <w:rPr>
          <w:rFonts w:eastAsia="Times New Roman"/>
          <w:color w:val="000000"/>
          <w:sz w:val="20"/>
          <w:szCs w:val="20"/>
        </w:rPr>
        <w:t>ket appreciation during the first half of 2021.</w:t>
      </w:r>
    </w:p>
    <w:p w:rsidR="00000000" w:rsidRDefault="00897B14">
      <w:pPr>
        <w:ind w:hanging="180"/>
        <w:jc w:val="both"/>
        <w:divId w:val="1110663763"/>
        <w:rPr>
          <w:rFonts w:eastAsia="Times New Roman"/>
        </w:rPr>
      </w:pPr>
      <w:r>
        <w:rPr>
          <w:rFonts w:eastAsia="Times New Roman"/>
          <w:color w:val="000000"/>
          <w:sz w:val="20"/>
          <w:szCs w:val="20"/>
        </w:rPr>
        <w:t>•Net outflows of $694 million were $321 million higher than in the six months ended June 30, 2020, mainly driven by $2.0 billion of outflows on our older fixed-rate GMxB block, partially offset by $1.3 billio</w:t>
      </w:r>
      <w:r>
        <w:rPr>
          <w:rFonts w:eastAsia="Times New Roman"/>
          <w:color w:val="000000"/>
          <w:sz w:val="20"/>
          <w:szCs w:val="20"/>
        </w:rPr>
        <w:t>n of inflows on our newer, less capital-intensive products.</w:t>
      </w:r>
    </w:p>
    <w:p w:rsidR="00000000" w:rsidRDefault="00897B14">
      <w:pPr>
        <w:divId w:val="803544310"/>
        <w:rPr>
          <w:rFonts w:eastAsia="Times New Roman"/>
        </w:rPr>
      </w:pPr>
      <w:r>
        <w:rPr>
          <w:rFonts w:eastAsia="Times New Roman"/>
          <w:b/>
          <w:bCs/>
          <w:color w:val="000000"/>
          <w:sz w:val="20"/>
          <w:szCs w:val="20"/>
        </w:rPr>
        <w:t>Group Retirement</w:t>
      </w:r>
    </w:p>
    <w:p w:rsidR="00000000" w:rsidRDefault="00897B14">
      <w:pPr>
        <w:ind w:firstLine="360"/>
        <w:divId w:val="193735754"/>
        <w:rPr>
          <w:rFonts w:eastAsia="Times New Roman"/>
        </w:rPr>
      </w:pP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medium-sized businesses.</w:t>
      </w:r>
    </w:p>
    <w:p w:rsidR="00000000" w:rsidRDefault="00897B14">
      <w:pPr>
        <w:ind w:firstLine="360"/>
        <w:divId w:val="672953251"/>
        <w:rPr>
          <w:rFonts w:eastAsia="Times New Roman"/>
        </w:rPr>
      </w:pPr>
      <w:r>
        <w:rPr>
          <w:rFonts w:eastAsia="Times New Roman"/>
          <w:color w:val="000000"/>
          <w:sz w:val="20"/>
          <w:szCs w:val="20"/>
        </w:rPr>
        <w:t>The following table summar</w:t>
      </w:r>
      <w:r>
        <w:rPr>
          <w:rFonts w:eastAsia="Times New Roman"/>
          <w:color w:val="000000"/>
          <w:sz w:val="20"/>
          <w:szCs w:val="20"/>
        </w:rPr>
        <w:t>izes operating earnings of our Group Retirement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084"/>
        <w:gridCol w:w="36"/>
        <w:gridCol w:w="120"/>
        <w:gridCol w:w="692"/>
        <w:gridCol w:w="36"/>
        <w:gridCol w:w="36"/>
        <w:gridCol w:w="36"/>
        <w:gridCol w:w="36"/>
        <w:gridCol w:w="120"/>
        <w:gridCol w:w="692"/>
        <w:gridCol w:w="36"/>
        <w:gridCol w:w="120"/>
        <w:gridCol w:w="880"/>
        <w:gridCol w:w="36"/>
        <w:gridCol w:w="36"/>
        <w:gridCol w:w="36"/>
        <w:gridCol w:w="36"/>
        <w:gridCol w:w="120"/>
        <w:gridCol w:w="829"/>
        <w:gridCol w:w="36"/>
        <w:gridCol w:w="36"/>
        <w:gridCol w:w="36"/>
        <w:gridCol w:w="36"/>
        <w:gridCol w:w="36"/>
        <w:gridCol w:w="36"/>
        <w:gridCol w:w="36"/>
      </w:tblGrid>
      <w:tr w:rsidR="00000000">
        <w:trPr>
          <w:divId w:val="2056853612"/>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5685361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56853612"/>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5685361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5685361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683780494"/>
        <w:rPr>
          <w:rFonts w:eastAsia="Times New Roman"/>
        </w:rPr>
      </w:pPr>
    </w:p>
    <w:p w:rsidR="00000000" w:rsidRDefault="00897B14">
      <w:pPr>
        <w:ind w:firstLine="360"/>
        <w:divId w:val="894699264"/>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083"/>
        <w:gridCol w:w="37"/>
        <w:gridCol w:w="120"/>
        <w:gridCol w:w="692"/>
        <w:gridCol w:w="36"/>
        <w:gridCol w:w="36"/>
        <w:gridCol w:w="36"/>
        <w:gridCol w:w="36"/>
        <w:gridCol w:w="120"/>
        <w:gridCol w:w="692"/>
        <w:gridCol w:w="36"/>
        <w:gridCol w:w="120"/>
        <w:gridCol w:w="880"/>
        <w:gridCol w:w="36"/>
        <w:gridCol w:w="36"/>
        <w:gridCol w:w="36"/>
        <w:gridCol w:w="36"/>
        <w:gridCol w:w="120"/>
        <w:gridCol w:w="828"/>
        <w:gridCol w:w="36"/>
        <w:gridCol w:w="36"/>
        <w:gridCol w:w="36"/>
        <w:gridCol w:w="36"/>
        <w:gridCol w:w="36"/>
        <w:gridCol w:w="36"/>
        <w:gridCol w:w="36"/>
      </w:tblGrid>
      <w:tr w:rsidR="00000000">
        <w:trPr>
          <w:divId w:val="176694733"/>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Commissions and distribution-related payments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76694733"/>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firstLine="360"/>
        <w:divId w:val="854225953"/>
        <w:rPr>
          <w:rFonts w:eastAsia="Times New Roman"/>
        </w:rPr>
      </w:pPr>
      <w:r>
        <w:rPr>
          <w:rFonts w:eastAsia="Times New Roman"/>
          <w:color w:val="000000"/>
          <w:sz w:val="20"/>
          <w:szCs w:val="20"/>
        </w:rPr>
        <w:t>The following table summarizes AV for our Group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45"/>
        <w:gridCol w:w="37"/>
        <w:gridCol w:w="120"/>
        <w:gridCol w:w="943"/>
        <w:gridCol w:w="36"/>
        <w:gridCol w:w="36"/>
        <w:gridCol w:w="36"/>
        <w:gridCol w:w="36"/>
        <w:gridCol w:w="120"/>
        <w:gridCol w:w="906"/>
        <w:gridCol w:w="36"/>
        <w:gridCol w:w="36"/>
        <w:gridCol w:w="36"/>
        <w:gridCol w:w="36"/>
        <w:gridCol w:w="36"/>
        <w:gridCol w:w="36"/>
        <w:gridCol w:w="36"/>
      </w:tblGrid>
      <w:tr w:rsidR="00000000">
        <w:trPr>
          <w:divId w:val="1668512413"/>
        </w:trPr>
        <w:tc>
          <w:tcPr>
            <w:tcW w:w="50" w:type="pct"/>
            <w:vAlign w:val="center"/>
            <w:hideMark/>
          </w:tcPr>
          <w:p w:rsidR="00000000" w:rsidRDefault="00897B14">
            <w:pPr>
              <w:ind w:firstLine="360"/>
              <w:rPr>
                <w:rFonts w:eastAsia="Times New Roman"/>
              </w:rPr>
            </w:pPr>
          </w:p>
        </w:tc>
        <w:tc>
          <w:tcPr>
            <w:tcW w:w="35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12,826 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32,940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29,633 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668512413"/>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45,923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42,459 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divId w:val="372313917"/>
        <w:rPr>
          <w:rFonts w:eastAsia="Times New Roman"/>
        </w:rPr>
      </w:pPr>
      <w:r>
        <w:rPr>
          <w:rFonts w:eastAsia="Times New Roman"/>
          <w:color w:val="000000"/>
          <w:sz w:val="20"/>
          <w:szCs w:val="20"/>
        </w:rPr>
        <w:t>92</w:t>
      </w:r>
    </w:p>
    <w:p w:rsidR="00000000" w:rsidRDefault="00897B14">
      <w:pPr>
        <w:rPr>
          <w:rFonts w:eastAsia="Times New Roman"/>
        </w:rPr>
      </w:pPr>
      <w:r>
        <w:rPr>
          <w:rFonts w:eastAsia="Times New Roman"/>
        </w:rPr>
        <w:pict>
          <v:rect id="_x0000_i1118" style="width:0;height:1.5pt" o:hralign="center" o:hrstd="t" o:hr="t" fillcolor="#a0a0a0" stroked="f"/>
        </w:pict>
      </w:r>
    </w:p>
    <w:p w:rsidR="00000000" w:rsidRDefault="00897B14">
      <w:pPr>
        <w:divId w:val="82084669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994795009"/>
        <w:rPr>
          <w:rFonts w:eastAsia="Times New Roman"/>
        </w:rPr>
      </w:pPr>
    </w:p>
    <w:p w:rsidR="00000000" w:rsidRDefault="00897B14">
      <w:pPr>
        <w:ind w:firstLine="360"/>
        <w:divId w:val="1206134915"/>
        <w:rPr>
          <w:rFonts w:eastAsia="Times New Roman"/>
        </w:rPr>
      </w:pPr>
      <w:r>
        <w:rPr>
          <w:rFonts w:eastAsia="Times New Roman"/>
          <w:color w:val="000000"/>
          <w:sz w:val="20"/>
          <w:szCs w:val="20"/>
        </w:rPr>
        <w:t>The following table summarizes a roll-forward of AV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079"/>
        <w:gridCol w:w="39"/>
        <w:gridCol w:w="120"/>
        <w:gridCol w:w="692"/>
        <w:gridCol w:w="36"/>
        <w:gridCol w:w="36"/>
        <w:gridCol w:w="36"/>
        <w:gridCol w:w="36"/>
        <w:gridCol w:w="120"/>
        <w:gridCol w:w="692"/>
        <w:gridCol w:w="36"/>
        <w:gridCol w:w="120"/>
        <w:gridCol w:w="880"/>
        <w:gridCol w:w="36"/>
        <w:gridCol w:w="36"/>
        <w:gridCol w:w="36"/>
        <w:gridCol w:w="36"/>
        <w:gridCol w:w="120"/>
        <w:gridCol w:w="828"/>
        <w:gridCol w:w="36"/>
        <w:gridCol w:w="36"/>
        <w:gridCol w:w="36"/>
        <w:gridCol w:w="36"/>
        <w:gridCol w:w="36"/>
        <w:gridCol w:w="36"/>
        <w:gridCol w:w="36"/>
      </w:tblGrid>
      <w:tr w:rsidR="00000000">
        <w:trPr>
          <w:divId w:val="324747382"/>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43,950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33,148 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37,880 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shd w:val="clear" w:color="auto" w:fill="FFFFFF"/>
            <w:tcMar>
              <w:top w:w="30" w:type="dxa"/>
              <w:left w:w="15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Gross premiums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796 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1,721 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(1,816)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(1,377)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flows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performance, interest credited and policy charges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3,726 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(1,134)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Other (1) </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32474738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45,923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37,090 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45,923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37,090 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403725471"/>
        <w:rPr>
          <w:rFonts w:eastAsia="Times New Roman"/>
        </w:rPr>
      </w:pPr>
      <w:r>
        <w:rPr>
          <w:rFonts w:eastAsia="Times New Roman"/>
          <w:color w:val="000000"/>
          <w:sz w:val="18"/>
          <w:szCs w:val="18"/>
        </w:rPr>
        <w:t>____________</w:t>
      </w:r>
    </w:p>
    <w:p w:rsidR="00000000" w:rsidRDefault="00897B14">
      <w:pPr>
        <w:ind w:hanging="360"/>
        <w:divId w:val="1957910421"/>
        <w:rPr>
          <w:rFonts w:eastAsia="Times New Roman"/>
        </w:rPr>
      </w:pPr>
      <w:r>
        <w:rPr>
          <w:rFonts w:eastAsia="Times New Roman"/>
          <w:color w:val="000000"/>
          <w:sz w:val="18"/>
          <w:szCs w:val="18"/>
        </w:rPr>
        <w:t xml:space="preserve">(1) For the three and six months ended June 30, 2021, amounts reflect </w:t>
      </w:r>
      <w:r>
        <w:rPr>
          <w:rFonts w:eastAsia="Times New Roman"/>
          <w:color w:val="000000"/>
          <w:sz w:val="18"/>
          <w:szCs w:val="18"/>
        </w:rPr>
        <w:t>AV transfer of GMxB closed block business from GR to IR.</w:t>
      </w:r>
    </w:p>
    <w:p w:rsidR="00000000" w:rsidRDefault="00897B14">
      <w:pPr>
        <w:divId w:val="534273591"/>
        <w:rPr>
          <w:rFonts w:eastAsia="Times New Roman"/>
        </w:rPr>
      </w:pPr>
    </w:p>
    <w:p w:rsidR="00000000" w:rsidRDefault="00897B14">
      <w:pPr>
        <w:divId w:val="451480759"/>
        <w:rPr>
          <w:rFonts w:eastAsia="Times New Roman"/>
        </w:rPr>
      </w:pPr>
      <w:r>
        <w:rPr>
          <w:rFonts w:eastAsia="Times New Roman"/>
          <w:b/>
          <w:bCs/>
          <w:color w:val="000000"/>
          <w:sz w:val="20"/>
          <w:szCs w:val="20"/>
        </w:rPr>
        <w:t>Three Months Ended June 30, 2021 Compared to the Three Months Ended June 30, 2020 for the Group Retirement Segment</w:t>
      </w:r>
    </w:p>
    <w:p w:rsidR="00000000" w:rsidRDefault="00897B14">
      <w:pPr>
        <w:jc w:val="both"/>
        <w:divId w:val="1662466852"/>
        <w:rPr>
          <w:rFonts w:eastAsia="Times New Roman"/>
        </w:rPr>
      </w:pPr>
      <w:r>
        <w:rPr>
          <w:rFonts w:eastAsia="Times New Roman"/>
          <w:b/>
          <w:bCs/>
          <w:i/>
          <w:iCs/>
          <w:color w:val="000000"/>
          <w:sz w:val="20"/>
          <w:szCs w:val="20"/>
        </w:rPr>
        <w:t>Operating earnings</w:t>
      </w:r>
    </w:p>
    <w:p w:rsidR="00000000" w:rsidRDefault="00897B14">
      <w:pPr>
        <w:ind w:firstLine="360"/>
        <w:divId w:val="1663435366"/>
        <w:rPr>
          <w:rFonts w:eastAsia="Times New Roman"/>
        </w:rPr>
      </w:pPr>
      <w:r>
        <w:rPr>
          <w:rFonts w:eastAsia="Times New Roman"/>
          <w:color w:val="000000"/>
          <w:sz w:val="20"/>
          <w:szCs w:val="20"/>
        </w:rPr>
        <w:t>Operating earnings increased $81 million to $171 million during the three months ended June 30, 2021 from $90 million in the three months ended June 30, 2020. The following notable items were the primary drivers of the change in operating earnings:</w:t>
      </w:r>
    </w:p>
    <w:p w:rsidR="00000000" w:rsidRDefault="00897B14">
      <w:pPr>
        <w:ind w:firstLine="360"/>
        <w:divId w:val="296961693"/>
        <w:rPr>
          <w:rFonts w:eastAsia="Times New Roman"/>
        </w:rPr>
      </w:pPr>
      <w:r>
        <w:rPr>
          <w:rFonts w:eastAsia="Times New Roman"/>
          <w:color w:val="000000"/>
          <w:sz w:val="20"/>
          <w:szCs w:val="20"/>
        </w:rPr>
        <w:t>Favorab</w:t>
      </w:r>
      <w:r>
        <w:rPr>
          <w:rFonts w:eastAsia="Times New Roman"/>
          <w:color w:val="000000"/>
          <w:sz w:val="20"/>
          <w:szCs w:val="20"/>
        </w:rPr>
        <w:t>le items included:</w:t>
      </w:r>
    </w:p>
    <w:p w:rsidR="00000000" w:rsidRDefault="00897B14">
      <w:pPr>
        <w:ind w:hanging="360"/>
        <w:divId w:val="537158550"/>
        <w:rPr>
          <w:rFonts w:eastAsia="Times New Roman"/>
        </w:rPr>
      </w:pPr>
      <w:r>
        <w:rPr>
          <w:rFonts w:eastAsia="Times New Roman"/>
          <w:color w:val="000000"/>
          <w:sz w:val="20"/>
          <w:szCs w:val="20"/>
        </w:rPr>
        <w:t xml:space="preserve">•Net investment income increased by $68 million due to </w:t>
      </w:r>
      <w:r>
        <w:rPr>
          <w:rFonts w:eastAsia="Times New Roman"/>
          <w:color w:val="000000"/>
          <w:sz w:val="20"/>
          <w:szCs w:val="20"/>
          <w:shd w:val="clear" w:color="auto" w:fill="FFFFFF"/>
        </w:rPr>
        <w:t>higher asset balances, General Account portfolio optimization, prepayments and higher income from our alternative investment portfolio.</w:t>
      </w:r>
    </w:p>
    <w:p w:rsidR="00000000" w:rsidRDefault="00897B14">
      <w:pPr>
        <w:ind w:hanging="360"/>
        <w:divId w:val="661158889"/>
        <w:rPr>
          <w:rFonts w:eastAsia="Times New Roman"/>
        </w:rPr>
      </w:pPr>
      <w:r>
        <w:rPr>
          <w:rFonts w:eastAsia="Times New Roman"/>
          <w:color w:val="000000"/>
          <w:sz w:val="20"/>
          <w:szCs w:val="20"/>
        </w:rPr>
        <w:t>•Fee-type revenue increased by $41 million due</w:t>
      </w:r>
      <w:r>
        <w:rPr>
          <w:rFonts w:eastAsia="Times New Roman"/>
          <w:color w:val="000000"/>
          <w:sz w:val="20"/>
          <w:szCs w:val="20"/>
        </w:rPr>
        <w:t xml:space="preserve"> to higher average Separate Accounts AV, driven by equity market appreciation.</w:t>
      </w:r>
    </w:p>
    <w:p w:rsidR="00000000" w:rsidRDefault="00897B14">
      <w:pPr>
        <w:ind w:hanging="360"/>
        <w:jc w:val="both"/>
        <w:divId w:val="1286155621"/>
        <w:rPr>
          <w:rFonts w:eastAsia="Times New Roman"/>
        </w:rPr>
      </w:pPr>
      <w:r>
        <w:rPr>
          <w:rFonts w:eastAsia="Times New Roman"/>
          <w:color w:val="000000"/>
          <w:sz w:val="20"/>
          <w:szCs w:val="20"/>
        </w:rPr>
        <w:t>•Compensation, benefits and other operating costs and expenses decreased by $7 million mainly due to continued expense management.</w:t>
      </w:r>
    </w:p>
    <w:p w:rsidR="00000000" w:rsidRDefault="00897B14">
      <w:pPr>
        <w:ind w:firstLine="360"/>
        <w:divId w:val="339234008"/>
        <w:rPr>
          <w:rFonts w:eastAsia="Times New Roman"/>
        </w:rPr>
      </w:pPr>
      <w:r>
        <w:rPr>
          <w:rFonts w:eastAsia="Times New Roman"/>
          <w:color w:val="000000"/>
          <w:sz w:val="20"/>
          <w:szCs w:val="20"/>
        </w:rPr>
        <w:t>These were partially offset by the following u</w:t>
      </w:r>
      <w:r>
        <w:rPr>
          <w:rFonts w:eastAsia="Times New Roman"/>
          <w:color w:val="000000"/>
          <w:sz w:val="20"/>
          <w:szCs w:val="20"/>
        </w:rPr>
        <w:t>nfavorable items:</w:t>
      </w:r>
    </w:p>
    <w:p w:rsidR="00000000" w:rsidRDefault="00897B14">
      <w:pPr>
        <w:ind w:hanging="360"/>
        <w:divId w:val="236015872"/>
        <w:rPr>
          <w:rFonts w:eastAsia="Times New Roman"/>
        </w:rPr>
      </w:pPr>
      <w:r>
        <w:rPr>
          <w:rFonts w:eastAsia="Times New Roman"/>
          <w:color w:val="000000"/>
          <w:sz w:val="20"/>
          <w:szCs w:val="20"/>
        </w:rPr>
        <w:t>•Net derivative gains decreased by $9 million mainly due to inflation related hedging loss, partially offset by CDS coupons.</w:t>
      </w:r>
    </w:p>
    <w:p w:rsidR="00000000" w:rsidRDefault="00897B14">
      <w:pPr>
        <w:ind w:hanging="360"/>
        <w:divId w:val="326400934"/>
        <w:rPr>
          <w:rFonts w:eastAsia="Times New Roman"/>
        </w:rPr>
      </w:pPr>
      <w:r>
        <w:rPr>
          <w:rFonts w:eastAsia="Times New Roman"/>
          <w:color w:val="000000"/>
          <w:sz w:val="20"/>
          <w:szCs w:val="20"/>
        </w:rPr>
        <w:t>•Amortization of DAC increased by $6 million mainly due to the favorable impact in second quarter 2020 from lower</w:t>
      </w:r>
      <w:r>
        <w:rPr>
          <w:rFonts w:eastAsia="Times New Roman"/>
          <w:color w:val="000000"/>
          <w:sz w:val="20"/>
          <w:szCs w:val="20"/>
        </w:rPr>
        <w:t xml:space="preserve"> crediting rates.</w:t>
      </w:r>
    </w:p>
    <w:p w:rsidR="00000000" w:rsidRDefault="00897B14">
      <w:pPr>
        <w:ind w:hanging="360"/>
        <w:divId w:val="1033699476"/>
        <w:rPr>
          <w:rFonts w:eastAsia="Times New Roman"/>
        </w:rPr>
      </w:pPr>
      <w:r>
        <w:rPr>
          <w:rFonts w:eastAsia="Times New Roman"/>
          <w:color w:val="000000"/>
          <w:sz w:val="20"/>
          <w:szCs w:val="20"/>
        </w:rPr>
        <w:t>•Commissions and distribution related payments increased by $3 million mainly due to a higher asset base.</w:t>
      </w:r>
    </w:p>
    <w:p w:rsidR="00000000" w:rsidRDefault="00897B14">
      <w:pPr>
        <w:ind w:hanging="360"/>
        <w:jc w:val="both"/>
        <w:divId w:val="1172913066"/>
        <w:rPr>
          <w:rFonts w:eastAsia="Times New Roman"/>
        </w:rPr>
      </w:pPr>
      <w:r>
        <w:rPr>
          <w:rFonts w:eastAsia="Times New Roman"/>
          <w:color w:val="000000"/>
          <w:sz w:val="20"/>
          <w:szCs w:val="20"/>
        </w:rPr>
        <w:t>•Income tax expense increased by $17 million due to higher pre-tax earnings, partially offset by a lower effective tax rate.</w:t>
      </w:r>
    </w:p>
    <w:p w:rsidR="00000000" w:rsidRDefault="00897B14">
      <w:pPr>
        <w:ind w:firstLine="360"/>
        <w:divId w:val="2028016693"/>
        <w:rPr>
          <w:rFonts w:eastAsia="Times New Roman"/>
        </w:rPr>
      </w:pPr>
      <w:r>
        <w:rPr>
          <w:rFonts w:eastAsia="Times New Roman"/>
          <w:color w:val="000000"/>
          <w:sz w:val="20"/>
          <w:szCs w:val="20"/>
        </w:rPr>
        <w:t>See “—S</w:t>
      </w:r>
      <w:r>
        <w:rPr>
          <w:rFonts w:eastAsia="Times New Roman"/>
          <w:color w:val="000000"/>
          <w:sz w:val="20"/>
          <w:szCs w:val="20"/>
        </w:rPr>
        <w:t xml:space="preserve">ignificant Factors Impacting Our Results—Assumption Updates and Model Changes” for more information regarding assumption updates. </w:t>
      </w:r>
    </w:p>
    <w:p w:rsidR="00000000" w:rsidRDefault="00897B14">
      <w:pPr>
        <w:jc w:val="both"/>
        <w:divId w:val="918905206"/>
        <w:rPr>
          <w:rFonts w:eastAsia="Times New Roman"/>
        </w:rPr>
      </w:pPr>
      <w:r>
        <w:rPr>
          <w:rFonts w:eastAsia="Times New Roman"/>
          <w:b/>
          <w:bCs/>
          <w:i/>
          <w:iCs/>
          <w:color w:val="000000"/>
          <w:sz w:val="20"/>
          <w:szCs w:val="20"/>
        </w:rPr>
        <w:t>Net Flows and AV</w:t>
      </w:r>
    </w:p>
    <w:p w:rsidR="00000000" w:rsidRDefault="00897B14">
      <w:pPr>
        <w:ind w:hanging="360"/>
        <w:jc w:val="both"/>
        <w:divId w:val="36664855"/>
        <w:rPr>
          <w:rFonts w:eastAsia="Times New Roman"/>
        </w:rPr>
      </w:pPr>
      <w:r>
        <w:rPr>
          <w:rFonts w:eastAsia="Times New Roman"/>
          <w:color w:val="000000"/>
          <w:sz w:val="20"/>
          <w:szCs w:val="20"/>
        </w:rPr>
        <w:t>•The increase in AV of $2.0 billion in the three months ended June 30, 2021 was driven by strong equity mark</w:t>
      </w:r>
      <w:r>
        <w:rPr>
          <w:rFonts w:eastAsia="Times New Roman"/>
          <w:color w:val="000000"/>
          <w:sz w:val="20"/>
          <w:szCs w:val="20"/>
        </w:rPr>
        <w:t>ets and net inflows of $68 million.</w:t>
      </w:r>
    </w:p>
    <w:p w:rsidR="00000000" w:rsidRDefault="00897B14">
      <w:pPr>
        <w:ind w:hanging="360"/>
        <w:divId w:val="1982729472"/>
        <w:rPr>
          <w:rFonts w:eastAsia="Times New Roman"/>
        </w:rPr>
      </w:pPr>
      <w:r>
        <w:rPr>
          <w:rFonts w:eastAsia="Times New Roman"/>
          <w:color w:val="000000"/>
          <w:sz w:val="20"/>
          <w:szCs w:val="20"/>
        </w:rPr>
        <w:t>•Net inflows of $68 million decreased $148 million, due to higher surrender activity, partially offset by higher sales and renewals overall.</w:t>
      </w:r>
    </w:p>
    <w:p w:rsidR="00000000" w:rsidRDefault="00897B14">
      <w:pPr>
        <w:jc w:val="center"/>
        <w:divId w:val="1270046229"/>
        <w:rPr>
          <w:rFonts w:eastAsia="Times New Roman"/>
        </w:rPr>
      </w:pPr>
      <w:r>
        <w:rPr>
          <w:rFonts w:eastAsia="Times New Roman"/>
          <w:color w:val="000000"/>
          <w:sz w:val="20"/>
          <w:szCs w:val="20"/>
        </w:rPr>
        <w:t>93</w:t>
      </w:r>
    </w:p>
    <w:p w:rsidR="00000000" w:rsidRDefault="00897B14">
      <w:pPr>
        <w:rPr>
          <w:rFonts w:eastAsia="Times New Roman"/>
        </w:rPr>
      </w:pPr>
      <w:r>
        <w:rPr>
          <w:rFonts w:eastAsia="Times New Roman"/>
        </w:rPr>
        <w:pict>
          <v:rect id="_x0000_i1119" style="width:0;height:1.5pt" o:hralign="center" o:hrstd="t" o:hr="t" fillcolor="#a0a0a0" stroked="f"/>
        </w:pict>
      </w:r>
    </w:p>
    <w:p w:rsidR="00000000" w:rsidRDefault="00897B14">
      <w:pPr>
        <w:divId w:val="896167594"/>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849446539"/>
        <w:rPr>
          <w:rFonts w:eastAsia="Times New Roman"/>
        </w:rPr>
      </w:pPr>
      <w:r>
        <w:rPr>
          <w:rFonts w:eastAsia="Times New Roman"/>
          <w:b/>
          <w:bCs/>
          <w:color w:val="000000"/>
          <w:sz w:val="20"/>
          <w:szCs w:val="20"/>
        </w:rPr>
        <w:t>Six Months Ended June 30, 2021 Compared to the Six Months Ended June 30, 2020 for the Group Retirement Segment</w:t>
      </w:r>
    </w:p>
    <w:p w:rsidR="00000000" w:rsidRDefault="00897B14">
      <w:pPr>
        <w:jc w:val="both"/>
        <w:divId w:val="2146966067"/>
        <w:rPr>
          <w:rFonts w:eastAsia="Times New Roman"/>
        </w:rPr>
      </w:pPr>
      <w:r>
        <w:rPr>
          <w:rFonts w:eastAsia="Times New Roman"/>
          <w:b/>
          <w:bCs/>
          <w:i/>
          <w:iCs/>
          <w:color w:val="000000"/>
          <w:sz w:val="20"/>
          <w:szCs w:val="20"/>
        </w:rPr>
        <w:t>Operating earnings</w:t>
      </w:r>
    </w:p>
    <w:p w:rsidR="00000000" w:rsidRDefault="00897B14">
      <w:pPr>
        <w:ind w:firstLine="360"/>
        <w:divId w:val="801768282"/>
        <w:rPr>
          <w:rFonts w:eastAsia="Times New Roman"/>
        </w:rPr>
      </w:pPr>
      <w:r>
        <w:rPr>
          <w:rFonts w:eastAsia="Times New Roman"/>
          <w:color w:val="000000"/>
          <w:sz w:val="20"/>
          <w:szCs w:val="20"/>
        </w:rPr>
        <w:t>Operating earnings increased $126 million to $322 million during the six months ended Jun</w:t>
      </w:r>
      <w:r>
        <w:rPr>
          <w:rFonts w:eastAsia="Times New Roman"/>
          <w:color w:val="000000"/>
          <w:sz w:val="20"/>
          <w:szCs w:val="20"/>
        </w:rPr>
        <w:t>e 30, 2021 from $196 million during the six months ended June 30, 2020. The following notable items were the primary drivers of the change in operating earnings:</w:t>
      </w:r>
    </w:p>
    <w:p w:rsidR="00000000" w:rsidRDefault="00897B14">
      <w:pPr>
        <w:divId w:val="721557761"/>
        <w:rPr>
          <w:rFonts w:eastAsia="Times New Roman"/>
        </w:rPr>
      </w:pPr>
      <w:r>
        <w:rPr>
          <w:rFonts w:eastAsia="Times New Roman"/>
          <w:color w:val="000000"/>
          <w:sz w:val="20"/>
          <w:szCs w:val="20"/>
        </w:rPr>
        <w:t>Favorable items included:</w:t>
      </w:r>
    </w:p>
    <w:p w:rsidR="00000000" w:rsidRDefault="00897B14">
      <w:pPr>
        <w:divId w:val="1334144609"/>
        <w:rPr>
          <w:rFonts w:eastAsia="Times New Roman"/>
        </w:rPr>
      </w:pPr>
    </w:p>
    <w:p w:rsidR="00000000" w:rsidRDefault="00897B14">
      <w:pPr>
        <w:ind w:hanging="360"/>
        <w:divId w:val="920141626"/>
        <w:rPr>
          <w:rFonts w:eastAsia="Times New Roman"/>
        </w:rPr>
      </w:pPr>
      <w:r>
        <w:rPr>
          <w:rFonts w:eastAsia="Times New Roman"/>
          <w:color w:val="000000"/>
          <w:sz w:val="20"/>
          <w:szCs w:val="20"/>
        </w:rPr>
        <w:t xml:space="preserve">•Net investment income increased by $89 million due to </w:t>
      </w:r>
      <w:r>
        <w:rPr>
          <w:rFonts w:eastAsia="Times New Roman"/>
          <w:color w:val="000000"/>
          <w:sz w:val="20"/>
          <w:szCs w:val="20"/>
          <w:shd w:val="clear" w:color="auto" w:fill="FFFFFF"/>
        </w:rPr>
        <w:t>higher asse</w:t>
      </w:r>
      <w:r>
        <w:rPr>
          <w:rFonts w:eastAsia="Times New Roman"/>
          <w:color w:val="000000"/>
          <w:sz w:val="20"/>
          <w:szCs w:val="20"/>
          <w:shd w:val="clear" w:color="auto" w:fill="FFFFFF"/>
        </w:rPr>
        <w:t>t balances, General Account portfolio optimization, prepayments and higher income from our alternative investment portfolio.</w:t>
      </w:r>
    </w:p>
    <w:p w:rsidR="00000000" w:rsidRDefault="00897B14">
      <w:pPr>
        <w:ind w:hanging="360"/>
        <w:divId w:val="501553048"/>
        <w:rPr>
          <w:rFonts w:eastAsia="Times New Roman"/>
        </w:rPr>
      </w:pPr>
      <w:r>
        <w:rPr>
          <w:rFonts w:eastAsia="Times New Roman"/>
          <w:color w:val="000000"/>
          <w:sz w:val="20"/>
          <w:szCs w:val="20"/>
        </w:rPr>
        <w:t>•Fee-type revenue increased by $67 million due to higher average Separate Accounts AV, driven by equity market appreciation.</w:t>
      </w:r>
    </w:p>
    <w:p w:rsidR="00000000" w:rsidRDefault="00897B14">
      <w:pPr>
        <w:ind w:hanging="360"/>
        <w:jc w:val="both"/>
        <w:divId w:val="758719106"/>
        <w:rPr>
          <w:rFonts w:eastAsia="Times New Roman"/>
        </w:rPr>
      </w:pPr>
      <w:r>
        <w:rPr>
          <w:rFonts w:eastAsia="Times New Roman"/>
          <w:color w:val="000000"/>
          <w:sz w:val="20"/>
          <w:szCs w:val="20"/>
        </w:rPr>
        <w:t>•</w:t>
      </w:r>
      <w:r>
        <w:rPr>
          <w:rFonts w:eastAsia="Times New Roman"/>
          <w:color w:val="000000"/>
          <w:sz w:val="20"/>
          <w:szCs w:val="20"/>
        </w:rPr>
        <w:t xml:space="preserve">Compensation, benefits and other operating costs and expenses decreased by $6 million mainly due to continued expense management. </w:t>
      </w:r>
    </w:p>
    <w:p w:rsidR="00000000" w:rsidRDefault="00897B14">
      <w:pPr>
        <w:ind w:firstLine="360"/>
        <w:divId w:val="1895383738"/>
        <w:rPr>
          <w:rFonts w:eastAsia="Times New Roman"/>
        </w:rPr>
      </w:pPr>
      <w:r>
        <w:rPr>
          <w:rFonts w:eastAsia="Times New Roman"/>
          <w:color w:val="000000"/>
          <w:sz w:val="20"/>
          <w:szCs w:val="20"/>
        </w:rPr>
        <w:t>These were partially offset by the following unfavorable items:</w:t>
      </w:r>
    </w:p>
    <w:p w:rsidR="00000000" w:rsidRDefault="00897B14">
      <w:pPr>
        <w:ind w:hanging="360"/>
        <w:divId w:val="1954090044"/>
        <w:rPr>
          <w:rFonts w:eastAsia="Times New Roman"/>
        </w:rPr>
      </w:pPr>
      <w:r>
        <w:rPr>
          <w:rFonts w:eastAsia="Times New Roman"/>
          <w:color w:val="000000"/>
          <w:sz w:val="20"/>
          <w:szCs w:val="20"/>
        </w:rPr>
        <w:t>•Net derivative gains decreased by $9 million due to inflation related hedging loss, partially offset by CDS coupons.</w:t>
      </w:r>
    </w:p>
    <w:p w:rsidR="00000000" w:rsidRDefault="00897B14">
      <w:pPr>
        <w:ind w:hanging="360"/>
        <w:divId w:val="1481464997"/>
        <w:rPr>
          <w:rFonts w:eastAsia="Times New Roman"/>
        </w:rPr>
      </w:pPr>
      <w:r>
        <w:rPr>
          <w:rFonts w:eastAsia="Times New Roman"/>
          <w:color w:val="000000"/>
          <w:sz w:val="20"/>
          <w:szCs w:val="20"/>
        </w:rPr>
        <w:t>•Commissions and distribution-related payments increased by $5 million mai</w:t>
      </w:r>
      <w:r>
        <w:rPr>
          <w:rFonts w:eastAsia="Times New Roman"/>
          <w:color w:val="000000"/>
          <w:sz w:val="20"/>
          <w:szCs w:val="20"/>
        </w:rPr>
        <w:t>nly due to a higher asset base.</w:t>
      </w:r>
    </w:p>
    <w:p w:rsidR="00000000" w:rsidRDefault="00897B14">
      <w:pPr>
        <w:ind w:hanging="360"/>
        <w:jc w:val="both"/>
        <w:divId w:val="977297735"/>
        <w:rPr>
          <w:rFonts w:eastAsia="Times New Roman"/>
        </w:rPr>
      </w:pPr>
      <w:r>
        <w:rPr>
          <w:rFonts w:eastAsia="Times New Roman"/>
          <w:color w:val="000000"/>
          <w:sz w:val="20"/>
          <w:szCs w:val="20"/>
        </w:rPr>
        <w:t>•Income tax expense increased by $24 million due to higher pre-tax earnings, partially offset by a lower effective tax rate.</w:t>
      </w:r>
    </w:p>
    <w:p w:rsidR="00000000" w:rsidRDefault="00897B14">
      <w:pPr>
        <w:ind w:firstLine="180"/>
        <w:jc w:val="both"/>
        <w:divId w:val="333805708"/>
        <w:rPr>
          <w:rFonts w:eastAsia="Times New Roman"/>
        </w:rPr>
      </w:pPr>
      <w:r>
        <w:rPr>
          <w:rFonts w:eastAsia="Times New Roman"/>
          <w:b/>
          <w:bCs/>
          <w:i/>
          <w:iCs/>
          <w:color w:val="000000"/>
          <w:sz w:val="20"/>
          <w:szCs w:val="20"/>
        </w:rPr>
        <w:t>Net Flows and AV</w:t>
      </w:r>
    </w:p>
    <w:p w:rsidR="00000000" w:rsidRDefault="00897B14">
      <w:pPr>
        <w:ind w:hanging="360"/>
        <w:divId w:val="758215368"/>
        <w:rPr>
          <w:rFonts w:eastAsia="Times New Roman"/>
        </w:rPr>
      </w:pPr>
      <w:r>
        <w:rPr>
          <w:rFonts w:eastAsia="Times New Roman"/>
          <w:color w:val="000000"/>
          <w:sz w:val="20"/>
          <w:szCs w:val="20"/>
        </w:rPr>
        <w:t>•The increase in AV of $3.5 billion in the six months ended June 30, 2021 was prim</w:t>
      </w:r>
      <w:r>
        <w:rPr>
          <w:rFonts w:eastAsia="Times New Roman"/>
          <w:color w:val="000000"/>
          <w:sz w:val="20"/>
          <w:szCs w:val="20"/>
        </w:rPr>
        <w:t>arily due to strong equity markets and net inflows of $17 million.</w:t>
      </w:r>
    </w:p>
    <w:p w:rsidR="00000000" w:rsidRDefault="00897B14">
      <w:pPr>
        <w:ind w:hanging="360"/>
        <w:jc w:val="both"/>
        <w:divId w:val="86923938"/>
        <w:rPr>
          <w:rFonts w:eastAsia="Times New Roman"/>
        </w:rPr>
      </w:pPr>
      <w:r>
        <w:rPr>
          <w:rFonts w:eastAsia="Times New Roman"/>
          <w:color w:val="000000"/>
          <w:sz w:val="20"/>
          <w:szCs w:val="20"/>
        </w:rPr>
        <w:t>•Net inflows of $17 million decreased $327 million due to higher surrender activity, partially offset by higher sales and renewals overall.</w:t>
      </w:r>
    </w:p>
    <w:p w:rsidR="00000000" w:rsidRDefault="00897B14">
      <w:pPr>
        <w:jc w:val="center"/>
        <w:divId w:val="472063689"/>
        <w:rPr>
          <w:rFonts w:eastAsia="Times New Roman"/>
        </w:rPr>
      </w:pPr>
      <w:r>
        <w:rPr>
          <w:rFonts w:eastAsia="Times New Roman"/>
          <w:color w:val="000000"/>
          <w:sz w:val="20"/>
          <w:szCs w:val="20"/>
        </w:rPr>
        <w:t>94</w:t>
      </w:r>
    </w:p>
    <w:p w:rsidR="00000000" w:rsidRDefault="00897B14">
      <w:pPr>
        <w:rPr>
          <w:rFonts w:eastAsia="Times New Roman"/>
        </w:rPr>
      </w:pPr>
      <w:r>
        <w:rPr>
          <w:rFonts w:eastAsia="Times New Roman"/>
        </w:rPr>
        <w:pict>
          <v:rect id="_x0000_i1120" style="width:0;height:1.5pt" o:hralign="center" o:hrstd="t" o:hr="t" fillcolor="#a0a0a0" stroked="f"/>
        </w:pict>
      </w:r>
    </w:p>
    <w:p w:rsidR="00000000" w:rsidRDefault="00897B14">
      <w:pPr>
        <w:divId w:val="1225410426"/>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316689334"/>
        <w:rPr>
          <w:rFonts w:eastAsia="Times New Roman"/>
        </w:rPr>
      </w:pPr>
    </w:p>
    <w:p w:rsidR="00000000" w:rsidRDefault="00897B14">
      <w:pPr>
        <w:divId w:val="2068650930"/>
        <w:rPr>
          <w:rFonts w:eastAsia="Times New Roman"/>
        </w:rPr>
      </w:pPr>
      <w:r>
        <w:rPr>
          <w:rFonts w:eastAsia="Times New Roman"/>
          <w:b/>
          <w:bCs/>
          <w:color w:val="000000"/>
          <w:sz w:val="20"/>
          <w:szCs w:val="20"/>
        </w:rPr>
        <w:t>Investment Management and Research</w:t>
      </w:r>
    </w:p>
    <w:p w:rsidR="00000000" w:rsidRDefault="00897B14">
      <w:pPr>
        <w:ind w:firstLine="360"/>
        <w:divId w:val="421681502"/>
        <w:rPr>
          <w:rFonts w:eastAsia="Times New Roman"/>
        </w:rPr>
      </w:pPr>
      <w:r>
        <w:rPr>
          <w:rFonts w:eastAsia="Times New Roman"/>
          <w:color w:val="000000"/>
          <w:sz w:val="20"/>
          <w:szCs w:val="20"/>
        </w:rPr>
        <w:t>The Investment Management and Research segment provides diversified investment management, research and related services to a broad range of clients aro</w:t>
      </w:r>
      <w:r>
        <w:rPr>
          <w:rFonts w:eastAsia="Times New Roman"/>
          <w:color w:val="000000"/>
          <w:sz w:val="20"/>
          <w:szCs w:val="20"/>
        </w:rPr>
        <w:t>und the world. Operating earnings (loss), net of tax, presented here represents our economic interest in AB of approximately 65% during the three months and six months ended June 30, 2021 and 2020.</w:t>
      </w:r>
    </w:p>
    <w:tbl>
      <w:tblPr>
        <w:tblW w:w="5000" w:type="pct"/>
        <w:tblCellMar>
          <w:top w:w="15" w:type="dxa"/>
          <w:left w:w="15" w:type="dxa"/>
          <w:bottom w:w="15" w:type="dxa"/>
          <w:right w:w="15" w:type="dxa"/>
        </w:tblCellMar>
        <w:tblLook w:val="04A0" w:firstRow="1" w:lastRow="0" w:firstColumn="1" w:lastColumn="0" w:noHBand="0" w:noVBand="1"/>
      </w:tblPr>
      <w:tblGrid>
        <w:gridCol w:w="37"/>
        <w:gridCol w:w="4084"/>
        <w:gridCol w:w="36"/>
        <w:gridCol w:w="120"/>
        <w:gridCol w:w="692"/>
        <w:gridCol w:w="36"/>
        <w:gridCol w:w="36"/>
        <w:gridCol w:w="36"/>
        <w:gridCol w:w="36"/>
        <w:gridCol w:w="120"/>
        <w:gridCol w:w="692"/>
        <w:gridCol w:w="36"/>
        <w:gridCol w:w="120"/>
        <w:gridCol w:w="880"/>
        <w:gridCol w:w="36"/>
        <w:gridCol w:w="36"/>
        <w:gridCol w:w="36"/>
        <w:gridCol w:w="36"/>
        <w:gridCol w:w="120"/>
        <w:gridCol w:w="829"/>
        <w:gridCol w:w="36"/>
        <w:gridCol w:w="36"/>
        <w:gridCol w:w="36"/>
        <w:gridCol w:w="36"/>
        <w:gridCol w:w="36"/>
        <w:gridCol w:w="36"/>
        <w:gridCol w:w="36"/>
      </w:tblGrid>
      <w:tr w:rsidR="00000000">
        <w:trPr>
          <w:divId w:val="2006783671"/>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0678367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0678367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00678367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006783671"/>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Operating earnings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247</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56589323"/>
        <w:rPr>
          <w:rFonts w:eastAsia="Times New Roman"/>
        </w:rPr>
      </w:pPr>
    </w:p>
    <w:p w:rsidR="00000000" w:rsidRDefault="00897B14">
      <w:pPr>
        <w:ind w:firstLine="360"/>
        <w:divId w:val="1441757713"/>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083"/>
        <w:gridCol w:w="37"/>
        <w:gridCol w:w="120"/>
        <w:gridCol w:w="692"/>
        <w:gridCol w:w="36"/>
        <w:gridCol w:w="36"/>
        <w:gridCol w:w="36"/>
        <w:gridCol w:w="36"/>
        <w:gridCol w:w="120"/>
        <w:gridCol w:w="692"/>
        <w:gridCol w:w="36"/>
        <w:gridCol w:w="120"/>
        <w:gridCol w:w="880"/>
        <w:gridCol w:w="36"/>
        <w:gridCol w:w="36"/>
        <w:gridCol w:w="36"/>
        <w:gridCol w:w="36"/>
        <w:gridCol w:w="120"/>
        <w:gridCol w:w="828"/>
        <w:gridCol w:w="36"/>
        <w:gridCol w:w="36"/>
        <w:gridCol w:w="36"/>
        <w:gridCol w:w="36"/>
        <w:gridCol w:w="36"/>
        <w:gridCol w:w="36"/>
        <w:gridCol w:w="36"/>
      </w:tblGrid>
      <w:tr w:rsidR="00000000">
        <w:trPr>
          <w:divId w:val="422454969"/>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investment income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1,072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2,076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1,751 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Commissions and distribution related payments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422454969"/>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1,540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1,351 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573900042"/>
        <w:rPr>
          <w:rFonts w:eastAsia="Times New Roman"/>
        </w:rPr>
      </w:pPr>
    </w:p>
    <w:p w:rsidR="00000000" w:rsidRDefault="00897B14">
      <w:pPr>
        <w:ind w:firstLine="360"/>
        <w:divId w:val="1391881927"/>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0"/>
        <w:gridCol w:w="3912"/>
        <w:gridCol w:w="38"/>
        <w:gridCol w:w="120"/>
        <w:gridCol w:w="729"/>
        <w:gridCol w:w="36"/>
        <w:gridCol w:w="36"/>
        <w:gridCol w:w="36"/>
        <w:gridCol w:w="36"/>
        <w:gridCol w:w="120"/>
        <w:gridCol w:w="729"/>
        <w:gridCol w:w="36"/>
        <w:gridCol w:w="36"/>
        <w:gridCol w:w="36"/>
        <w:gridCol w:w="36"/>
        <w:gridCol w:w="120"/>
        <w:gridCol w:w="872"/>
        <w:gridCol w:w="36"/>
        <w:gridCol w:w="36"/>
        <w:gridCol w:w="36"/>
        <w:gridCol w:w="36"/>
        <w:gridCol w:w="120"/>
        <w:gridCol w:w="812"/>
        <w:gridCol w:w="36"/>
        <w:gridCol w:w="36"/>
        <w:gridCol w:w="36"/>
        <w:gridCol w:w="36"/>
        <w:gridCol w:w="36"/>
        <w:gridCol w:w="36"/>
        <w:gridCol w:w="36"/>
      </w:tblGrid>
      <w:tr w:rsidR="00000000">
        <w:trPr>
          <w:divId w:val="792016023"/>
          <w:jc w:val="center"/>
        </w:trPr>
        <w:tc>
          <w:tcPr>
            <w:tcW w:w="50" w:type="pct"/>
            <w:vAlign w:val="center"/>
            <w:hideMark/>
          </w:tcPr>
          <w:p w:rsidR="00000000" w:rsidRDefault="00897B14">
            <w:pPr>
              <w:ind w:firstLine="360"/>
              <w:rPr>
                <w:rFonts w:eastAsia="Times New Roman"/>
              </w:rPr>
            </w:pPr>
          </w:p>
        </w:tc>
        <w:tc>
          <w:tcPr>
            <w:tcW w:w="24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9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tcMar>
              <w:top w:w="30" w:type="dxa"/>
              <w:left w:w="20" w:type="dxa"/>
              <w:bottom w:w="30" w:type="dxa"/>
              <w:right w:w="20" w:type="dxa"/>
            </w:tcMar>
            <w:vAlign w:val="bottom"/>
            <w:hideMark/>
          </w:tcPr>
          <w:p w:rsidR="00000000" w:rsidRDefault="00897B14">
            <w:pPr>
              <w:spacing w:after="100"/>
              <w:divId w:val="1910533615"/>
              <w:rPr>
                <w:rFonts w:eastAsia="Times New Roman"/>
              </w:rPr>
            </w:pPr>
            <w:r>
              <w:rPr>
                <w:rFonts w:eastAsia="Times New Roman"/>
                <w:b/>
                <w:bCs/>
                <w:color w:val="000000"/>
                <w:sz w:val="16"/>
                <w:szCs w:val="16"/>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as of beginning of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541.8 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(32.4)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(56.6)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(64.1)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long-term inflows (outflows) (1)</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Acquisition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Market appreciation (depreciation)</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61.5 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change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792016023"/>
          <w:jc w:val="center"/>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Balance as of end of period</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738.4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738.4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bottom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398752969"/>
        <w:rPr>
          <w:rFonts w:eastAsia="Times New Roman"/>
        </w:rPr>
      </w:pPr>
      <w:r>
        <w:rPr>
          <w:rFonts w:eastAsia="Times New Roman"/>
          <w:color w:val="000000"/>
          <w:sz w:val="18"/>
          <w:szCs w:val="18"/>
        </w:rPr>
        <w:t>__</w:t>
      </w:r>
      <w:r>
        <w:rPr>
          <w:rFonts w:eastAsia="Times New Roman"/>
          <w:color w:val="000000"/>
          <w:sz w:val="18"/>
          <w:szCs w:val="18"/>
        </w:rPr>
        <w:t>____________</w:t>
      </w:r>
    </w:p>
    <w:p w:rsidR="00000000" w:rsidRDefault="00897B14">
      <w:pPr>
        <w:ind w:hanging="270"/>
        <w:divId w:val="1454522591"/>
        <w:rPr>
          <w:rFonts w:eastAsia="Times New Roman"/>
        </w:rPr>
      </w:pPr>
      <w:r>
        <w:rPr>
          <w:rFonts w:eastAsia="Times New Roman"/>
          <w:color w:val="000000"/>
          <w:sz w:val="18"/>
          <w:szCs w:val="18"/>
        </w:rPr>
        <w:t>(1)Institutional net flows include $1.3 billion and $1.3 billion of AXA's redemptions of certain low-fee fixed income mandates for the three-month and six-month periods ended June 30, 2021, respectively.</w:t>
      </w:r>
    </w:p>
    <w:p w:rsidR="00000000" w:rsidRDefault="00897B14">
      <w:pPr>
        <w:jc w:val="center"/>
        <w:divId w:val="1490974245"/>
        <w:rPr>
          <w:rFonts w:eastAsia="Times New Roman"/>
        </w:rPr>
      </w:pPr>
      <w:r>
        <w:rPr>
          <w:rFonts w:eastAsia="Times New Roman"/>
          <w:color w:val="000000"/>
          <w:sz w:val="20"/>
          <w:szCs w:val="20"/>
        </w:rPr>
        <w:t>95</w:t>
      </w:r>
    </w:p>
    <w:p w:rsidR="00000000" w:rsidRDefault="00897B14">
      <w:pPr>
        <w:rPr>
          <w:rFonts w:eastAsia="Times New Roman"/>
        </w:rPr>
      </w:pPr>
      <w:r>
        <w:rPr>
          <w:rFonts w:eastAsia="Times New Roman"/>
        </w:rPr>
        <w:pict>
          <v:rect id="_x0000_i1121" style="width:0;height:1.5pt" o:hralign="center" o:hrstd="t" o:hr="t" fillcolor="#a0a0a0" stroked="f"/>
        </w:pict>
      </w:r>
    </w:p>
    <w:p w:rsidR="00000000" w:rsidRDefault="00897B14">
      <w:pPr>
        <w:divId w:val="926496156"/>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firstLine="360"/>
        <w:divId w:val="216553335"/>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290"/>
        <w:gridCol w:w="37"/>
        <w:gridCol w:w="120"/>
        <w:gridCol w:w="694"/>
        <w:gridCol w:w="36"/>
        <w:gridCol w:w="36"/>
        <w:gridCol w:w="36"/>
        <w:gridCol w:w="36"/>
        <w:gridCol w:w="120"/>
        <w:gridCol w:w="694"/>
        <w:gridCol w:w="36"/>
        <w:gridCol w:w="36"/>
        <w:gridCol w:w="36"/>
        <w:gridCol w:w="36"/>
        <w:gridCol w:w="120"/>
        <w:gridCol w:w="694"/>
        <w:gridCol w:w="36"/>
        <w:gridCol w:w="36"/>
        <w:gridCol w:w="36"/>
        <w:gridCol w:w="36"/>
        <w:gridCol w:w="120"/>
        <w:gridCol w:w="695"/>
        <w:gridCol w:w="36"/>
        <w:gridCol w:w="36"/>
        <w:gridCol w:w="36"/>
        <w:gridCol w:w="36"/>
        <w:gridCol w:w="36"/>
        <w:gridCol w:w="36"/>
        <w:gridCol w:w="36"/>
      </w:tblGrid>
      <w:tr w:rsidR="00000000">
        <w:trPr>
          <w:divId w:val="1533768358"/>
        </w:trPr>
        <w:tc>
          <w:tcPr>
            <w:tcW w:w="50" w:type="pct"/>
            <w:vAlign w:val="center"/>
            <w:hideMark/>
          </w:tcPr>
          <w:p w:rsidR="00000000" w:rsidRDefault="00897B14">
            <w:pPr>
              <w:ind w:firstLine="360"/>
              <w:rPr>
                <w:rFonts w:eastAsia="Times New Roman"/>
              </w:rPr>
            </w:pPr>
          </w:p>
        </w:tc>
        <w:tc>
          <w:tcPr>
            <w:tcW w:w="272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tcMar>
              <w:top w:w="30" w:type="dxa"/>
              <w:left w:w="20" w:type="dxa"/>
              <w:bottom w:w="30" w:type="dxa"/>
              <w:right w:w="20" w:type="dxa"/>
            </w:tcMar>
            <w:vAlign w:val="bottom"/>
            <w:hideMark/>
          </w:tcPr>
          <w:p w:rsidR="00000000" w:rsidRDefault="00897B14">
            <w:pPr>
              <w:spacing w:after="100"/>
              <w:divId w:val="195049916"/>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tcMar>
              <w:top w:w="30" w:type="dxa"/>
              <w:left w:w="20" w:type="dxa"/>
              <w:bottom w:w="30" w:type="dxa"/>
              <w:right w:w="20" w:type="dxa"/>
            </w:tcMar>
            <w:vAlign w:val="bottom"/>
            <w:hideMark/>
          </w:tcPr>
          <w:p w:rsidR="00000000" w:rsidRDefault="00897B14">
            <w:pPr>
              <w:spacing w:after="100"/>
              <w:divId w:val="1867673991"/>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324.9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271.5 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319.7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276.6 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215.8 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225.8 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722.6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578.5 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706.7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597.2 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Height w:val="24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i/>
                <w:iCs/>
                <w:color w:val="000000"/>
                <w:sz w:val="20"/>
                <w:szCs w:val="20"/>
              </w:rPr>
              <w:t>Investment Service:</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Equity Actively Managed</w:t>
            </w: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246.6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235.4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165.7 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Equity Passively Managed (1)</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Income Actively Managed – Taxable</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253.2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244.9 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255.7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252.9 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Fixed Income Actively Managed – Tax-exempt</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52.1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Fixed Income Passively Managed (1)</w:t>
            </w: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Alternatives/Multi-Asset Solutions (2)</w:t>
            </w: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92.7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897B14">
            <w:pPr>
              <w:spacing w:after="100"/>
              <w:jc w:val="right"/>
              <w:rPr>
                <w:rFonts w:eastAsia="Times New Roman"/>
              </w:rPr>
            </w:pPr>
            <w:r>
              <w:rPr>
                <w:rFonts w:eastAsia="Times New Roman"/>
                <w:b/>
                <w:bCs/>
                <w:color w:val="000000"/>
                <w:sz w:val="20"/>
                <w:szCs w:val="20"/>
              </w:rPr>
              <w:t>88.4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67.2 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33768358"/>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578.5 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706.7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597.2 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935048122"/>
        <w:rPr>
          <w:rFonts w:eastAsia="Times New Roman"/>
        </w:rPr>
      </w:pPr>
      <w:r>
        <w:rPr>
          <w:rFonts w:eastAsia="Times New Roman"/>
          <w:color w:val="000000"/>
          <w:sz w:val="18"/>
          <w:szCs w:val="18"/>
        </w:rPr>
        <w:t>____________</w:t>
      </w:r>
    </w:p>
    <w:p w:rsidR="00000000" w:rsidRDefault="00897B14">
      <w:pPr>
        <w:ind w:hanging="270"/>
        <w:divId w:val="1823740820"/>
        <w:rPr>
          <w:rFonts w:eastAsia="Times New Roman"/>
        </w:rPr>
      </w:pPr>
      <w:r>
        <w:rPr>
          <w:rFonts w:eastAsia="Times New Roman"/>
          <w:color w:val="000000"/>
          <w:sz w:val="18"/>
          <w:szCs w:val="18"/>
        </w:rPr>
        <w:t>(1)Includes index and enhanced index services.</w:t>
      </w:r>
    </w:p>
    <w:p w:rsidR="00000000" w:rsidRDefault="00897B14">
      <w:pPr>
        <w:ind w:hanging="270"/>
        <w:divId w:val="257520496"/>
        <w:rPr>
          <w:rFonts w:eastAsia="Times New Roman"/>
        </w:rPr>
      </w:pPr>
      <w:r>
        <w:rPr>
          <w:rFonts w:eastAsia="Times New Roman"/>
          <w:color w:val="000000"/>
          <w:sz w:val="18"/>
          <w:szCs w:val="18"/>
        </w:rPr>
        <w:t>(2)</w:t>
      </w:r>
      <w:r>
        <w:rPr>
          <w:rFonts w:eastAsia="Times New Roman"/>
          <w:color w:val="000000"/>
          <w:sz w:val="18"/>
          <w:szCs w:val="18"/>
        </w:rPr>
        <w:t>Includes multi-asset solutions and services not included in equity or fixed income services. Prior to December 31, 2020, this investment service line was disclosed as “Other.” In order to reflect the increasing significance of our Alternatives and Multi-As</w:t>
      </w:r>
      <w:r>
        <w:rPr>
          <w:rFonts w:eastAsia="Times New Roman"/>
          <w:color w:val="000000"/>
          <w:sz w:val="18"/>
          <w:szCs w:val="18"/>
        </w:rPr>
        <w:t>set Solutions services, we updated the investment service line to “Alternatives and Multi-Asset Solutions."</w:t>
      </w:r>
    </w:p>
    <w:p w:rsidR="00000000" w:rsidRDefault="00897B14">
      <w:pPr>
        <w:jc w:val="center"/>
        <w:divId w:val="658194529"/>
        <w:rPr>
          <w:rFonts w:eastAsia="Times New Roman"/>
        </w:rPr>
      </w:pPr>
      <w:r>
        <w:rPr>
          <w:rFonts w:eastAsia="Times New Roman"/>
          <w:color w:val="000000"/>
          <w:sz w:val="20"/>
          <w:szCs w:val="20"/>
        </w:rPr>
        <w:t>96</w:t>
      </w:r>
    </w:p>
    <w:p w:rsidR="00000000" w:rsidRDefault="00897B14">
      <w:pPr>
        <w:rPr>
          <w:rFonts w:eastAsia="Times New Roman"/>
        </w:rPr>
      </w:pPr>
      <w:r>
        <w:rPr>
          <w:rFonts w:eastAsia="Times New Roman"/>
        </w:rPr>
        <w:pict>
          <v:rect id="_x0000_i1122" style="width:0;height:1.5pt" o:hralign="center" o:hrstd="t" o:hr="t" fillcolor="#a0a0a0" stroked="f"/>
        </w:pict>
      </w:r>
    </w:p>
    <w:p w:rsidR="00000000" w:rsidRDefault="00897B14">
      <w:pPr>
        <w:divId w:val="142325853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585646628"/>
        <w:rPr>
          <w:rFonts w:eastAsia="Times New Roman"/>
        </w:rPr>
      </w:pPr>
      <w:r>
        <w:rPr>
          <w:rFonts w:eastAsia="Times New Roman"/>
          <w:b/>
          <w:bCs/>
          <w:color w:val="000000"/>
          <w:sz w:val="20"/>
          <w:szCs w:val="20"/>
        </w:rPr>
        <w:t>Three Months Ended June 30, 202</w:t>
      </w:r>
      <w:r>
        <w:rPr>
          <w:rFonts w:eastAsia="Times New Roman"/>
          <w:b/>
          <w:bCs/>
          <w:color w:val="000000"/>
          <w:sz w:val="20"/>
          <w:szCs w:val="20"/>
        </w:rPr>
        <w:t>1 Compared to the Three Months Ended June 30, 2020 for the Investment Management and Research Segment</w:t>
      </w:r>
    </w:p>
    <w:p w:rsidR="00000000" w:rsidRDefault="00897B14">
      <w:pPr>
        <w:jc w:val="both"/>
        <w:divId w:val="1587693371"/>
        <w:rPr>
          <w:rFonts w:eastAsia="Times New Roman"/>
        </w:rPr>
      </w:pPr>
      <w:r>
        <w:rPr>
          <w:rFonts w:eastAsia="Times New Roman"/>
          <w:b/>
          <w:bCs/>
          <w:i/>
          <w:iCs/>
          <w:color w:val="000000"/>
          <w:sz w:val="20"/>
          <w:szCs w:val="20"/>
        </w:rPr>
        <w:t>Operating earnings</w:t>
      </w:r>
    </w:p>
    <w:p w:rsidR="00000000" w:rsidRDefault="00897B14">
      <w:pPr>
        <w:ind w:firstLine="360"/>
        <w:divId w:val="806707407"/>
        <w:rPr>
          <w:rFonts w:eastAsia="Times New Roman"/>
        </w:rPr>
      </w:pPr>
      <w:r>
        <w:rPr>
          <w:rFonts w:eastAsia="Times New Roman"/>
          <w:color w:val="000000"/>
          <w:sz w:val="20"/>
          <w:szCs w:val="20"/>
        </w:rPr>
        <w:t>Operating earnings increased $34 million to $126 million during the three months ended June 30, 2021 from $92 million in three months e</w:t>
      </w:r>
      <w:r>
        <w:rPr>
          <w:rFonts w:eastAsia="Times New Roman"/>
          <w:color w:val="000000"/>
          <w:sz w:val="20"/>
          <w:szCs w:val="20"/>
        </w:rPr>
        <w:t>nded June 30, 2020. The following notable items were the primary drivers of the change in operating earnings:</w:t>
      </w:r>
    </w:p>
    <w:p w:rsidR="00000000" w:rsidRDefault="00897B14">
      <w:pPr>
        <w:divId w:val="221332851"/>
        <w:rPr>
          <w:rFonts w:eastAsia="Times New Roman"/>
        </w:rPr>
      </w:pPr>
      <w:r>
        <w:rPr>
          <w:rFonts w:eastAsia="Times New Roman"/>
          <w:color w:val="000000"/>
          <w:sz w:val="20"/>
          <w:szCs w:val="20"/>
        </w:rPr>
        <w:t>Favorable items included:</w:t>
      </w:r>
    </w:p>
    <w:p w:rsidR="00000000" w:rsidRDefault="00897B14">
      <w:pPr>
        <w:ind w:hanging="180"/>
        <w:divId w:val="1734622778"/>
        <w:rPr>
          <w:rFonts w:eastAsia="Times New Roman"/>
        </w:rPr>
      </w:pPr>
      <w:r>
        <w:rPr>
          <w:rFonts w:eastAsia="Times New Roman"/>
          <w:color w:val="000000"/>
          <w:sz w:val="20"/>
          <w:szCs w:val="20"/>
        </w:rPr>
        <w:t>•Fee-type revenue increased by $228 million primarily due to higher base fees, performance based fees and distribution r</w:t>
      </w:r>
      <w:r>
        <w:rPr>
          <w:rFonts w:eastAsia="Times New Roman"/>
          <w:color w:val="000000"/>
          <w:sz w:val="20"/>
          <w:szCs w:val="20"/>
        </w:rPr>
        <w:t>evenues, driven by higher average AUM due to market appreciation and net inflows, partially offset by lower Bernstein Research Services revenues due to reduced customer trading activity relative to the COVID-related surge in trading volume experienced duri</w:t>
      </w:r>
      <w:r>
        <w:rPr>
          <w:rFonts w:eastAsia="Times New Roman"/>
          <w:color w:val="000000"/>
          <w:sz w:val="20"/>
          <w:szCs w:val="20"/>
        </w:rPr>
        <w:t>ng the second quarter of 2020.</w:t>
      </w:r>
    </w:p>
    <w:p w:rsidR="00000000" w:rsidRDefault="00897B14">
      <w:pPr>
        <w:divId w:val="1205099039"/>
        <w:rPr>
          <w:rFonts w:eastAsia="Times New Roman"/>
        </w:rPr>
      </w:pPr>
      <w:r>
        <w:rPr>
          <w:rFonts w:eastAsia="Times New Roman"/>
          <w:color w:val="000000"/>
          <w:sz w:val="20"/>
          <w:szCs w:val="20"/>
        </w:rPr>
        <w:t>These were partially offset by the following unfavorable items:</w:t>
      </w:r>
    </w:p>
    <w:p w:rsidR="00000000" w:rsidRDefault="00897B14">
      <w:pPr>
        <w:ind w:hanging="180"/>
        <w:divId w:val="1752701870"/>
        <w:rPr>
          <w:rFonts w:eastAsia="Times New Roman"/>
        </w:rPr>
      </w:pPr>
      <w:r>
        <w:rPr>
          <w:rFonts w:eastAsia="Times New Roman"/>
          <w:color w:val="000000"/>
          <w:sz w:val="20"/>
          <w:szCs w:val="20"/>
        </w:rPr>
        <w:t>•Compensation, benefits, interest expense and other operating costs increased by $104 million mainly due to higher employee compensation attributed to higher rev</w:t>
      </w:r>
      <w:r>
        <w:rPr>
          <w:rFonts w:eastAsia="Times New Roman"/>
          <w:color w:val="000000"/>
          <w:sz w:val="20"/>
          <w:szCs w:val="20"/>
        </w:rPr>
        <w:t>enues.</w:t>
      </w:r>
    </w:p>
    <w:p w:rsidR="00000000" w:rsidRDefault="00897B14">
      <w:pPr>
        <w:ind w:hanging="180"/>
        <w:divId w:val="1699314551"/>
        <w:rPr>
          <w:rFonts w:eastAsia="Times New Roman"/>
        </w:rPr>
      </w:pPr>
      <w:r>
        <w:rPr>
          <w:rFonts w:eastAsia="Times New Roman"/>
          <w:color w:val="000000"/>
          <w:sz w:val="20"/>
          <w:szCs w:val="20"/>
        </w:rPr>
        <w:t xml:space="preserve">•Commissions and distribution-related payments increased by $42 million mainly due to higher payments to financial intermediaries for the distribution of AB mutual funds, primarily resulting from increased average AUM of these mutual funds. </w:t>
      </w:r>
    </w:p>
    <w:p w:rsidR="00000000" w:rsidRDefault="00897B14">
      <w:pPr>
        <w:ind w:hanging="180"/>
        <w:divId w:val="970398966"/>
        <w:rPr>
          <w:rFonts w:eastAsia="Times New Roman"/>
        </w:rPr>
      </w:pPr>
      <w:r>
        <w:rPr>
          <w:rFonts w:eastAsia="Times New Roman"/>
          <w:color w:val="000000"/>
          <w:sz w:val="20"/>
          <w:szCs w:val="20"/>
        </w:rPr>
        <w:t>•Earnin</w:t>
      </w:r>
      <w:r>
        <w:rPr>
          <w:rFonts w:eastAsia="Times New Roman"/>
          <w:color w:val="000000"/>
          <w:sz w:val="20"/>
          <w:szCs w:val="20"/>
        </w:rPr>
        <w:t>gs attributable to noncontrolling interest increased by $31 million due to higher pre-tax earnings.</w:t>
      </w:r>
    </w:p>
    <w:p w:rsidR="00000000" w:rsidRDefault="00897B14">
      <w:pPr>
        <w:ind w:hanging="180"/>
        <w:jc w:val="both"/>
        <w:divId w:val="697852731"/>
        <w:rPr>
          <w:rFonts w:eastAsia="Times New Roman"/>
        </w:rPr>
      </w:pPr>
      <w:r>
        <w:rPr>
          <w:rFonts w:eastAsia="Times New Roman"/>
          <w:color w:val="000000"/>
          <w:sz w:val="20"/>
          <w:szCs w:val="20"/>
        </w:rPr>
        <w:t>•Net investment income decreased by $20 million mainly due to lower gains on the seed capital investments subject to market risk, offset in Net derivative g</w:t>
      </w:r>
      <w:r>
        <w:rPr>
          <w:rFonts w:eastAsia="Times New Roman"/>
          <w:color w:val="000000"/>
          <w:sz w:val="20"/>
          <w:szCs w:val="20"/>
        </w:rPr>
        <w:t>ains by $20 million mainly due to lower losses from economically hedging the seed capital investments.</w:t>
      </w:r>
    </w:p>
    <w:p w:rsidR="00000000" w:rsidRDefault="00897B14">
      <w:pPr>
        <w:ind w:hanging="180"/>
        <w:jc w:val="both"/>
        <w:divId w:val="1792899511"/>
        <w:rPr>
          <w:rFonts w:eastAsia="Times New Roman"/>
        </w:rPr>
      </w:pPr>
      <w:r>
        <w:rPr>
          <w:rFonts w:eastAsia="Times New Roman"/>
          <w:color w:val="000000"/>
          <w:sz w:val="20"/>
          <w:szCs w:val="20"/>
        </w:rPr>
        <w:t>•Income tax expense increased by $17 million primarily due to higher pre-tax earnings.</w:t>
      </w:r>
    </w:p>
    <w:p w:rsidR="00000000" w:rsidRDefault="00897B14">
      <w:pPr>
        <w:ind w:firstLine="720"/>
        <w:jc w:val="both"/>
        <w:divId w:val="524178433"/>
        <w:rPr>
          <w:rFonts w:eastAsia="Times New Roman"/>
        </w:rPr>
      </w:pPr>
      <w:r>
        <w:rPr>
          <w:rFonts w:eastAsia="Times New Roman"/>
          <w:b/>
          <w:bCs/>
          <w:i/>
          <w:iCs/>
          <w:color w:val="000000"/>
          <w:sz w:val="20"/>
          <w:szCs w:val="20"/>
        </w:rPr>
        <w:t>Long-Term Net Flows and AUM</w:t>
      </w:r>
    </w:p>
    <w:p w:rsidR="00000000" w:rsidRDefault="00897B14">
      <w:pPr>
        <w:ind w:hanging="360"/>
        <w:divId w:val="1463687994"/>
        <w:rPr>
          <w:rFonts w:eastAsia="Times New Roman"/>
        </w:rPr>
      </w:pPr>
      <w:r>
        <w:rPr>
          <w:rFonts w:eastAsia="Times New Roman"/>
          <w:color w:val="000000"/>
          <w:sz w:val="20"/>
          <w:szCs w:val="20"/>
        </w:rPr>
        <w:t>•Total AUM as of June 30, 2021 was $73</w:t>
      </w:r>
      <w:r>
        <w:rPr>
          <w:rFonts w:eastAsia="Times New Roman"/>
          <w:color w:val="000000"/>
          <w:sz w:val="20"/>
          <w:szCs w:val="20"/>
        </w:rPr>
        <w:t>8.4 billion, up 41.2 billion, or 5.9%, compared to March 31, 2021. During the second quarter of 2021, AUM increased as a result of market appreciation of $35.0 billion and net inflows of $6.2 billion, primarily due to Retail net inflows of $5.2 billion. Ex</w:t>
      </w:r>
      <w:r>
        <w:rPr>
          <w:rFonts w:eastAsia="Times New Roman"/>
          <w:color w:val="000000"/>
          <w:sz w:val="20"/>
          <w:szCs w:val="20"/>
        </w:rPr>
        <w:t>cluding AXA redemptions of low-fee fixed income mandates of $1.3 billion in the second quarter, the firm generated net inflows of $7.5 billion in the second quarter.</w:t>
      </w:r>
    </w:p>
    <w:p w:rsidR="00000000" w:rsidRDefault="00897B14">
      <w:pPr>
        <w:divId w:val="516820764"/>
        <w:rPr>
          <w:rFonts w:eastAsia="Times New Roman"/>
        </w:rPr>
      </w:pPr>
      <w:r>
        <w:rPr>
          <w:rFonts w:eastAsia="Times New Roman"/>
          <w:b/>
          <w:bCs/>
          <w:color w:val="000000"/>
          <w:sz w:val="20"/>
          <w:szCs w:val="20"/>
        </w:rPr>
        <w:t>Six Months Ended June 30, 2021 Compared to the Six Months Ended June 30, 2020 for the Inve</w:t>
      </w:r>
      <w:r>
        <w:rPr>
          <w:rFonts w:eastAsia="Times New Roman"/>
          <w:b/>
          <w:bCs/>
          <w:color w:val="000000"/>
          <w:sz w:val="20"/>
          <w:szCs w:val="20"/>
        </w:rPr>
        <w:t>stment Management and Research Segment</w:t>
      </w:r>
    </w:p>
    <w:p w:rsidR="00000000" w:rsidRDefault="00897B14">
      <w:pPr>
        <w:jc w:val="both"/>
        <w:divId w:val="916397955"/>
        <w:rPr>
          <w:rFonts w:eastAsia="Times New Roman"/>
        </w:rPr>
      </w:pPr>
      <w:r>
        <w:rPr>
          <w:rFonts w:eastAsia="Times New Roman"/>
          <w:b/>
          <w:bCs/>
          <w:i/>
          <w:iCs/>
          <w:color w:val="000000"/>
          <w:sz w:val="20"/>
          <w:szCs w:val="20"/>
        </w:rPr>
        <w:t>Operating earnings</w:t>
      </w:r>
    </w:p>
    <w:p w:rsidR="00000000" w:rsidRDefault="00897B14">
      <w:pPr>
        <w:ind w:firstLine="360"/>
        <w:divId w:val="2072576040"/>
        <w:rPr>
          <w:rFonts w:eastAsia="Times New Roman"/>
        </w:rPr>
      </w:pPr>
      <w:r>
        <w:rPr>
          <w:rFonts w:eastAsia="Times New Roman"/>
          <w:color w:val="000000"/>
          <w:sz w:val="20"/>
          <w:szCs w:val="20"/>
        </w:rPr>
        <w:t>Operating earnings increased $60 million to $247 million during the six months ended June 30, 2021 from $187 million in six months ended June 30, 2020. The following notable items were the primary d</w:t>
      </w:r>
      <w:r>
        <w:rPr>
          <w:rFonts w:eastAsia="Times New Roman"/>
          <w:color w:val="000000"/>
          <w:sz w:val="20"/>
          <w:szCs w:val="20"/>
        </w:rPr>
        <w:t>rivers of the change in operating earnings:</w:t>
      </w:r>
    </w:p>
    <w:p w:rsidR="00000000" w:rsidRDefault="00897B14">
      <w:pPr>
        <w:divId w:val="380442777"/>
        <w:rPr>
          <w:rFonts w:eastAsia="Times New Roman"/>
        </w:rPr>
      </w:pPr>
      <w:r>
        <w:rPr>
          <w:rFonts w:eastAsia="Times New Roman"/>
          <w:color w:val="000000"/>
          <w:sz w:val="20"/>
          <w:szCs w:val="20"/>
        </w:rPr>
        <w:t>Favorable items included:</w:t>
      </w:r>
    </w:p>
    <w:p w:rsidR="00000000" w:rsidRDefault="00897B14">
      <w:pPr>
        <w:ind w:hanging="180"/>
        <w:divId w:val="1027756662"/>
        <w:rPr>
          <w:rFonts w:eastAsia="Times New Roman"/>
        </w:rPr>
      </w:pPr>
      <w:r>
        <w:rPr>
          <w:rFonts w:eastAsia="Times New Roman"/>
          <w:color w:val="000000"/>
          <w:sz w:val="20"/>
          <w:szCs w:val="20"/>
          <w:shd w:val="clear" w:color="auto" w:fill="FFFFFF"/>
        </w:rPr>
        <w:t>•</w:t>
      </w:r>
      <w:r>
        <w:rPr>
          <w:rFonts w:eastAsia="Times New Roman"/>
          <w:color w:val="000000"/>
          <w:sz w:val="20"/>
          <w:szCs w:val="20"/>
        </w:rPr>
        <w:t>Fee-type revenue increased by $320 million primarily due to higher base fees, performance based fees and distribution revenues, driven by higher average AUM due to market appreciation and net inflows, partially offset by lower Bernstein Research Services r</w:t>
      </w:r>
      <w:r>
        <w:rPr>
          <w:rFonts w:eastAsia="Times New Roman"/>
          <w:color w:val="000000"/>
          <w:sz w:val="20"/>
          <w:szCs w:val="20"/>
        </w:rPr>
        <w:t xml:space="preserve">evenues due to reduced customer trading activity relative to the COVID-related surge in trading volume experienced during the first half of 2020. </w:t>
      </w:r>
    </w:p>
    <w:p w:rsidR="00000000" w:rsidRDefault="00897B14">
      <w:pPr>
        <w:ind w:hanging="180"/>
        <w:jc w:val="both"/>
        <w:divId w:val="330912972"/>
        <w:rPr>
          <w:rFonts w:eastAsia="Times New Roman"/>
        </w:rPr>
      </w:pPr>
      <w:r>
        <w:rPr>
          <w:rFonts w:eastAsia="Times New Roman"/>
          <w:color w:val="000000"/>
          <w:sz w:val="20"/>
          <w:szCs w:val="20"/>
        </w:rPr>
        <w:t>•Net investment income increased by $13 million mainly due to higher gains on the seed capital investments su</w:t>
      </w:r>
      <w:r>
        <w:rPr>
          <w:rFonts w:eastAsia="Times New Roman"/>
          <w:color w:val="000000"/>
          <w:sz w:val="20"/>
          <w:szCs w:val="20"/>
        </w:rPr>
        <w:t>bject to market risk, partially offset in Net derivative gains by $8 million mainly due to higher losses from economically hedging the seed capital investments.</w:t>
      </w:r>
    </w:p>
    <w:p w:rsidR="00000000" w:rsidRDefault="00897B14">
      <w:pPr>
        <w:divId w:val="1155292121"/>
        <w:rPr>
          <w:rFonts w:eastAsia="Times New Roman"/>
        </w:rPr>
      </w:pPr>
      <w:r>
        <w:rPr>
          <w:rFonts w:eastAsia="Times New Roman"/>
          <w:color w:val="000000"/>
          <w:sz w:val="20"/>
          <w:szCs w:val="20"/>
        </w:rPr>
        <w:t>These were partially offset by the following unfavorable items:</w:t>
      </w:r>
    </w:p>
    <w:p w:rsidR="00000000" w:rsidRDefault="00897B14">
      <w:pPr>
        <w:ind w:hanging="180"/>
        <w:divId w:val="773211520"/>
        <w:rPr>
          <w:rFonts w:eastAsia="Times New Roman"/>
        </w:rPr>
      </w:pPr>
      <w:r>
        <w:rPr>
          <w:rFonts w:eastAsia="Times New Roman"/>
          <w:color w:val="000000"/>
          <w:sz w:val="20"/>
          <w:szCs w:val="20"/>
        </w:rPr>
        <w:t>•Compensation, benefits and other operating costs and expenses increased by $128 million primarily due to higher employee compensation attributed to higher revenues.</w:t>
      </w:r>
    </w:p>
    <w:p w:rsidR="00000000" w:rsidRDefault="00897B14">
      <w:pPr>
        <w:jc w:val="center"/>
        <w:divId w:val="1612932115"/>
        <w:rPr>
          <w:rFonts w:eastAsia="Times New Roman"/>
        </w:rPr>
      </w:pPr>
      <w:r>
        <w:rPr>
          <w:rFonts w:eastAsia="Times New Roman"/>
          <w:color w:val="000000"/>
          <w:sz w:val="20"/>
          <w:szCs w:val="20"/>
        </w:rPr>
        <w:t>97</w:t>
      </w:r>
    </w:p>
    <w:p w:rsidR="00000000" w:rsidRDefault="00897B14">
      <w:pPr>
        <w:rPr>
          <w:rFonts w:eastAsia="Times New Roman"/>
        </w:rPr>
      </w:pPr>
      <w:r>
        <w:rPr>
          <w:rFonts w:eastAsia="Times New Roman"/>
        </w:rPr>
        <w:pict>
          <v:rect id="_x0000_i1123" style="width:0;height:1.5pt" o:hralign="center" o:hrstd="t" o:hr="t" fillcolor="#a0a0a0" stroked="f"/>
        </w:pict>
      </w:r>
    </w:p>
    <w:p w:rsidR="00000000" w:rsidRDefault="00897B14">
      <w:pPr>
        <w:divId w:val="28947837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180"/>
        <w:divId w:val="489911214"/>
        <w:rPr>
          <w:rFonts w:eastAsia="Times New Roman"/>
        </w:rPr>
      </w:pPr>
      <w:r>
        <w:rPr>
          <w:rFonts w:eastAsia="Times New Roman"/>
          <w:color w:val="000000"/>
          <w:sz w:val="20"/>
          <w:szCs w:val="20"/>
        </w:rPr>
        <w:t>•Commissions and distribution-related payments increased by $64 million mainly due to higher payments to financial intermediaries for the distribution of AB mutual f</w:t>
      </w:r>
      <w:r>
        <w:rPr>
          <w:rFonts w:eastAsia="Times New Roman"/>
          <w:color w:val="000000"/>
          <w:sz w:val="20"/>
          <w:szCs w:val="20"/>
        </w:rPr>
        <w:t xml:space="preserve">unds, primarily resulting from increased average AUM of these mutual funds. </w:t>
      </w:r>
    </w:p>
    <w:p w:rsidR="00000000" w:rsidRDefault="00897B14">
      <w:pPr>
        <w:ind w:hanging="180"/>
        <w:divId w:val="1945652214"/>
        <w:rPr>
          <w:rFonts w:eastAsia="Times New Roman"/>
        </w:rPr>
      </w:pPr>
      <w:r>
        <w:rPr>
          <w:rFonts w:eastAsia="Times New Roman"/>
          <w:color w:val="000000"/>
          <w:sz w:val="20"/>
          <w:szCs w:val="20"/>
        </w:rPr>
        <w:t>•Earnings attributable to noncontrolling interest increased by $52 million due to higher pre-tax earnings.</w:t>
      </w:r>
    </w:p>
    <w:p w:rsidR="00000000" w:rsidRDefault="00897B14">
      <w:pPr>
        <w:ind w:hanging="180"/>
        <w:jc w:val="both"/>
        <w:divId w:val="798762714"/>
        <w:rPr>
          <w:rFonts w:eastAsia="Times New Roman"/>
        </w:rPr>
      </w:pPr>
      <w:r>
        <w:rPr>
          <w:rFonts w:eastAsia="Times New Roman"/>
          <w:color w:val="000000"/>
          <w:sz w:val="20"/>
          <w:szCs w:val="20"/>
        </w:rPr>
        <w:t>•Income tax expense increased by $24 million primarily due to higher pre</w:t>
      </w:r>
      <w:r>
        <w:rPr>
          <w:rFonts w:eastAsia="Times New Roman"/>
          <w:color w:val="000000"/>
          <w:sz w:val="20"/>
          <w:szCs w:val="20"/>
        </w:rPr>
        <w:t>-tax earnings.</w:t>
      </w:r>
    </w:p>
    <w:p w:rsidR="00000000" w:rsidRDefault="00897B14">
      <w:pPr>
        <w:jc w:val="both"/>
        <w:divId w:val="44912028"/>
        <w:rPr>
          <w:rFonts w:eastAsia="Times New Roman"/>
        </w:rPr>
      </w:pPr>
      <w:r>
        <w:rPr>
          <w:rFonts w:eastAsia="Times New Roman"/>
          <w:b/>
          <w:bCs/>
          <w:i/>
          <w:iCs/>
          <w:color w:val="000000"/>
          <w:sz w:val="20"/>
          <w:szCs w:val="20"/>
        </w:rPr>
        <w:t>Long-Term Net Flows and AUM</w:t>
      </w:r>
    </w:p>
    <w:p w:rsidR="00000000" w:rsidRDefault="00897B14">
      <w:pPr>
        <w:ind w:hanging="180"/>
        <w:divId w:val="2030905724"/>
        <w:rPr>
          <w:rFonts w:eastAsia="Times New Roman"/>
        </w:rPr>
      </w:pPr>
      <w:r>
        <w:rPr>
          <w:rFonts w:eastAsia="Times New Roman"/>
          <w:color w:val="000000"/>
          <w:sz w:val="20"/>
          <w:szCs w:val="20"/>
          <w:shd w:val="clear" w:color="auto" w:fill="FFFFFF"/>
        </w:rPr>
        <w:t>•</w:t>
      </w:r>
      <w:r>
        <w:rPr>
          <w:rFonts w:eastAsia="Times New Roman"/>
          <w:color w:val="000000"/>
          <w:sz w:val="20"/>
          <w:szCs w:val="20"/>
        </w:rPr>
        <w:t>Total AUM as of June 30, 2021 was $738.4 billion, up $52.5 billion, or 7.7%, compared to December 31, 2020, and up $138.4 billion, or 23.1%, compared to June 30, 2020. During the six months ended June 30, 2021, A</w:t>
      </w:r>
      <w:r>
        <w:rPr>
          <w:rFonts w:eastAsia="Times New Roman"/>
          <w:color w:val="000000"/>
          <w:sz w:val="20"/>
          <w:szCs w:val="20"/>
        </w:rPr>
        <w:t>UM increased as a result of market appreciation of $41.0 billion and net inflows of $11.5 billion. During the twelve months ended June 30, 2021, AUM increased as a result of market appreciation of $120.7 billion and net inflows of $17.7 billion.</w:t>
      </w:r>
    </w:p>
    <w:p w:rsidR="00000000" w:rsidRDefault="00897B14">
      <w:pPr>
        <w:ind w:hanging="180"/>
        <w:divId w:val="230583534"/>
        <w:rPr>
          <w:rFonts w:eastAsia="Times New Roman"/>
        </w:rPr>
      </w:pPr>
      <w:r>
        <w:rPr>
          <w:rFonts w:eastAsia="Times New Roman"/>
          <w:color w:val="000000"/>
          <w:sz w:val="20"/>
          <w:szCs w:val="20"/>
          <w:shd w:val="clear" w:color="auto" w:fill="FFFFFF"/>
        </w:rPr>
        <w:t>•</w:t>
      </w:r>
      <w:r>
        <w:rPr>
          <w:rFonts w:eastAsia="Times New Roman"/>
          <w:color w:val="000000"/>
          <w:sz w:val="20"/>
          <w:szCs w:val="20"/>
        </w:rPr>
        <w:t>During th</w:t>
      </w:r>
      <w:r>
        <w:rPr>
          <w:rFonts w:eastAsia="Times New Roman"/>
          <w:color w:val="000000"/>
          <w:sz w:val="20"/>
          <w:szCs w:val="20"/>
        </w:rPr>
        <w:t>e six months ended June 30, 2021, Retail, Private Wealth Management and Institutional net inflows were $7.9 billion, $1.9 billion and $1.7 billion, respectively. During the twelve months ended June 30, 2021, Institutional, Retail and Private Wealth Managem</w:t>
      </w:r>
      <w:r>
        <w:rPr>
          <w:rFonts w:eastAsia="Times New Roman"/>
          <w:color w:val="000000"/>
          <w:sz w:val="20"/>
          <w:szCs w:val="20"/>
        </w:rPr>
        <w:t>ent net inflows were $8.7 billion, $7.9 billion and $1.1 billion, respectively.</w:t>
      </w:r>
    </w:p>
    <w:p w:rsidR="00000000" w:rsidRDefault="00897B14">
      <w:pPr>
        <w:ind w:hanging="180"/>
        <w:jc w:val="both"/>
        <w:divId w:val="172646759"/>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Excluding AXA’s redemption of low-fee fixed income mandates of $4.2 billion, AB generated net inflows of $21.9 billion during the twelve months ended June 30, 2021. </w:t>
      </w:r>
    </w:p>
    <w:p w:rsidR="00000000" w:rsidRDefault="00897B14">
      <w:pPr>
        <w:divId w:val="1485850733"/>
        <w:rPr>
          <w:rFonts w:eastAsia="Times New Roman"/>
        </w:rPr>
      </w:pPr>
      <w:r>
        <w:rPr>
          <w:rFonts w:eastAsia="Times New Roman"/>
          <w:b/>
          <w:bCs/>
          <w:color w:val="000000"/>
          <w:sz w:val="20"/>
          <w:szCs w:val="20"/>
        </w:rPr>
        <w:t>Protectio</w:t>
      </w:r>
      <w:r>
        <w:rPr>
          <w:rFonts w:eastAsia="Times New Roman"/>
          <w:b/>
          <w:bCs/>
          <w:color w:val="000000"/>
          <w:sz w:val="20"/>
          <w:szCs w:val="20"/>
        </w:rPr>
        <w:t>n Solutions</w:t>
      </w:r>
    </w:p>
    <w:p w:rsidR="00000000" w:rsidRDefault="00897B14">
      <w:pPr>
        <w:ind w:firstLine="360"/>
        <w:divId w:val="442383995"/>
        <w:rPr>
          <w:rFonts w:eastAsia="Times New Roman"/>
        </w:rPr>
      </w:pPr>
      <w:r>
        <w:rPr>
          <w:rFonts w:eastAsia="Times New Roman"/>
          <w:color w:val="000000"/>
          <w:sz w:val="20"/>
          <w:szCs w:val="20"/>
        </w:rPr>
        <w:t xml:space="preserve">The Protection Solutions segment includes our life insurance and employee benefits businesses. We provide a targeted range of products aimed at serving the financial needs of our clients throughout their lives, including VUL, IUL and term life </w:t>
      </w:r>
      <w:r>
        <w:rPr>
          <w:rFonts w:eastAsia="Times New Roman"/>
          <w:color w:val="000000"/>
          <w:sz w:val="20"/>
          <w:szCs w:val="20"/>
        </w:rPr>
        <w:t>products. In 2015, we entered the employee benefits market and currently offer a suite of dental, vision, life, as well as short- and long-term disability insurance products to small and medium-size businesses.</w:t>
      </w:r>
    </w:p>
    <w:p w:rsidR="00000000" w:rsidRDefault="00897B14">
      <w:pPr>
        <w:ind w:firstLine="360"/>
        <w:divId w:val="2136292873"/>
        <w:rPr>
          <w:rFonts w:eastAsia="Times New Roman"/>
        </w:rPr>
      </w:pPr>
      <w:r>
        <w:rPr>
          <w:rFonts w:eastAsia="Times New Roman"/>
          <w:color w:val="000000"/>
          <w:sz w:val="20"/>
          <w:szCs w:val="20"/>
        </w:rPr>
        <w:t>In recent years, we have refocused our produc</w:t>
      </w:r>
      <w:r>
        <w:rPr>
          <w:rFonts w:eastAsia="Times New Roman"/>
          <w:color w:val="000000"/>
          <w:sz w:val="20"/>
          <w:szCs w:val="20"/>
        </w:rPr>
        <w:t>t offering and distribution towards less capital intensive, higher return accumulation and protection products. For example, in January 2021, we discontinued offering our most interest sensitive IUL product (“IUL Protect”). We plan to improve our operating</w:t>
      </w:r>
      <w:r>
        <w:rPr>
          <w:rFonts w:eastAsia="Times New Roman"/>
          <w:color w:val="000000"/>
          <w:sz w:val="20"/>
          <w:szCs w:val="20"/>
        </w:rPr>
        <w:t xml:space="preserve"> earnings over time through earnings generated from sales of our repositioned product portfolio and by proactively managing and optimizing our in-force book.</w:t>
      </w:r>
    </w:p>
    <w:p w:rsidR="00000000" w:rsidRDefault="00897B14">
      <w:pPr>
        <w:ind w:firstLine="360"/>
        <w:divId w:val="176966517"/>
        <w:rPr>
          <w:rFonts w:eastAsia="Times New Roman"/>
        </w:rPr>
      </w:pPr>
      <w:r>
        <w:rPr>
          <w:rFonts w:eastAsia="Times New Roman"/>
          <w:color w:val="000000"/>
          <w:sz w:val="20"/>
          <w:szCs w:val="20"/>
        </w:rPr>
        <w:t>The following table summarizes operating earnings (loss) of our Protection Solutions segment for t</w:t>
      </w:r>
      <w:r>
        <w:rPr>
          <w:rFonts w:eastAsia="Times New Roman"/>
          <w:color w:val="000000"/>
          <w:sz w:val="20"/>
          <w:szCs w:val="20"/>
        </w:rPr>
        <w: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084"/>
        <w:gridCol w:w="36"/>
        <w:gridCol w:w="120"/>
        <w:gridCol w:w="692"/>
        <w:gridCol w:w="36"/>
        <w:gridCol w:w="36"/>
        <w:gridCol w:w="36"/>
        <w:gridCol w:w="36"/>
        <w:gridCol w:w="120"/>
        <w:gridCol w:w="692"/>
        <w:gridCol w:w="36"/>
        <w:gridCol w:w="120"/>
        <w:gridCol w:w="880"/>
        <w:gridCol w:w="36"/>
        <w:gridCol w:w="36"/>
        <w:gridCol w:w="36"/>
        <w:gridCol w:w="36"/>
        <w:gridCol w:w="120"/>
        <w:gridCol w:w="829"/>
        <w:gridCol w:w="36"/>
        <w:gridCol w:w="36"/>
        <w:gridCol w:w="36"/>
        <w:gridCol w:w="36"/>
        <w:gridCol w:w="36"/>
        <w:gridCol w:w="36"/>
        <w:gridCol w:w="36"/>
      </w:tblGrid>
      <w:tr w:rsidR="00000000">
        <w:trPr>
          <w:divId w:val="620772531"/>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2077253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62077253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2077253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62077253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divId w:val="847400939"/>
        <w:rPr>
          <w:rFonts w:eastAsia="Times New Roman"/>
        </w:rPr>
      </w:pPr>
      <w:r>
        <w:rPr>
          <w:rFonts w:eastAsia="Times New Roman"/>
          <w:color w:val="000000"/>
          <w:sz w:val="20"/>
          <w:szCs w:val="20"/>
        </w:rPr>
        <w:t>98</w:t>
      </w:r>
    </w:p>
    <w:p w:rsidR="00000000" w:rsidRDefault="00897B14">
      <w:pPr>
        <w:rPr>
          <w:rFonts w:eastAsia="Times New Roman"/>
        </w:rPr>
      </w:pPr>
      <w:r>
        <w:rPr>
          <w:rFonts w:eastAsia="Times New Roman"/>
        </w:rPr>
        <w:pict>
          <v:rect id="_x0000_i1124" style="width:0;height:1.5pt" o:hralign="center" o:hrstd="t" o:hr="t" fillcolor="#a0a0a0" stroked="f"/>
        </w:pict>
      </w:r>
    </w:p>
    <w:p w:rsidR="00000000" w:rsidRDefault="00897B14">
      <w:pPr>
        <w:divId w:val="1041320518"/>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firstLine="360"/>
        <w:divId w:val="514268855"/>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4083"/>
        <w:gridCol w:w="37"/>
        <w:gridCol w:w="120"/>
        <w:gridCol w:w="692"/>
        <w:gridCol w:w="36"/>
        <w:gridCol w:w="36"/>
        <w:gridCol w:w="36"/>
        <w:gridCol w:w="36"/>
        <w:gridCol w:w="120"/>
        <w:gridCol w:w="692"/>
        <w:gridCol w:w="36"/>
        <w:gridCol w:w="120"/>
        <w:gridCol w:w="880"/>
        <w:gridCol w:w="36"/>
        <w:gridCol w:w="36"/>
        <w:gridCol w:w="36"/>
        <w:gridCol w:w="36"/>
        <w:gridCol w:w="120"/>
        <w:gridCol w:w="828"/>
        <w:gridCol w:w="36"/>
        <w:gridCol w:w="36"/>
        <w:gridCol w:w="36"/>
        <w:gridCol w:w="36"/>
        <w:gridCol w:w="36"/>
        <w:gridCol w:w="36"/>
        <w:gridCol w:w="36"/>
      </w:tblGrid>
      <w:tr w:rsidR="00000000">
        <w:trPr>
          <w:divId w:val="1466851642"/>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REVENUES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 charges, fee income and premiums</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management, service fees and other income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revenues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1,658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1,593 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Height w:val="24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BENEFITS AND OTHER DEDUCTIONS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Policyholders’ benefits</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960 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Commissions and distribution related payments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Compensation, benefits and other operating costs and expenses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466851642"/>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Segment benefits and other deductions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1,533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1,547 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firstLine="360"/>
        <w:divId w:val="333916779"/>
        <w:rPr>
          <w:rFonts w:eastAsia="Times New Roman"/>
        </w:rPr>
      </w:pPr>
      <w:r>
        <w:rPr>
          <w:rFonts w:eastAsia="Times New Roman"/>
          <w:color w:val="000000"/>
          <w:sz w:val="20"/>
          <w:szCs w:val="20"/>
        </w:rPr>
        <w:t>The following table summarizes Protection Solutions Reserves for our Protection Solutions segment as of the dates presen</w:t>
      </w:r>
      <w:r>
        <w:rPr>
          <w:rFonts w:eastAsia="Times New Roman"/>
          <w:color w:val="000000"/>
          <w:sz w:val="20"/>
          <w:szCs w:val="20"/>
        </w:rPr>
        <w:t>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746"/>
        <w:gridCol w:w="37"/>
        <w:gridCol w:w="120"/>
        <w:gridCol w:w="943"/>
        <w:gridCol w:w="36"/>
        <w:gridCol w:w="36"/>
        <w:gridCol w:w="36"/>
        <w:gridCol w:w="36"/>
        <w:gridCol w:w="120"/>
        <w:gridCol w:w="906"/>
        <w:gridCol w:w="36"/>
        <w:gridCol w:w="36"/>
        <w:gridCol w:w="36"/>
        <w:gridCol w:w="36"/>
        <w:gridCol w:w="36"/>
        <w:gridCol w:w="36"/>
        <w:gridCol w:w="36"/>
      </w:tblGrid>
      <w:tr w:rsidR="00000000">
        <w:trPr>
          <w:divId w:val="29382389"/>
        </w:trPr>
        <w:tc>
          <w:tcPr>
            <w:tcW w:w="50" w:type="pct"/>
            <w:vAlign w:val="center"/>
            <w:hideMark/>
          </w:tcPr>
          <w:p w:rsidR="00000000" w:rsidRDefault="00897B14">
            <w:pPr>
              <w:ind w:firstLine="360"/>
              <w:rPr>
                <w:rFonts w:eastAsia="Times New Roman"/>
              </w:rPr>
            </w:pPr>
          </w:p>
        </w:tc>
        <w:tc>
          <w:tcPr>
            <w:tcW w:w="35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18,588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18,905 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16,281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14,771 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29382389"/>
        </w:trPr>
        <w:tc>
          <w:tcPr>
            <w:tcW w:w="0" w:type="auto"/>
            <w:gridSpan w:val="3"/>
            <w:shd w:val="clear" w:color="auto" w:fill="CCEEFF"/>
            <w:tcMar>
              <w:top w:w="30" w:type="dxa"/>
              <w:left w:w="14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34,869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33,676 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492835967"/>
        <w:rPr>
          <w:rFonts w:eastAsia="Times New Roman"/>
        </w:rPr>
      </w:pPr>
      <w:r>
        <w:rPr>
          <w:rFonts w:eastAsia="Times New Roman"/>
          <w:color w:val="000000"/>
          <w:sz w:val="18"/>
          <w:szCs w:val="18"/>
        </w:rPr>
        <w:t>_______________</w:t>
      </w:r>
    </w:p>
    <w:p w:rsidR="00000000" w:rsidRDefault="00897B14">
      <w:pPr>
        <w:ind w:hanging="360"/>
        <w:divId w:val="1617366618"/>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897B14">
      <w:pPr>
        <w:ind w:firstLine="360"/>
        <w:divId w:val="318505833"/>
        <w:rPr>
          <w:rFonts w:eastAsia="Times New Roman"/>
        </w:rPr>
      </w:pPr>
      <w:r>
        <w:rPr>
          <w:rFonts w:eastAsia="Times New Roman"/>
          <w:color w:val="000000"/>
          <w:sz w:val="20"/>
          <w:szCs w:val="20"/>
        </w:rPr>
        <w:t>The following table presents our in-force face amounts for the periods indicated, respectively, f</w:t>
      </w:r>
      <w:r>
        <w:rPr>
          <w:rFonts w:eastAsia="Times New Roman"/>
          <w:color w:val="000000"/>
          <w:sz w:val="20"/>
          <w:szCs w:val="20"/>
        </w:rPr>
        <w:t>or our individual life insurance products:</w:t>
      </w:r>
    </w:p>
    <w:tbl>
      <w:tblPr>
        <w:tblW w:w="5000" w:type="pct"/>
        <w:tblCellMar>
          <w:top w:w="15" w:type="dxa"/>
          <w:left w:w="15" w:type="dxa"/>
          <w:bottom w:w="15" w:type="dxa"/>
          <w:right w:w="15" w:type="dxa"/>
        </w:tblCellMar>
        <w:tblLook w:val="04A0" w:firstRow="1" w:lastRow="0" w:firstColumn="1" w:lastColumn="0" w:noHBand="0" w:noVBand="1"/>
      </w:tblPr>
      <w:tblGrid>
        <w:gridCol w:w="37"/>
        <w:gridCol w:w="5747"/>
        <w:gridCol w:w="36"/>
        <w:gridCol w:w="120"/>
        <w:gridCol w:w="943"/>
        <w:gridCol w:w="36"/>
        <w:gridCol w:w="36"/>
        <w:gridCol w:w="36"/>
        <w:gridCol w:w="36"/>
        <w:gridCol w:w="121"/>
        <w:gridCol w:w="906"/>
        <w:gridCol w:w="36"/>
        <w:gridCol w:w="36"/>
        <w:gridCol w:w="36"/>
        <w:gridCol w:w="36"/>
        <w:gridCol w:w="36"/>
        <w:gridCol w:w="36"/>
        <w:gridCol w:w="36"/>
      </w:tblGrid>
      <w:tr w:rsidR="00000000">
        <w:trPr>
          <w:divId w:val="1551453597"/>
        </w:trPr>
        <w:tc>
          <w:tcPr>
            <w:tcW w:w="50" w:type="pct"/>
            <w:vAlign w:val="center"/>
            <w:hideMark/>
          </w:tcPr>
          <w:p w:rsidR="00000000" w:rsidRDefault="00897B14">
            <w:pPr>
              <w:ind w:firstLine="360"/>
              <w:rPr>
                <w:rFonts w:eastAsia="Times New Roman"/>
              </w:rPr>
            </w:pPr>
          </w:p>
        </w:tc>
        <w:tc>
          <w:tcPr>
            <w:tcW w:w="35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1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In-force face amount by product: (1)</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shd w:val="clear" w:color="auto" w:fill="CCEEFF"/>
            <w:tcMar>
              <w:top w:w="30" w:type="dxa"/>
              <w:left w:w="20" w:type="dxa"/>
              <w:bottom w:w="30" w:type="dxa"/>
              <w:right w:w="20" w:type="dxa"/>
            </w:tcMar>
            <w:hideMark/>
          </w:tcPr>
          <w:p w:rsidR="00000000" w:rsidRDefault="00897B14">
            <w:pPr>
              <w:spacing w:after="100"/>
              <w:divId w:val="1334188005"/>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shd w:val="clear" w:color="auto" w:fill="FFFFFF"/>
            <w:tcMar>
              <w:top w:w="30" w:type="dxa"/>
              <w:left w:w="20" w:type="dxa"/>
              <w:bottom w:w="30" w:type="dxa"/>
              <w:right w:w="20" w:type="dxa"/>
            </w:tcMar>
            <w:hideMark/>
          </w:tcPr>
          <w:p w:rsidR="00000000" w:rsidRDefault="00897B14">
            <w:pPr>
              <w:spacing w:after="100"/>
              <w:divId w:val="864562387"/>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shd w:val="clear" w:color="auto" w:fill="CCEEFF"/>
            <w:tcMar>
              <w:top w:w="30" w:type="dxa"/>
              <w:left w:w="20" w:type="dxa"/>
              <w:bottom w:w="30" w:type="dxa"/>
              <w:right w:w="20" w:type="dxa"/>
            </w:tcMar>
            <w:hideMark/>
          </w:tcPr>
          <w:p w:rsidR="00000000" w:rsidRDefault="00897B14">
            <w:pPr>
              <w:spacing w:after="100"/>
              <w:divId w:val="659044930"/>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shd w:val="clear" w:color="auto" w:fill="FFFFFF"/>
            <w:tcMar>
              <w:top w:w="30" w:type="dxa"/>
              <w:left w:w="20" w:type="dxa"/>
              <w:bottom w:w="30" w:type="dxa"/>
              <w:right w:w="20" w:type="dxa"/>
            </w:tcMar>
            <w:hideMark/>
          </w:tcPr>
          <w:p w:rsidR="00000000" w:rsidRDefault="00897B14">
            <w:pPr>
              <w:spacing w:after="100"/>
              <w:divId w:val="508102333"/>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shd w:val="clear" w:color="auto" w:fill="CCEEFF"/>
            <w:tcMar>
              <w:top w:w="30" w:type="dxa"/>
              <w:left w:w="20" w:type="dxa"/>
              <w:bottom w:w="30" w:type="dxa"/>
              <w:right w:w="20" w:type="dxa"/>
            </w:tcMar>
            <w:hideMark/>
          </w:tcPr>
          <w:p w:rsidR="00000000" w:rsidRDefault="00897B14">
            <w:pPr>
              <w:spacing w:after="100"/>
              <w:divId w:val="228347831"/>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51453597"/>
        </w:trPr>
        <w:tc>
          <w:tcPr>
            <w:tcW w:w="0" w:type="auto"/>
            <w:gridSpan w:val="3"/>
            <w:shd w:val="clear" w:color="auto" w:fill="FFFFFF"/>
            <w:tcMar>
              <w:top w:w="30" w:type="dxa"/>
              <w:left w:w="14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422.4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420.6 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493374294"/>
        <w:rPr>
          <w:rFonts w:eastAsia="Times New Roman"/>
        </w:rPr>
      </w:pPr>
      <w:r>
        <w:rPr>
          <w:rFonts w:eastAsia="Times New Roman"/>
          <w:color w:val="000000"/>
          <w:sz w:val="18"/>
          <w:szCs w:val="18"/>
        </w:rPr>
        <w:t>_______________</w:t>
      </w:r>
    </w:p>
    <w:p w:rsidR="00000000" w:rsidRDefault="00897B14">
      <w:pPr>
        <w:ind w:hanging="360"/>
        <w:divId w:val="1323771738"/>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rsidR="00000000" w:rsidRDefault="00897B14">
      <w:pPr>
        <w:ind w:hanging="360"/>
        <w:divId w:val="704062220"/>
        <w:rPr>
          <w:rFonts w:eastAsia="Times New Roman"/>
        </w:rPr>
      </w:pPr>
      <w:r>
        <w:rPr>
          <w:rFonts w:eastAsia="Times New Roman"/>
          <w:color w:val="000000"/>
          <w:sz w:val="18"/>
          <w:szCs w:val="18"/>
        </w:rPr>
        <w:t>(2)UL includes GUL.</w:t>
      </w:r>
    </w:p>
    <w:p w:rsidR="00000000" w:rsidRDefault="00897B14">
      <w:pPr>
        <w:ind w:hanging="360"/>
        <w:divId w:val="56826303"/>
        <w:rPr>
          <w:rFonts w:eastAsia="Times New Roman"/>
        </w:rPr>
      </w:pPr>
      <w:r>
        <w:rPr>
          <w:rFonts w:eastAsia="Times New Roman"/>
          <w:color w:val="000000"/>
          <w:sz w:val="18"/>
          <w:szCs w:val="18"/>
        </w:rPr>
        <w:t>(3)VUL includes VL and COLI.</w:t>
      </w:r>
    </w:p>
    <w:p w:rsidR="00000000" w:rsidRDefault="00897B14">
      <w:pPr>
        <w:jc w:val="center"/>
        <w:divId w:val="931008681"/>
        <w:rPr>
          <w:rFonts w:eastAsia="Times New Roman"/>
        </w:rPr>
      </w:pPr>
      <w:r>
        <w:rPr>
          <w:rFonts w:eastAsia="Times New Roman"/>
          <w:color w:val="000000"/>
          <w:sz w:val="20"/>
          <w:szCs w:val="20"/>
        </w:rPr>
        <w:t>99</w:t>
      </w:r>
    </w:p>
    <w:p w:rsidR="00000000" w:rsidRDefault="00897B14">
      <w:pPr>
        <w:rPr>
          <w:rFonts w:eastAsia="Times New Roman"/>
        </w:rPr>
      </w:pPr>
      <w:r>
        <w:rPr>
          <w:rFonts w:eastAsia="Times New Roman"/>
        </w:rPr>
        <w:pict>
          <v:rect id="_x0000_i1125" style="width:0;height:1.5pt" o:hralign="center" o:hrstd="t" o:hr="t" fillcolor="#a0a0a0" stroked="f"/>
        </w:pict>
      </w:r>
    </w:p>
    <w:p w:rsidR="00000000" w:rsidRDefault="00897B14">
      <w:pPr>
        <w:divId w:val="1214343385"/>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362705686"/>
        <w:rPr>
          <w:rFonts w:eastAsia="Times New Roman"/>
        </w:rPr>
      </w:pPr>
      <w:r>
        <w:rPr>
          <w:rFonts w:eastAsia="Times New Roman"/>
          <w:b/>
          <w:bCs/>
          <w:color w:val="000000"/>
          <w:sz w:val="20"/>
          <w:szCs w:val="20"/>
        </w:rPr>
        <w:t>Three Months Ended June 30, 2021 Compared to the Three Months Ended June 30, 2020 for the Protection Solutions Segment</w:t>
      </w:r>
    </w:p>
    <w:p w:rsidR="00000000" w:rsidRDefault="00897B14">
      <w:pPr>
        <w:jc w:val="both"/>
        <w:divId w:val="1258975930"/>
        <w:rPr>
          <w:rFonts w:eastAsia="Times New Roman"/>
        </w:rPr>
      </w:pPr>
      <w:r>
        <w:rPr>
          <w:rFonts w:eastAsia="Times New Roman"/>
          <w:b/>
          <w:bCs/>
          <w:i/>
          <w:iCs/>
          <w:color w:val="000000"/>
          <w:sz w:val="20"/>
          <w:szCs w:val="20"/>
        </w:rPr>
        <w:t>Operating earnings (loss)</w:t>
      </w:r>
    </w:p>
    <w:p w:rsidR="00000000" w:rsidRDefault="00897B14">
      <w:pPr>
        <w:ind w:firstLine="360"/>
        <w:divId w:val="1638683606"/>
        <w:rPr>
          <w:rFonts w:eastAsia="Times New Roman"/>
        </w:rPr>
      </w:pPr>
      <w:r>
        <w:rPr>
          <w:rFonts w:eastAsia="Times New Roman"/>
          <w:color w:val="000000"/>
          <w:sz w:val="20"/>
          <w:szCs w:val="20"/>
        </w:rPr>
        <w:t>Operating earnings increased $75 million to $63 mi</w:t>
      </w:r>
      <w:r>
        <w:rPr>
          <w:rFonts w:eastAsia="Times New Roman"/>
          <w:color w:val="000000"/>
          <w:sz w:val="20"/>
          <w:szCs w:val="20"/>
        </w:rPr>
        <w:t>llion during the three months ended June 30, 2021 from $12 million in the three months ended June 30, 2020. The following notable items were the primary drivers of the change in operating earnings:</w:t>
      </w:r>
    </w:p>
    <w:p w:rsidR="00000000" w:rsidRDefault="00897B14">
      <w:pPr>
        <w:ind w:firstLine="360"/>
        <w:divId w:val="1384478808"/>
        <w:rPr>
          <w:rFonts w:eastAsia="Times New Roman"/>
        </w:rPr>
      </w:pPr>
      <w:r>
        <w:rPr>
          <w:rFonts w:eastAsia="Times New Roman"/>
          <w:color w:val="000000"/>
          <w:sz w:val="20"/>
          <w:szCs w:val="20"/>
        </w:rPr>
        <w:t>Favorable items included:</w:t>
      </w:r>
    </w:p>
    <w:p w:rsidR="00000000" w:rsidRDefault="00897B14">
      <w:pPr>
        <w:ind w:hanging="360"/>
        <w:divId w:val="2143034416"/>
        <w:rPr>
          <w:rFonts w:eastAsia="Times New Roman"/>
        </w:rPr>
      </w:pPr>
      <w:r>
        <w:rPr>
          <w:rFonts w:eastAsia="Times New Roman"/>
          <w:color w:val="000000"/>
          <w:sz w:val="20"/>
          <w:szCs w:val="20"/>
        </w:rPr>
        <w:t>•Net investment income increased</w:t>
      </w:r>
      <w:r>
        <w:rPr>
          <w:rFonts w:eastAsia="Times New Roman"/>
          <w:color w:val="000000"/>
          <w:sz w:val="20"/>
          <w:szCs w:val="20"/>
        </w:rPr>
        <w:t xml:space="preserve"> by $67 million mainly due to </w:t>
      </w:r>
      <w:r>
        <w:rPr>
          <w:rFonts w:eastAsia="Times New Roman"/>
          <w:color w:val="000000"/>
          <w:sz w:val="20"/>
          <w:szCs w:val="20"/>
          <w:shd w:val="clear" w:color="auto" w:fill="FFFFFF"/>
        </w:rPr>
        <w:t>higher asset balances, General Account portfolio optimization, prepayments and higher income from our alternative investment portfolio.</w:t>
      </w:r>
    </w:p>
    <w:p w:rsidR="00000000" w:rsidRDefault="00897B14">
      <w:pPr>
        <w:ind w:hanging="360"/>
        <w:divId w:val="1670020311"/>
        <w:rPr>
          <w:rFonts w:eastAsia="Times New Roman"/>
        </w:rPr>
      </w:pPr>
      <w:r>
        <w:rPr>
          <w:rFonts w:eastAsia="Times New Roman"/>
          <w:color w:val="000000"/>
          <w:sz w:val="20"/>
          <w:szCs w:val="20"/>
        </w:rPr>
        <w:t>•Fee-type revenue increased by $52 million mainly driven by lower prior year initial fee l</w:t>
      </w:r>
      <w:r>
        <w:rPr>
          <w:rFonts w:eastAsia="Times New Roman"/>
          <w:color w:val="000000"/>
          <w:sz w:val="20"/>
          <w:szCs w:val="20"/>
        </w:rPr>
        <w:t>iability amortization due to unfavorable mortality experience in 2020, higher premiums due to growth in Employee Benefits and higher investment management and service fees.</w:t>
      </w:r>
    </w:p>
    <w:p w:rsidR="00000000" w:rsidRDefault="00897B14">
      <w:pPr>
        <w:ind w:firstLine="360"/>
        <w:divId w:val="26033445"/>
        <w:rPr>
          <w:rFonts w:eastAsia="Times New Roman"/>
        </w:rPr>
      </w:pPr>
      <w:r>
        <w:rPr>
          <w:rFonts w:eastAsia="Times New Roman"/>
          <w:color w:val="000000"/>
          <w:sz w:val="20"/>
          <w:szCs w:val="20"/>
        </w:rPr>
        <w:t>These were partially offset by the following unfavorable items:</w:t>
      </w:r>
    </w:p>
    <w:p w:rsidR="00000000" w:rsidRDefault="00897B14">
      <w:pPr>
        <w:ind w:hanging="360"/>
        <w:divId w:val="1243873378"/>
        <w:rPr>
          <w:rFonts w:eastAsia="Times New Roman"/>
        </w:rPr>
      </w:pPr>
      <w:r>
        <w:rPr>
          <w:rFonts w:eastAsia="Times New Roman"/>
          <w:color w:val="000000"/>
          <w:sz w:val="20"/>
          <w:szCs w:val="20"/>
        </w:rPr>
        <w:t>•Net derivative gai</w:t>
      </w:r>
      <w:r>
        <w:rPr>
          <w:rFonts w:eastAsia="Times New Roman"/>
          <w:color w:val="000000"/>
          <w:sz w:val="20"/>
          <w:szCs w:val="20"/>
        </w:rPr>
        <w:t>ns (losses) decreased by $15 million mainly due to inflation related hedging loss, partially offset by CDS coupons.</w:t>
      </w:r>
    </w:p>
    <w:p w:rsidR="00000000" w:rsidRDefault="00897B14">
      <w:pPr>
        <w:ind w:hanging="360"/>
        <w:divId w:val="792400989"/>
        <w:rPr>
          <w:rFonts w:eastAsia="Times New Roman"/>
        </w:rPr>
      </w:pPr>
      <w:r>
        <w:rPr>
          <w:rFonts w:eastAsia="Times New Roman"/>
          <w:color w:val="000000"/>
          <w:sz w:val="20"/>
          <w:szCs w:val="20"/>
        </w:rPr>
        <w:t>•Policyholders’ benefits increased by $9 million mainly due to the increase in Employee Benefits’ reserves due to strong growth partially of</w:t>
      </w:r>
      <w:r>
        <w:rPr>
          <w:rFonts w:eastAsia="Times New Roman"/>
          <w:color w:val="000000"/>
          <w:sz w:val="20"/>
          <w:szCs w:val="20"/>
        </w:rPr>
        <w:t>fset by lower adverse mortality, net PFBL reserve in 2021.</w:t>
      </w:r>
    </w:p>
    <w:p w:rsidR="00000000" w:rsidRDefault="00897B14">
      <w:pPr>
        <w:ind w:hanging="360"/>
        <w:divId w:val="1277978103"/>
        <w:rPr>
          <w:rFonts w:eastAsia="Times New Roman"/>
        </w:rPr>
      </w:pPr>
      <w:r>
        <w:rPr>
          <w:rFonts w:eastAsia="Times New Roman"/>
          <w:color w:val="000000"/>
          <w:sz w:val="20"/>
          <w:szCs w:val="20"/>
        </w:rPr>
        <w:t>•Income tax expense increased by $15 million primarily due to higher pre-tax earnings.</w:t>
      </w:r>
    </w:p>
    <w:p w:rsidR="00000000" w:rsidRDefault="00897B14">
      <w:pPr>
        <w:divId w:val="1312753391"/>
        <w:rPr>
          <w:rFonts w:eastAsia="Times New Roman"/>
        </w:rPr>
      </w:pPr>
    </w:p>
    <w:p w:rsidR="00000000" w:rsidRDefault="00897B14">
      <w:pPr>
        <w:divId w:val="2108232969"/>
        <w:rPr>
          <w:rFonts w:eastAsia="Times New Roman"/>
        </w:rPr>
      </w:pPr>
      <w:r>
        <w:rPr>
          <w:rFonts w:eastAsia="Times New Roman"/>
          <w:b/>
          <w:bCs/>
          <w:color w:val="000000"/>
          <w:sz w:val="20"/>
          <w:szCs w:val="20"/>
        </w:rPr>
        <w:t>Six Months Ended June 30, 2021 Compared to the Six Months Ended June 30, 2020 for the Protection Solutions S</w:t>
      </w:r>
      <w:r>
        <w:rPr>
          <w:rFonts w:eastAsia="Times New Roman"/>
          <w:b/>
          <w:bCs/>
          <w:color w:val="000000"/>
          <w:sz w:val="20"/>
          <w:szCs w:val="20"/>
        </w:rPr>
        <w:t>egment</w:t>
      </w:r>
    </w:p>
    <w:p w:rsidR="00000000" w:rsidRDefault="00897B14">
      <w:pPr>
        <w:jc w:val="both"/>
        <w:divId w:val="7678370"/>
        <w:rPr>
          <w:rFonts w:eastAsia="Times New Roman"/>
        </w:rPr>
      </w:pPr>
      <w:r>
        <w:rPr>
          <w:rFonts w:eastAsia="Times New Roman"/>
          <w:b/>
          <w:bCs/>
          <w:i/>
          <w:iCs/>
          <w:color w:val="000000"/>
          <w:sz w:val="20"/>
          <w:szCs w:val="20"/>
        </w:rPr>
        <w:t>Operating earnings</w:t>
      </w:r>
    </w:p>
    <w:p w:rsidR="00000000" w:rsidRDefault="00897B14">
      <w:pPr>
        <w:ind w:firstLine="360"/>
        <w:divId w:val="790786775"/>
        <w:rPr>
          <w:rFonts w:eastAsia="Times New Roman"/>
        </w:rPr>
      </w:pPr>
      <w:r>
        <w:rPr>
          <w:rFonts w:eastAsia="Times New Roman"/>
          <w:color w:val="000000"/>
          <w:sz w:val="20"/>
          <w:szCs w:val="20"/>
        </w:rPr>
        <w:t>Operating earnings increased $67 million to $104 million during the six months ended June 30, 2021 from $37 million in the six months ended June 30, 2020. The following notable items were the primary drivers of the change in operating earnings:</w:t>
      </w:r>
    </w:p>
    <w:p w:rsidR="00000000" w:rsidRDefault="00897B14">
      <w:pPr>
        <w:divId w:val="1405682187"/>
        <w:rPr>
          <w:rFonts w:eastAsia="Times New Roman"/>
        </w:rPr>
      </w:pPr>
      <w:r>
        <w:rPr>
          <w:rFonts w:eastAsia="Times New Roman"/>
          <w:color w:val="000000"/>
          <w:sz w:val="20"/>
          <w:szCs w:val="20"/>
        </w:rPr>
        <w:t>Favorable i</w:t>
      </w:r>
      <w:r>
        <w:rPr>
          <w:rFonts w:eastAsia="Times New Roman"/>
          <w:color w:val="000000"/>
          <w:sz w:val="20"/>
          <w:szCs w:val="20"/>
        </w:rPr>
        <w:t>tems included:</w:t>
      </w:r>
    </w:p>
    <w:p w:rsidR="00000000" w:rsidRDefault="00897B14">
      <w:pPr>
        <w:ind w:hanging="270"/>
        <w:divId w:val="1743523292"/>
        <w:rPr>
          <w:rFonts w:eastAsia="Times New Roman"/>
        </w:rPr>
      </w:pPr>
      <w:r>
        <w:rPr>
          <w:rFonts w:eastAsia="Times New Roman"/>
          <w:color w:val="000000"/>
          <w:sz w:val="20"/>
          <w:szCs w:val="20"/>
        </w:rPr>
        <w:t xml:space="preserve">•Net investment income increased by $85 million mainly due to </w:t>
      </w:r>
      <w:r>
        <w:rPr>
          <w:rFonts w:eastAsia="Times New Roman"/>
          <w:color w:val="000000"/>
          <w:sz w:val="20"/>
          <w:szCs w:val="20"/>
          <w:shd w:val="clear" w:color="auto" w:fill="FFFFFF"/>
        </w:rPr>
        <w:t>higher asset balances, General Account portfolio optimization, prepayments and higher income from our alternative investment portfolio.</w:t>
      </w:r>
    </w:p>
    <w:p w:rsidR="00000000" w:rsidRDefault="00897B14">
      <w:pPr>
        <w:ind w:hanging="270"/>
        <w:divId w:val="996541226"/>
        <w:rPr>
          <w:rFonts w:eastAsia="Times New Roman"/>
        </w:rPr>
      </w:pPr>
      <w:r>
        <w:rPr>
          <w:rFonts w:eastAsia="Times New Roman"/>
          <w:color w:val="000000"/>
          <w:sz w:val="20"/>
          <w:szCs w:val="20"/>
        </w:rPr>
        <w:t>•Amortization of DAC decreased by $20 milli</w:t>
      </w:r>
      <w:r>
        <w:rPr>
          <w:rFonts w:eastAsia="Times New Roman"/>
          <w:color w:val="000000"/>
          <w:sz w:val="20"/>
          <w:szCs w:val="20"/>
        </w:rPr>
        <w:t>on mainly due to lower VISL baseline amortization following the DAC write-off in the first half of 2020.</w:t>
      </w:r>
    </w:p>
    <w:p w:rsidR="00000000" w:rsidRDefault="00897B14">
      <w:pPr>
        <w:ind w:firstLine="90"/>
        <w:divId w:val="1844054163"/>
        <w:rPr>
          <w:rFonts w:eastAsia="Times New Roman"/>
        </w:rPr>
      </w:pPr>
      <w:r>
        <w:rPr>
          <w:rFonts w:eastAsia="Times New Roman"/>
          <w:color w:val="000000"/>
          <w:sz w:val="20"/>
          <w:szCs w:val="20"/>
        </w:rPr>
        <w:t>These were partially offset by the following unfavorable items:</w:t>
      </w:r>
    </w:p>
    <w:p w:rsidR="00000000" w:rsidRDefault="00897B14">
      <w:pPr>
        <w:ind w:hanging="270"/>
        <w:divId w:val="1822692232"/>
        <w:rPr>
          <w:rFonts w:eastAsia="Times New Roman"/>
        </w:rPr>
      </w:pPr>
      <w:r>
        <w:rPr>
          <w:rFonts w:eastAsia="Times New Roman"/>
          <w:color w:val="000000"/>
          <w:sz w:val="20"/>
          <w:szCs w:val="20"/>
        </w:rPr>
        <w:t>•Policyholders’ benefits increased by $18 million mainly due to unfavorable morality dr</w:t>
      </w:r>
      <w:r>
        <w:rPr>
          <w:rFonts w:eastAsia="Times New Roman"/>
          <w:color w:val="000000"/>
          <w:sz w:val="20"/>
          <w:szCs w:val="20"/>
        </w:rPr>
        <w:t>iven by COVID-19 claims in the first quarter in 2021, which were offset by higher ceded coverage and the release of reserves. Employee Benefits’ reserves continue to grow in line with the block size. Claims on traditional products were lower due to the sal</w:t>
      </w:r>
      <w:r>
        <w:rPr>
          <w:rFonts w:eastAsia="Times New Roman"/>
          <w:color w:val="000000"/>
          <w:sz w:val="20"/>
          <w:szCs w:val="20"/>
        </w:rPr>
        <w:t>e of the USFL and MLICA blocks in April 2020.</w:t>
      </w:r>
    </w:p>
    <w:p w:rsidR="00000000" w:rsidRDefault="00897B14">
      <w:pPr>
        <w:ind w:hanging="270"/>
        <w:divId w:val="1230268197"/>
        <w:rPr>
          <w:rFonts w:eastAsia="Times New Roman"/>
        </w:rPr>
      </w:pPr>
      <w:r>
        <w:rPr>
          <w:rFonts w:eastAsia="Times New Roman"/>
          <w:color w:val="000000"/>
          <w:sz w:val="20"/>
          <w:szCs w:val="20"/>
        </w:rPr>
        <w:t>•</w:t>
      </w:r>
      <w:r>
        <w:rPr>
          <w:rFonts w:eastAsia="Times New Roman"/>
          <w:color w:val="000000"/>
          <w:sz w:val="20"/>
          <w:szCs w:val="20"/>
        </w:rPr>
        <w:t>Net derivative gains (losses) decreased by $18 million mainly due to inflation related hedging loss, partially offset by CDS coupons.</w:t>
      </w:r>
    </w:p>
    <w:p w:rsidR="00000000" w:rsidRDefault="00897B14">
      <w:pPr>
        <w:ind w:hanging="270"/>
        <w:jc w:val="both"/>
        <w:divId w:val="364184798"/>
        <w:rPr>
          <w:rFonts w:eastAsia="Times New Roman"/>
        </w:rPr>
      </w:pPr>
      <w:r>
        <w:rPr>
          <w:rFonts w:eastAsia="Times New Roman"/>
          <w:color w:val="000000"/>
          <w:sz w:val="20"/>
          <w:szCs w:val="20"/>
        </w:rPr>
        <w:t>•Income tax expense increased by $12 million primarily due to higher pre-tax earnings.</w:t>
      </w:r>
    </w:p>
    <w:p w:rsidR="00000000" w:rsidRDefault="00897B14">
      <w:pPr>
        <w:jc w:val="center"/>
        <w:divId w:val="1189567667"/>
        <w:rPr>
          <w:rFonts w:eastAsia="Times New Roman"/>
        </w:rPr>
      </w:pPr>
      <w:r>
        <w:rPr>
          <w:rFonts w:eastAsia="Times New Roman"/>
          <w:color w:val="000000"/>
          <w:sz w:val="20"/>
          <w:szCs w:val="20"/>
        </w:rPr>
        <w:t>100</w:t>
      </w:r>
    </w:p>
    <w:p w:rsidR="00000000" w:rsidRDefault="00897B14">
      <w:pPr>
        <w:rPr>
          <w:rFonts w:eastAsia="Times New Roman"/>
        </w:rPr>
      </w:pPr>
      <w:r>
        <w:rPr>
          <w:rFonts w:eastAsia="Times New Roman"/>
        </w:rPr>
        <w:pict>
          <v:rect id="_x0000_i1126" style="width:0;height:1.5pt" o:hralign="center" o:hrstd="t" o:hr="t" fillcolor="#a0a0a0" stroked="f"/>
        </w:pict>
      </w:r>
    </w:p>
    <w:p w:rsidR="00000000" w:rsidRDefault="00897B14">
      <w:pPr>
        <w:divId w:val="675352797"/>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784229482"/>
        <w:rPr>
          <w:rFonts w:eastAsia="Times New Roman"/>
        </w:rPr>
      </w:pPr>
      <w:r>
        <w:rPr>
          <w:rFonts w:eastAsia="Times New Roman"/>
          <w:b/>
          <w:bCs/>
          <w:color w:val="000000"/>
          <w:sz w:val="20"/>
          <w:szCs w:val="20"/>
        </w:rPr>
        <w:t>Corporate and Other</w:t>
      </w:r>
    </w:p>
    <w:p w:rsidR="00000000" w:rsidRDefault="00897B14">
      <w:pPr>
        <w:ind w:firstLine="360"/>
        <w:divId w:val="818303906"/>
        <w:rPr>
          <w:rFonts w:eastAsia="Times New Roman"/>
        </w:rPr>
      </w:pPr>
      <w:r>
        <w:rPr>
          <w:rFonts w:eastAsia="Times New Roman"/>
          <w:color w:val="000000"/>
          <w:sz w:val="20"/>
          <w:szCs w:val="20"/>
        </w:rPr>
        <w:t>Corporate and Other includes some of our financing and investment expenses. It also includes: Equitable Advisors broker-dealer business, the Closed Block</w:t>
      </w:r>
      <w:r>
        <w:rPr>
          <w:rFonts w:eastAsia="Times New Roman"/>
          <w:color w:val="000000"/>
          <w:sz w:val="20"/>
          <w:szCs w:val="20"/>
        </w:rPr>
        <w:t>, run-off variable annuity reinsurance business, run-off group pension business, run-off health business, benefit plans for our employees, certain strategic investments and certain unallocated items, including capital and related investments, interest expe</w:t>
      </w:r>
      <w:r>
        <w:rPr>
          <w:rFonts w:eastAsia="Times New Roman"/>
          <w:color w:val="000000"/>
          <w:sz w:val="20"/>
          <w:szCs w:val="20"/>
        </w:rPr>
        <w:t>nse and financing fees and corporate expense. AB’s results of operations are reflected in the Investment Management and Research segment. Accordingly, Corporate and Other does not include any items applicable to AB.</w:t>
      </w:r>
    </w:p>
    <w:p w:rsidR="00000000" w:rsidRDefault="00897B14">
      <w:pPr>
        <w:ind w:firstLine="360"/>
        <w:divId w:val="42144369"/>
        <w:rPr>
          <w:rFonts w:eastAsia="Times New Roman"/>
        </w:rPr>
      </w:pPr>
      <w:r>
        <w:rPr>
          <w:rFonts w:eastAsia="Times New Roman"/>
          <w:color w:val="000000"/>
          <w:sz w:val="20"/>
          <w:szCs w:val="20"/>
        </w:rPr>
        <w:t>The following table summarizes operating</w:t>
      </w:r>
      <w:r>
        <w:rPr>
          <w:rFonts w:eastAsia="Times New Roman"/>
          <w:color w:val="000000"/>
          <w:sz w:val="20"/>
          <w:szCs w:val="20"/>
        </w:rPr>
        <w:t xml:space="preserve"> earnings (loss) of Corporate and Other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084"/>
        <w:gridCol w:w="36"/>
        <w:gridCol w:w="120"/>
        <w:gridCol w:w="692"/>
        <w:gridCol w:w="36"/>
        <w:gridCol w:w="36"/>
        <w:gridCol w:w="36"/>
        <w:gridCol w:w="36"/>
        <w:gridCol w:w="120"/>
        <w:gridCol w:w="692"/>
        <w:gridCol w:w="36"/>
        <w:gridCol w:w="120"/>
        <w:gridCol w:w="880"/>
        <w:gridCol w:w="36"/>
        <w:gridCol w:w="36"/>
        <w:gridCol w:w="36"/>
        <w:gridCol w:w="36"/>
        <w:gridCol w:w="120"/>
        <w:gridCol w:w="829"/>
        <w:gridCol w:w="36"/>
        <w:gridCol w:w="36"/>
        <w:gridCol w:w="36"/>
        <w:gridCol w:w="36"/>
        <w:gridCol w:w="36"/>
        <w:gridCol w:w="36"/>
        <w:gridCol w:w="36"/>
      </w:tblGrid>
      <w:tr w:rsidR="00000000">
        <w:trPr>
          <w:divId w:val="806431046"/>
        </w:trPr>
        <w:tc>
          <w:tcPr>
            <w:tcW w:w="50" w:type="pct"/>
            <w:vAlign w:val="center"/>
            <w:hideMark/>
          </w:tcPr>
          <w:p w:rsidR="00000000" w:rsidRDefault="00897B14">
            <w:pPr>
              <w:ind w:firstLine="360"/>
              <w:rPr>
                <w:rFonts w:eastAsia="Times New Roman"/>
              </w:rPr>
            </w:pPr>
          </w:p>
        </w:tc>
        <w:tc>
          <w:tcPr>
            <w:tcW w:w="25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1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6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06431046"/>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80643104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bottom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897B14">
            <w:pPr>
              <w:spacing w:after="100"/>
              <w:jc w:val="center"/>
              <w:rPr>
                <w:rFonts w:eastAsia="Times New Roman"/>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806431046"/>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18"/>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806431046"/>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Operating earnings (loss)</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(92)</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(157)</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divId w:val="114032738"/>
        <w:rPr>
          <w:rFonts w:eastAsia="Times New Roman"/>
        </w:rPr>
      </w:pPr>
      <w:r>
        <w:rPr>
          <w:rFonts w:eastAsia="Times New Roman"/>
          <w:b/>
          <w:bCs/>
          <w:color w:val="000000"/>
          <w:sz w:val="20"/>
          <w:szCs w:val="20"/>
        </w:rPr>
        <w:t>General Account Investment Portfolio</w:t>
      </w:r>
    </w:p>
    <w:p w:rsidR="00000000" w:rsidRDefault="00897B14">
      <w:pPr>
        <w:ind w:firstLine="360"/>
        <w:divId w:val="891622752"/>
        <w:rPr>
          <w:rFonts w:eastAsia="Times New Roman"/>
        </w:rPr>
      </w:pPr>
      <w:r>
        <w:rPr>
          <w:rFonts w:eastAsia="Times New Roman"/>
          <w:color w:val="000000"/>
          <w:sz w:val="20"/>
          <w:szCs w:val="20"/>
        </w:rPr>
        <w:t>The General Account investment portfolio supports the insurance and annuity liabilities of our Individu</w:t>
      </w:r>
      <w:r>
        <w:rPr>
          <w:rFonts w:eastAsia="Times New Roman"/>
          <w:color w:val="000000"/>
          <w:sz w:val="20"/>
          <w:szCs w:val="20"/>
        </w:rPr>
        <w:t>al Retirement, Group Retirement and Protection Solutions businesses. Our General Account investment portfolio investment strategy seeks to achieve sustainable risk-adjusted returns by focusing on principal preservation, investment return, duration and liqu</w:t>
      </w:r>
      <w:r>
        <w:rPr>
          <w:rFonts w:eastAsia="Times New Roman"/>
          <w:color w:val="000000"/>
          <w:sz w:val="20"/>
          <w:szCs w:val="20"/>
        </w:rPr>
        <w:t>idity requirements by product class and the diversification of risks. Investment activities are undertaken according to investment policy statements that contain internally established guidelines and are required to comply with applicable laws and insuranc</w:t>
      </w:r>
      <w:r>
        <w:rPr>
          <w:rFonts w:eastAsia="Times New Roman"/>
          <w:color w:val="000000"/>
          <w:sz w:val="20"/>
          <w:szCs w:val="20"/>
        </w:rPr>
        <w:t>e regulations. Risk tolerances are established for credit risk, market risk, liquidity risk and concentration risk across types of issuers and asset classes that seek to mitigate the impact of cash flow variability arising from these risks. The impact of C</w:t>
      </w:r>
      <w:r>
        <w:rPr>
          <w:rFonts w:eastAsia="Times New Roman"/>
          <w:color w:val="000000"/>
          <w:sz w:val="20"/>
          <w:szCs w:val="20"/>
        </w:rPr>
        <w:t>OVID-19 continues to be assessed for potential negative impacts to the performance of mortgage loans and fixed maturities.</w:t>
      </w:r>
    </w:p>
    <w:p w:rsidR="00000000" w:rsidRDefault="00897B14">
      <w:pPr>
        <w:ind w:firstLine="360"/>
        <w:divId w:val="279990400"/>
        <w:rPr>
          <w:rFonts w:eastAsia="Times New Roman"/>
        </w:rPr>
      </w:pPr>
      <w:r>
        <w:rPr>
          <w:rFonts w:eastAsia="Times New Roman"/>
          <w:color w:val="000000"/>
          <w:sz w:val="20"/>
          <w:szCs w:val="20"/>
        </w:rPr>
        <w:t>The General Account investment portfolio consists largely of investment grade fixed maturities, short-term investments, commercial an</w:t>
      </w:r>
      <w:r>
        <w:rPr>
          <w:rFonts w:eastAsia="Times New Roman"/>
          <w:color w:val="000000"/>
          <w:sz w:val="20"/>
          <w:szCs w:val="20"/>
        </w:rPr>
        <w:t>d agricultural mortgage loans, alternative investments and other financial instruments. Fixed maturities include publicly issued corporate bonds, government bonds, privately placed notes and bonds, bonds issued by states and municipalities, mortgage-backed</w:t>
      </w:r>
      <w:r>
        <w:rPr>
          <w:rFonts w:eastAsia="Times New Roman"/>
          <w:color w:val="000000"/>
          <w:sz w:val="20"/>
          <w:szCs w:val="20"/>
        </w:rPr>
        <w:t xml:space="preserve"> securities and asset-backed securities. The General Account investment portfolio also includes credit derivatives to replicate exposure to individual securities or pools of securities as a means of achieving credit exposure similar to bonds of the underly</w:t>
      </w:r>
      <w:r>
        <w:rPr>
          <w:rFonts w:eastAsia="Times New Roman"/>
          <w:color w:val="000000"/>
          <w:sz w:val="20"/>
          <w:szCs w:val="20"/>
        </w:rPr>
        <w:t>ing issuer(s) more efficiently. In addition, from time to time we use derivatives for hedging purposes to reduce our exposure to equity markets, interest rates and credit spreads. The General Account as part of a yield enhancement strategy has further dive</w:t>
      </w:r>
      <w:r>
        <w:rPr>
          <w:rFonts w:eastAsia="Times New Roman"/>
          <w:color w:val="000000"/>
          <w:sz w:val="20"/>
          <w:szCs w:val="20"/>
        </w:rPr>
        <w:t>rsification within the existing Commercial Mortgage Loan portfolio and extension into higher-yielding commercial mortgage investments; selectively expanding into a private European Commercial Real Estate Debt platform.</w:t>
      </w:r>
    </w:p>
    <w:p w:rsidR="00000000" w:rsidRDefault="00897B14">
      <w:pPr>
        <w:ind w:firstLine="360"/>
        <w:divId w:val="1578203530"/>
        <w:rPr>
          <w:rFonts w:eastAsia="Times New Roman"/>
        </w:rPr>
      </w:pPr>
      <w:r>
        <w:rPr>
          <w:rFonts w:eastAsia="Times New Roman"/>
          <w:color w:val="000000"/>
          <w:sz w:val="20"/>
          <w:szCs w:val="20"/>
        </w:rPr>
        <w:t>As part of our asset and liability ma</w:t>
      </w:r>
      <w:r>
        <w:rPr>
          <w:rFonts w:eastAsia="Times New Roman"/>
          <w:color w:val="000000"/>
          <w:sz w:val="20"/>
          <w:szCs w:val="20"/>
        </w:rPr>
        <w:t xml:space="preserve">nagement strategies, we maintain a weighted average duration for our General Account investment portfolio that is within an acceptable range of the estimated duration of our liabilities given our risk appetite and hedging programs. Our asset and liability </w:t>
      </w:r>
      <w:r>
        <w:rPr>
          <w:rFonts w:eastAsia="Times New Roman"/>
          <w:color w:val="000000"/>
          <w:sz w:val="20"/>
          <w:szCs w:val="20"/>
        </w:rPr>
        <w:t>management strategies are applied to portfolio duration groups within the General Account investment portfolio. For example, we maintain a “short duration” group comprised primarily of investment grade fixed maturity securities that are aligned with the du</w:t>
      </w:r>
      <w:r>
        <w:rPr>
          <w:rFonts w:eastAsia="Times New Roman"/>
          <w:color w:val="000000"/>
          <w:sz w:val="20"/>
          <w:szCs w:val="20"/>
        </w:rPr>
        <w:t xml:space="preserve">ration of product liabilities with an average duration of less than six years (e.g., our SCS product). As of June 30, 2021 and December 31, 2020, 16% and 60% of the fixed maturities in the short duration group were rated NAIC 1, and 84% and 40% were rated </w:t>
      </w:r>
      <w:r>
        <w:rPr>
          <w:rFonts w:eastAsia="Times New Roman"/>
          <w:color w:val="000000"/>
          <w:sz w:val="20"/>
          <w:szCs w:val="20"/>
        </w:rPr>
        <w:t>NAIC 2, respectively. During 2021, purchases from both new money flows and portfolio rebalancing activity were designated as AFS fixed maturities. The remaining trading securities in the short duration VA portfolio will be opportunistically rebalanced to A</w:t>
      </w:r>
      <w:r>
        <w:rPr>
          <w:rFonts w:eastAsia="Times New Roman"/>
          <w:color w:val="000000"/>
          <w:sz w:val="20"/>
          <w:szCs w:val="20"/>
        </w:rPr>
        <w:t>FS and shown with fixed maturities, which is consistent with other portfolios in our General Account. AFS assets included in fixed maturities had an amortized cost of $22.1 billion as of June 30, 2021.</w:t>
      </w:r>
    </w:p>
    <w:p w:rsidR="00000000" w:rsidRDefault="00897B14">
      <w:pPr>
        <w:ind w:firstLine="360"/>
        <w:divId w:val="1441333934"/>
        <w:rPr>
          <w:rFonts w:eastAsia="Times New Roman"/>
        </w:rPr>
      </w:pPr>
      <w:r>
        <w:rPr>
          <w:rFonts w:eastAsia="Times New Roman"/>
          <w:color w:val="000000"/>
          <w:sz w:val="20"/>
          <w:szCs w:val="20"/>
        </w:rPr>
        <w:t>The General Account invests in commercial and agricult</w:t>
      </w:r>
      <w:r>
        <w:rPr>
          <w:rFonts w:eastAsia="Times New Roman"/>
          <w:color w:val="000000"/>
          <w:sz w:val="20"/>
          <w:szCs w:val="20"/>
        </w:rPr>
        <w:t>ural mortgage loans, included in the balance sheet as mortgage loans on real estate, and privately negotiated fixed maturities, included in the balance sheet as fixed maturities AFS. Under certain circumstances, modifications are granted to these contracts</w:t>
      </w:r>
      <w:r>
        <w:rPr>
          <w:rFonts w:eastAsia="Times New Roman"/>
          <w:color w:val="000000"/>
          <w:sz w:val="20"/>
          <w:szCs w:val="20"/>
        </w:rPr>
        <w:t>. These modifications were determined not to be TDRs. As of June 30, 2021 and December 31, 2020, the General Account had twenty-one and twenty commercial mortgage loans with a carrying value of $936 million and $838 million in which short term modification</w:t>
      </w:r>
      <w:r>
        <w:rPr>
          <w:rFonts w:eastAsia="Times New Roman"/>
          <w:color w:val="000000"/>
          <w:sz w:val="20"/>
          <w:szCs w:val="20"/>
        </w:rPr>
        <w:t>s were granted. Forbearance agreements reduced mortgage payments for a set time period. The commercial mortgage modifications were a result of the COVID-19 pandemic’s impact on the underlying real estate operations. The General Account did not have any agr</w:t>
      </w:r>
      <w:r>
        <w:rPr>
          <w:rFonts w:eastAsia="Times New Roman"/>
          <w:color w:val="000000"/>
          <w:sz w:val="20"/>
          <w:szCs w:val="20"/>
        </w:rPr>
        <w:t xml:space="preserve">icultural mortgage loans for which modifications were granted as of June 30, 2021 and December 31, 2020. As of June 30, 2021 and December 31, </w:t>
      </w:r>
    </w:p>
    <w:p w:rsidR="00000000" w:rsidRDefault="00897B14">
      <w:pPr>
        <w:divId w:val="1529417491"/>
        <w:rPr>
          <w:rFonts w:eastAsia="Times New Roman"/>
        </w:rPr>
      </w:pPr>
    </w:p>
    <w:p w:rsidR="00000000" w:rsidRDefault="00897B14">
      <w:pPr>
        <w:rPr>
          <w:rFonts w:eastAsia="Times New Roman"/>
        </w:rPr>
      </w:pPr>
      <w:r>
        <w:rPr>
          <w:rFonts w:eastAsia="Times New Roman"/>
        </w:rPr>
        <w:pict>
          <v:rect id="_x0000_i1127" style="width:0;height:1.5pt" o:hralign="center" o:hrstd="t" o:hr="t" fillcolor="#a0a0a0" stroked="f"/>
        </w:pict>
      </w:r>
    </w:p>
    <w:p w:rsidR="00000000" w:rsidRDefault="00897B14">
      <w:pPr>
        <w:divId w:val="1157265719"/>
        <w:rPr>
          <w:rFonts w:eastAsia="Times New Roman"/>
        </w:rPr>
      </w:pPr>
      <w:hyperlink w:anchor="i4720991a3d574ba2ab7d34b235a82556_10" w:history="1">
        <w:r>
          <w:rPr>
            <w:rStyle w:val="a3"/>
            <w:rFonts w:eastAsia="Times New Roman"/>
            <w:b/>
            <w:bCs/>
            <w:sz w:val="20"/>
            <w:szCs w:val="20"/>
          </w:rPr>
          <w:t>Table of Conten</w:t>
        </w:r>
        <w:r>
          <w:rPr>
            <w:rStyle w:val="a3"/>
            <w:rFonts w:eastAsia="Times New Roman"/>
            <w:b/>
            <w:bCs/>
            <w:sz w:val="20"/>
            <w:szCs w:val="20"/>
          </w:rPr>
          <w:t>ts</w:t>
        </w:r>
      </w:hyperlink>
    </w:p>
    <w:p w:rsidR="00000000" w:rsidRDefault="00897B14">
      <w:pPr>
        <w:divId w:val="730034450"/>
        <w:rPr>
          <w:rFonts w:eastAsia="Times New Roman"/>
        </w:rPr>
      </w:pPr>
      <w:r>
        <w:rPr>
          <w:rFonts w:eastAsia="Times New Roman"/>
          <w:color w:val="000000"/>
          <w:sz w:val="20"/>
          <w:szCs w:val="20"/>
        </w:rPr>
        <w:t>2020, the General Account had eight and seven privately negotiated fixed maturity modifications with a book value of $79 million and $74 million, respectively. The modifications to privately negotiated fixed maturities were to allow for the postponement</w:t>
      </w:r>
      <w:r>
        <w:rPr>
          <w:rFonts w:eastAsia="Times New Roman"/>
          <w:color w:val="000000"/>
          <w:sz w:val="20"/>
          <w:szCs w:val="20"/>
        </w:rPr>
        <w:t xml:space="preserve"> or reduction in interest or principal payments for a defined period. The modifications were agreed upon to support several investments that had operations decline primarily due to the COVID-19 pandemic. The commercial mortgage loans and privately negotiat</w:t>
      </w:r>
      <w:r>
        <w:rPr>
          <w:rFonts w:eastAsia="Times New Roman"/>
          <w:color w:val="000000"/>
          <w:sz w:val="20"/>
          <w:szCs w:val="20"/>
        </w:rPr>
        <w:t xml:space="preserve">ed fixed maturities modifications are 1.2% and 1%, respectively, of the General Account’s total invested assets. </w:t>
      </w:r>
    </w:p>
    <w:p w:rsidR="00000000" w:rsidRDefault="00897B14">
      <w:pPr>
        <w:ind w:firstLine="360"/>
        <w:divId w:val="1697077026"/>
        <w:rPr>
          <w:rFonts w:eastAsia="Times New Roman"/>
        </w:rPr>
      </w:pPr>
      <w:r>
        <w:rPr>
          <w:rFonts w:eastAsia="Times New Roman"/>
          <w:color w:val="000000"/>
          <w:sz w:val="20"/>
          <w:szCs w:val="20"/>
        </w:rPr>
        <w:t>Investment portfolios are primarily managed by legal entity with dedicated portfolios for certain blocks of business. For portfolios that back multiple product groups, investment results are allocated to business segments.</w:t>
      </w:r>
    </w:p>
    <w:p w:rsidR="00000000" w:rsidRDefault="00897B14">
      <w:pPr>
        <w:ind w:firstLine="360"/>
        <w:divId w:val="1222979722"/>
        <w:rPr>
          <w:rFonts w:eastAsia="Times New Roman"/>
        </w:rPr>
      </w:pPr>
      <w:r>
        <w:rPr>
          <w:rFonts w:eastAsia="Times New Roman"/>
          <w:color w:val="000000"/>
          <w:sz w:val="20"/>
          <w:szCs w:val="20"/>
        </w:rPr>
        <w:t>In executing the activities of ou</w:t>
      </w:r>
      <w:r>
        <w:rPr>
          <w:rFonts w:eastAsia="Times New Roman"/>
          <w:color w:val="000000"/>
          <w:sz w:val="20"/>
          <w:szCs w:val="20"/>
        </w:rPr>
        <w:t xml:space="preserve">r General Account investment portfolio, we incorporate environmental, social and governance factors into the investment processes for a significant portion of our portfolio and will look to expand our ESG investing initiatives in the future. </w:t>
      </w:r>
    </w:p>
    <w:p w:rsidR="00000000" w:rsidRDefault="00897B14">
      <w:pPr>
        <w:ind w:firstLine="360"/>
        <w:divId w:val="1035421078"/>
        <w:rPr>
          <w:rFonts w:eastAsia="Times New Roman"/>
        </w:rPr>
      </w:pPr>
      <w:r>
        <w:rPr>
          <w:rFonts w:eastAsia="Times New Roman"/>
          <w:color w:val="000000"/>
          <w:sz w:val="20"/>
          <w:szCs w:val="20"/>
        </w:rPr>
        <w:t>The General A</w:t>
      </w:r>
      <w:r>
        <w:rPr>
          <w:rFonts w:eastAsia="Times New Roman"/>
          <w:color w:val="000000"/>
          <w:sz w:val="20"/>
          <w:szCs w:val="20"/>
        </w:rPr>
        <w:t>ccount investment portfolio reflects certain differences from the presentation of the U.S. GAAP Consolidated Financial Statements. This presentation is consistent with how we manage the General Account investment portfolio. For further investment informati</w:t>
      </w:r>
      <w:r>
        <w:rPr>
          <w:rFonts w:eastAsia="Times New Roman"/>
          <w:color w:val="000000"/>
          <w:sz w:val="20"/>
          <w:szCs w:val="20"/>
        </w:rPr>
        <w:t>on, please refer to Note 3 and Note 4 of the Notes to the Consolidated Financial Statements.</w:t>
      </w:r>
    </w:p>
    <w:p w:rsidR="00000000" w:rsidRDefault="00897B14">
      <w:pPr>
        <w:jc w:val="both"/>
        <w:divId w:val="895046220"/>
        <w:rPr>
          <w:rFonts w:eastAsia="Times New Roman"/>
        </w:rPr>
      </w:pPr>
      <w:r>
        <w:rPr>
          <w:rFonts w:eastAsia="Times New Roman"/>
          <w:b/>
          <w:bCs/>
          <w:i/>
          <w:iCs/>
          <w:color w:val="000000"/>
          <w:sz w:val="20"/>
          <w:szCs w:val="20"/>
        </w:rPr>
        <w:t>Investment Results of the General Account Investment Portfolio</w:t>
      </w:r>
    </w:p>
    <w:p w:rsidR="00000000" w:rsidRDefault="00897B14">
      <w:pPr>
        <w:ind w:firstLine="360"/>
        <w:divId w:val="1399017855"/>
        <w:rPr>
          <w:rFonts w:eastAsia="Times New Roman"/>
        </w:rPr>
      </w:pPr>
      <w:r>
        <w:rPr>
          <w:rFonts w:eastAsia="Times New Roman"/>
          <w:color w:val="000000"/>
          <w:sz w:val="20"/>
          <w:szCs w:val="20"/>
        </w:rPr>
        <w:t>The following table summarizes the General Account investment portfolio results with Non-GAAP operat</w:t>
      </w:r>
      <w:r>
        <w:rPr>
          <w:rFonts w:eastAsia="Times New Roman"/>
          <w:color w:val="000000"/>
          <w:sz w:val="20"/>
          <w:szCs w:val="20"/>
        </w:rPr>
        <w:t>ing earnings adjustments by asset category for the periods indicated. This presentation is consistent with how we measure investment performance for management purposes.</w:t>
      </w:r>
    </w:p>
    <w:p w:rsidR="00000000" w:rsidRDefault="00897B14">
      <w:pPr>
        <w:jc w:val="center"/>
        <w:divId w:val="154879747"/>
        <w:rPr>
          <w:rFonts w:eastAsia="Times New Roman"/>
        </w:rPr>
      </w:pPr>
      <w:r>
        <w:rPr>
          <w:rFonts w:eastAsia="Times New Roman"/>
          <w:color w:val="000000"/>
          <w:sz w:val="20"/>
          <w:szCs w:val="20"/>
        </w:rPr>
        <w:t>102</w:t>
      </w:r>
    </w:p>
    <w:p w:rsidR="00000000" w:rsidRDefault="00897B14">
      <w:pPr>
        <w:rPr>
          <w:rFonts w:eastAsia="Times New Roman"/>
        </w:rPr>
      </w:pPr>
      <w:r>
        <w:rPr>
          <w:rFonts w:eastAsia="Times New Roman"/>
        </w:rPr>
        <w:pict>
          <v:rect id="_x0000_i1128" style="width:0;height:1.5pt" o:hralign="center" o:hrstd="t" o:hr="t" fillcolor="#a0a0a0" stroked="f"/>
        </w:pict>
      </w:r>
    </w:p>
    <w:p w:rsidR="00000000" w:rsidRDefault="00897B14">
      <w:pPr>
        <w:divId w:val="153841175"/>
        <w:rPr>
          <w:rFonts w:eastAsia="Times New Roman"/>
        </w:rPr>
      </w:pPr>
      <w:hyperlink w:anchor="i4720991a3d574ba2ab7d34b235a82556_10" w:history="1">
        <w:r>
          <w:rPr>
            <w:rStyle w:val="a3"/>
            <w:rFonts w:eastAsia="Times New Roman"/>
            <w:b/>
            <w:bCs/>
            <w:sz w:val="20"/>
            <w:szCs w:val="20"/>
          </w:rPr>
          <w:t>Table of Contents</w:t>
        </w:r>
      </w:hyperlink>
    </w:p>
    <w:tbl>
      <w:tblPr>
        <w:tblW w:w="4824" w:type="pct"/>
        <w:tblCellMar>
          <w:top w:w="15" w:type="dxa"/>
          <w:left w:w="15" w:type="dxa"/>
          <w:bottom w:w="15" w:type="dxa"/>
          <w:right w:w="15" w:type="dxa"/>
        </w:tblCellMar>
        <w:tblLook w:val="04A0" w:firstRow="1" w:lastRow="0" w:firstColumn="1" w:lastColumn="0" w:noHBand="0" w:noVBand="1"/>
      </w:tblPr>
      <w:tblGrid>
        <w:gridCol w:w="39"/>
        <w:gridCol w:w="4443"/>
        <w:gridCol w:w="38"/>
        <w:gridCol w:w="59"/>
        <w:gridCol w:w="461"/>
        <w:gridCol w:w="220"/>
        <w:gridCol w:w="37"/>
        <w:gridCol w:w="103"/>
        <w:gridCol w:w="36"/>
        <w:gridCol w:w="120"/>
        <w:gridCol w:w="600"/>
        <w:gridCol w:w="36"/>
        <w:gridCol w:w="36"/>
        <w:gridCol w:w="36"/>
        <w:gridCol w:w="36"/>
        <w:gridCol w:w="69"/>
        <w:gridCol w:w="535"/>
        <w:gridCol w:w="187"/>
        <w:gridCol w:w="37"/>
        <w:gridCol w:w="94"/>
        <w:gridCol w:w="36"/>
        <w:gridCol w:w="120"/>
        <w:gridCol w:w="600"/>
        <w:gridCol w:w="36"/>
      </w:tblGrid>
      <w:tr w:rsidR="00000000">
        <w:trPr>
          <w:divId w:val="791217559"/>
        </w:trPr>
        <w:tc>
          <w:tcPr>
            <w:tcW w:w="50" w:type="pct"/>
            <w:vAlign w:val="center"/>
            <w:hideMark/>
          </w:tcPr>
          <w:p w:rsidR="00000000" w:rsidRDefault="00897B14">
            <w:pPr>
              <w:rPr>
                <w:rFonts w:eastAsia="Times New Roman"/>
              </w:rPr>
            </w:pPr>
          </w:p>
        </w:tc>
        <w:tc>
          <w:tcPr>
            <w:tcW w:w="303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Three Months Ended June 30,</w:t>
            </w:r>
          </w:p>
        </w:tc>
      </w:tr>
      <w:tr w:rsidR="00000000">
        <w:trPr>
          <w:divId w:val="791217559"/>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791217559"/>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Amount (2)</w:t>
            </w:r>
          </w:p>
        </w:tc>
      </w:tr>
      <w:tr w:rsidR="00000000">
        <w:trPr>
          <w:divId w:val="791217559"/>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(Dollars in millions)</w:t>
            </w:r>
          </w:p>
        </w:tc>
      </w:tr>
      <w:tr w:rsidR="00000000">
        <w:trPr>
          <w:divId w:val="791217559"/>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Fixed Maturities: (5)</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a</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565 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67,302 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12,523 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Other Equity Investments: (1)</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(18.84)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5.46 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3,689 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(0.05)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a</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0.36 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4,567 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Repurchase and funding agreements: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(8,224)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(6,700)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933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82,882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82,878 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5,755 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973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Less: investment fees (3)</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(0.11)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947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83,428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88,633 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791217559"/>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jc w:val="center"/>
        <w:divId w:val="1752852646"/>
        <w:rPr>
          <w:rFonts w:eastAsia="Times New Roman"/>
        </w:rPr>
      </w:pPr>
      <w:r>
        <w:rPr>
          <w:rFonts w:eastAsia="Times New Roman"/>
          <w:color w:val="000000"/>
          <w:sz w:val="20"/>
          <w:szCs w:val="20"/>
        </w:rPr>
        <w:t>103</w:t>
      </w:r>
    </w:p>
    <w:p w:rsidR="00000000" w:rsidRDefault="00897B14">
      <w:pPr>
        <w:rPr>
          <w:rFonts w:eastAsia="Times New Roman"/>
        </w:rPr>
      </w:pPr>
      <w:r>
        <w:rPr>
          <w:rFonts w:eastAsia="Times New Roman"/>
        </w:rPr>
        <w:pict>
          <v:rect id="_x0000_i1129" style="width:0;height:1.5pt" o:hralign="center" o:hrstd="t" o:hr="t" fillcolor="#a0a0a0" stroked="f"/>
        </w:pict>
      </w:r>
    </w:p>
    <w:p w:rsidR="00000000" w:rsidRDefault="00897B14">
      <w:pPr>
        <w:divId w:val="287124848"/>
        <w:rPr>
          <w:rFonts w:eastAsia="Times New Roman"/>
        </w:rPr>
      </w:pPr>
      <w:hyperlink w:anchor="i4720991a3d574ba2ab7d34b235a82556_10" w:history="1">
        <w:r>
          <w:rPr>
            <w:rStyle w:val="a3"/>
            <w:rFonts w:eastAsia="Times New Roman"/>
            <w:b/>
            <w:bCs/>
            <w:sz w:val="20"/>
            <w:szCs w:val="20"/>
          </w:rPr>
          <w:t>Table of Contents</w:t>
        </w:r>
      </w:hyperlink>
    </w:p>
    <w:tbl>
      <w:tblPr>
        <w:tblW w:w="4663" w:type="pct"/>
        <w:tblCellMar>
          <w:top w:w="15" w:type="dxa"/>
          <w:left w:w="15" w:type="dxa"/>
          <w:bottom w:w="15" w:type="dxa"/>
          <w:right w:w="15" w:type="dxa"/>
        </w:tblCellMar>
        <w:tblLook w:val="04A0" w:firstRow="1" w:lastRow="0" w:firstColumn="1" w:lastColumn="0" w:noHBand="0" w:noVBand="1"/>
      </w:tblPr>
      <w:tblGrid>
        <w:gridCol w:w="39"/>
        <w:gridCol w:w="3475"/>
        <w:gridCol w:w="38"/>
        <w:gridCol w:w="57"/>
        <w:gridCol w:w="519"/>
        <w:gridCol w:w="220"/>
        <w:gridCol w:w="36"/>
        <w:gridCol w:w="36"/>
        <w:gridCol w:w="36"/>
        <w:gridCol w:w="120"/>
        <w:gridCol w:w="600"/>
        <w:gridCol w:w="36"/>
        <w:gridCol w:w="36"/>
        <w:gridCol w:w="36"/>
        <w:gridCol w:w="36"/>
        <w:gridCol w:w="58"/>
        <w:gridCol w:w="446"/>
        <w:gridCol w:w="187"/>
        <w:gridCol w:w="36"/>
        <w:gridCol w:w="36"/>
        <w:gridCol w:w="36"/>
        <w:gridCol w:w="120"/>
        <w:gridCol w:w="600"/>
        <w:gridCol w:w="36"/>
        <w:gridCol w:w="36"/>
        <w:gridCol w:w="36"/>
        <w:gridCol w:w="36"/>
        <w:gridCol w:w="120"/>
        <w:gridCol w:w="607"/>
        <w:gridCol w:w="36"/>
      </w:tblGrid>
      <w:tr w:rsidR="00000000">
        <w:trPr>
          <w:divId w:val="630866777"/>
        </w:trPr>
        <w:tc>
          <w:tcPr>
            <w:tcW w:w="50" w:type="pct"/>
            <w:vAlign w:val="center"/>
            <w:hideMark/>
          </w:tcPr>
          <w:p w:rsidR="00000000" w:rsidRDefault="00897B14">
            <w:pPr>
              <w:rPr>
                <w:rFonts w:eastAsia="Times New Roman"/>
              </w:rPr>
            </w:pPr>
          </w:p>
        </w:tc>
        <w:tc>
          <w:tcPr>
            <w:tcW w:w="230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2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9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0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8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1"/>
            <w:tcBorders>
              <w:top w:val="single" w:sz="4"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Year Ended December 31</w:t>
            </w:r>
          </w:p>
        </w:tc>
      </w:tr>
      <w:tr w:rsidR="00000000">
        <w:trPr>
          <w:divId w:val="63086677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630866777"/>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Amount (2)</w:t>
            </w:r>
          </w:p>
        </w:tc>
      </w:tr>
      <w:tr w:rsidR="00000000">
        <w:trPr>
          <w:divId w:val="63086677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(Dollars in millions)</w:t>
            </w:r>
          </w:p>
        </w:tc>
      </w:tr>
      <w:tr w:rsidR="00000000">
        <w:trPr>
          <w:divId w:val="630866777"/>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Fixed Maturities: (5)</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1,138 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67,302 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71,738 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12,523 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Other Equity Investments: (1) (4)</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(5.66)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3,689 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0.04 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4,567 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2,095 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(8,224)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(6,700)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(6,897)</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1,405 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82,882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82,878 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85,834 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5,755 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4,704 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1,865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1,501 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CCEEFF"/>
            <w:tcMar>
              <w:top w:w="30" w:type="dxa"/>
              <w:left w:w="38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1,811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1,452 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3,137 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83,428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88,633 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90,538 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30866777"/>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630866777"/>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bl>
    <w:p w:rsidR="00000000" w:rsidRDefault="00897B14">
      <w:pPr>
        <w:ind w:hanging="360"/>
        <w:divId w:val="1510560720"/>
        <w:rPr>
          <w:rFonts w:eastAsia="Times New Roman"/>
        </w:rPr>
      </w:pPr>
      <w:r>
        <w:rPr>
          <w:rFonts w:eastAsia="Times New Roman"/>
          <w:color w:val="000000"/>
          <w:sz w:val="18"/>
          <w:szCs w:val="18"/>
        </w:rPr>
        <w:t>_____________</w:t>
      </w:r>
    </w:p>
    <w:p w:rsidR="00000000" w:rsidRDefault="00897B14">
      <w:pPr>
        <w:ind w:hanging="360"/>
        <w:divId w:val="41171806"/>
        <w:rPr>
          <w:rFonts w:eastAsia="Times New Roman"/>
        </w:rPr>
      </w:pPr>
      <w:r>
        <w:rPr>
          <w:rFonts w:eastAsia="Times New Roman"/>
          <w:color w:val="000000"/>
          <w:sz w:val="18"/>
          <w:szCs w:val="18"/>
        </w:rPr>
        <w:t>(1)</w:t>
      </w:r>
      <w:r>
        <w:rPr>
          <w:rFonts w:eastAsia="Times New Roman"/>
          <w:color w:val="000000"/>
          <w:sz w:val="18"/>
          <w:szCs w:val="18"/>
        </w:rPr>
        <w:t>Includes, as of June 30, 2021, June 30, 2020 and December 31, 2020 respectively, $391 million, $353 million and $333 million of other invested assets. Effective January 1, 2021, certain preferred stock have been reclassified to other equity investments (se</w:t>
      </w:r>
      <w:r>
        <w:rPr>
          <w:rFonts w:eastAsia="Times New Roman"/>
          <w:color w:val="000000"/>
          <w:sz w:val="18"/>
          <w:szCs w:val="18"/>
        </w:rPr>
        <w:t>e Note 2 Significant Accounting Policies – Investments).</w:t>
      </w:r>
    </w:p>
    <w:p w:rsidR="00000000" w:rsidRDefault="00897B14">
      <w:pPr>
        <w:ind w:hanging="360"/>
        <w:divId w:val="372854237"/>
        <w:rPr>
          <w:rFonts w:eastAsia="Times New Roman"/>
        </w:rPr>
      </w:pPr>
      <w:r>
        <w:rPr>
          <w:rFonts w:eastAsia="Times New Roman"/>
          <w:color w:val="000000"/>
          <w:sz w:val="18"/>
          <w:szCs w:val="18"/>
        </w:rPr>
        <w:t>(2)Amount for fixed maturities and mortgages represents original cost, reduced by repayments, write-downs, adjusted amortization of premiums, accretion of discount and allowances. Cost for equity sec</w:t>
      </w:r>
      <w:r>
        <w:rPr>
          <w:rFonts w:eastAsia="Times New Roman"/>
          <w:color w:val="000000"/>
          <w:sz w:val="18"/>
          <w:szCs w:val="18"/>
        </w:rPr>
        <w:t>urities represents original cost reduced by write-downs; cost for other limited partnership interests represents original cost adjusted for equity in earnings and reduced by distributions.</w:t>
      </w:r>
    </w:p>
    <w:p w:rsidR="00000000" w:rsidRDefault="00897B14">
      <w:pPr>
        <w:ind w:hanging="360"/>
        <w:divId w:val="1005596262"/>
        <w:rPr>
          <w:rFonts w:eastAsia="Times New Roman"/>
        </w:rPr>
      </w:pPr>
      <w:r>
        <w:rPr>
          <w:rFonts w:eastAsia="Times New Roman"/>
          <w:color w:val="000000"/>
          <w:sz w:val="18"/>
          <w:szCs w:val="18"/>
        </w:rPr>
        <w:t>(3)Investment fees are inclusive of investment management fees paid</w:t>
      </w:r>
      <w:r>
        <w:rPr>
          <w:rFonts w:eastAsia="Times New Roman"/>
          <w:color w:val="000000"/>
          <w:sz w:val="18"/>
          <w:szCs w:val="18"/>
        </w:rPr>
        <w:t xml:space="preserve"> to AB. </w:t>
      </w:r>
    </w:p>
    <w:p w:rsidR="00000000" w:rsidRDefault="00897B14">
      <w:pPr>
        <w:ind w:hanging="360"/>
        <w:divId w:val="572852947"/>
        <w:rPr>
          <w:rFonts w:eastAsia="Times New Roman"/>
        </w:rPr>
      </w:pPr>
      <w:r>
        <w:rPr>
          <w:rFonts w:eastAsia="Times New Roman"/>
          <w:color w:val="000000"/>
          <w:sz w:val="18"/>
          <w:szCs w:val="18"/>
        </w:rPr>
        <w:t>(4)Effective January 1, 2021, certain preferred stock have been reclassified to other equity investments (see Note 2 Significant Accounting Policies – Investments).</w:t>
      </w:r>
    </w:p>
    <w:p w:rsidR="00000000" w:rsidRDefault="00897B14">
      <w:pPr>
        <w:ind w:hanging="360"/>
        <w:divId w:val="1489981755"/>
        <w:rPr>
          <w:rFonts w:eastAsia="Times New Roman"/>
        </w:rPr>
      </w:pPr>
      <w:r>
        <w:rPr>
          <w:rFonts w:eastAsia="Times New Roman"/>
          <w:color w:val="000000"/>
          <w:sz w:val="18"/>
          <w:szCs w:val="18"/>
        </w:rPr>
        <w:t>(5)Decrease in AFS Fixed Maturities as of June 30, 2021 is primarily due to transf</w:t>
      </w:r>
      <w:r>
        <w:rPr>
          <w:rFonts w:eastAsia="Times New Roman"/>
          <w:color w:val="000000"/>
          <w:sz w:val="18"/>
          <w:szCs w:val="18"/>
        </w:rPr>
        <w:t>erred assets related to the Venerable transaction. For additional information on the Venerable transaction, see Note 1 - Organization of the Notes to Consolidated Financial Statements.</w:t>
      </w:r>
    </w:p>
    <w:p w:rsidR="00000000" w:rsidRDefault="00897B14">
      <w:pPr>
        <w:jc w:val="both"/>
        <w:divId w:val="1368214437"/>
        <w:rPr>
          <w:rFonts w:eastAsia="Times New Roman"/>
        </w:rPr>
      </w:pPr>
      <w:r>
        <w:rPr>
          <w:rFonts w:eastAsia="Times New Roman"/>
          <w:b/>
          <w:bCs/>
          <w:i/>
          <w:iCs/>
          <w:color w:val="000000"/>
          <w:sz w:val="20"/>
          <w:szCs w:val="20"/>
        </w:rPr>
        <w:t>Fixed Maturities</w:t>
      </w:r>
    </w:p>
    <w:p w:rsidR="00000000" w:rsidRDefault="00897B14">
      <w:pPr>
        <w:ind w:firstLine="360"/>
        <w:divId w:val="378363721"/>
        <w:rPr>
          <w:rFonts w:eastAsia="Times New Roman"/>
        </w:rPr>
      </w:pPr>
      <w:r>
        <w:rPr>
          <w:rFonts w:eastAsia="Times New Roman"/>
          <w:color w:val="000000"/>
          <w:sz w:val="20"/>
          <w:szCs w:val="20"/>
        </w:rPr>
        <w:t>The fixed maturity portfolio consists largely of inves</w:t>
      </w:r>
      <w:r>
        <w:rPr>
          <w:rFonts w:eastAsia="Times New Roman"/>
          <w:color w:val="000000"/>
          <w:sz w:val="20"/>
          <w:szCs w:val="20"/>
        </w:rPr>
        <w:t xml:space="preserve">tment grade corporate debt securities and includes significant amounts of U.S. government and agency obligations. The limited below investment grade securities in the General Account investment portfolio consist of “fallen angels,” originally purchased as </w:t>
      </w:r>
      <w:r>
        <w:rPr>
          <w:rFonts w:eastAsia="Times New Roman"/>
          <w:color w:val="000000"/>
          <w:sz w:val="20"/>
          <w:szCs w:val="20"/>
        </w:rPr>
        <w:t>investment grade, as well as short duration public high yield securities and loans to middle market companies.</w:t>
      </w:r>
    </w:p>
    <w:p w:rsidR="00000000" w:rsidRDefault="00897B14">
      <w:pPr>
        <w:jc w:val="center"/>
        <w:divId w:val="595602264"/>
        <w:rPr>
          <w:rFonts w:eastAsia="Times New Roman"/>
        </w:rPr>
      </w:pPr>
      <w:r>
        <w:rPr>
          <w:rFonts w:eastAsia="Times New Roman"/>
          <w:color w:val="000000"/>
          <w:sz w:val="20"/>
          <w:szCs w:val="20"/>
        </w:rPr>
        <w:t>104</w:t>
      </w:r>
    </w:p>
    <w:p w:rsidR="00000000" w:rsidRDefault="00897B14">
      <w:pPr>
        <w:rPr>
          <w:rFonts w:eastAsia="Times New Roman"/>
        </w:rPr>
      </w:pPr>
      <w:r>
        <w:rPr>
          <w:rFonts w:eastAsia="Times New Roman"/>
        </w:rPr>
        <w:pict>
          <v:rect id="_x0000_i1130" style="width:0;height:1.5pt" o:hralign="center" o:hrstd="t" o:hr="t" fillcolor="#a0a0a0" stroked="f"/>
        </w:pict>
      </w:r>
    </w:p>
    <w:p w:rsidR="00000000" w:rsidRDefault="00897B14">
      <w:pPr>
        <w:divId w:val="1580090049"/>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both"/>
        <w:divId w:val="875048012"/>
        <w:rPr>
          <w:rFonts w:eastAsia="Times New Roman"/>
        </w:rPr>
      </w:pPr>
      <w:r>
        <w:rPr>
          <w:rFonts w:eastAsia="Times New Roman"/>
          <w:b/>
          <w:bCs/>
          <w:i/>
          <w:iCs/>
          <w:color w:val="000000"/>
          <w:sz w:val="20"/>
          <w:szCs w:val="20"/>
        </w:rPr>
        <w:t>Fixed Maturities by Industr</w:t>
      </w:r>
      <w:r>
        <w:rPr>
          <w:rFonts w:eastAsia="Times New Roman"/>
          <w:b/>
          <w:bCs/>
          <w:i/>
          <w:iCs/>
          <w:color w:val="000000"/>
          <w:sz w:val="20"/>
          <w:szCs w:val="20"/>
        </w:rPr>
        <w:t>y</w:t>
      </w:r>
    </w:p>
    <w:p w:rsidR="00000000" w:rsidRDefault="00897B14">
      <w:pPr>
        <w:ind w:firstLine="360"/>
        <w:divId w:val="1980257027"/>
        <w:rPr>
          <w:rFonts w:eastAsia="Times New Roman"/>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897B14">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9"/>
        <w:gridCol w:w="2462"/>
        <w:gridCol w:w="38"/>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1471441329"/>
        </w:trPr>
        <w:tc>
          <w:tcPr>
            <w:tcW w:w="50" w:type="pct"/>
            <w:vAlign w:val="center"/>
            <w:hideMark/>
          </w:tcPr>
          <w:p w:rsidR="00000000" w:rsidRDefault="00897B14">
            <w:pPr>
              <w:jc w:val="center"/>
              <w:rPr>
                <w:rFonts w:eastAsia="Times New Roman"/>
              </w:rPr>
            </w:pPr>
          </w:p>
        </w:tc>
        <w:tc>
          <w:tcPr>
            <w:tcW w:w="182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471441329"/>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Percentage of Total (%)</w:t>
            </w:r>
          </w:p>
        </w:tc>
      </w:tr>
      <w:tr w:rsidR="00000000">
        <w:trPr>
          <w:divId w:val="1471441329"/>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71441329"/>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As of June 30, 2021: (5)</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71441329"/>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11,993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5,705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7,902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46,777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3,362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49,986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14,548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1,923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16,466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Preferred stock (4)</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State &amp; </w:t>
            </w:r>
            <w:r>
              <w:rPr>
                <w:rFonts w:eastAsia="Times New Roman"/>
                <w:color w:val="000000"/>
                <w:sz w:val="20"/>
                <w:szCs w:val="20"/>
              </w:rPr>
              <w:t>political</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4,880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4,909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69,407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74,746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r>
      <w:tr w:rsidR="00000000">
        <w:trPr>
          <w:divId w:val="1471441329"/>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 of December 31, 2020: (3)</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14,411 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15,514 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13,040 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14,542 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6,352 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7,027 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7,830 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8,470 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4,084 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4,425 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3,747 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4,179 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2,424 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2,721 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52,045 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57,040 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12,660 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16,103 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636 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3,587 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1471441329"/>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71,738 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8,891 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80,505 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bl>
    <w:p w:rsidR="00000000" w:rsidRDefault="00897B14">
      <w:pPr>
        <w:ind w:hanging="360"/>
        <w:divId w:val="1407652664"/>
        <w:rPr>
          <w:rFonts w:eastAsia="Times New Roman"/>
        </w:rPr>
      </w:pPr>
      <w:r>
        <w:rPr>
          <w:rFonts w:eastAsia="Times New Roman"/>
          <w:color w:val="000000"/>
          <w:sz w:val="18"/>
          <w:szCs w:val="18"/>
        </w:rPr>
        <w:t>______________</w:t>
      </w:r>
    </w:p>
    <w:p w:rsidR="00000000" w:rsidRDefault="00897B14">
      <w:pPr>
        <w:ind w:hanging="360"/>
        <w:divId w:val="1286305604"/>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897B14">
      <w:pPr>
        <w:jc w:val="center"/>
        <w:divId w:val="643589092"/>
        <w:rPr>
          <w:rFonts w:eastAsia="Times New Roman"/>
        </w:rPr>
      </w:pPr>
      <w:r>
        <w:rPr>
          <w:rFonts w:eastAsia="Times New Roman"/>
          <w:color w:val="000000"/>
          <w:sz w:val="20"/>
          <w:szCs w:val="20"/>
        </w:rPr>
        <w:t>105</w:t>
      </w:r>
    </w:p>
    <w:p w:rsidR="00000000" w:rsidRDefault="00897B14">
      <w:pPr>
        <w:rPr>
          <w:rFonts w:eastAsia="Times New Roman"/>
        </w:rPr>
      </w:pPr>
      <w:r>
        <w:rPr>
          <w:rFonts w:eastAsia="Times New Roman"/>
        </w:rPr>
        <w:pict>
          <v:rect id="_x0000_i1131" style="width:0;height:1.5pt" o:hralign="center" o:hrstd="t" o:hr="t" fillcolor="#a0a0a0" stroked="f"/>
        </w:pict>
      </w:r>
    </w:p>
    <w:p w:rsidR="00000000" w:rsidRDefault="00897B14">
      <w:pPr>
        <w:divId w:val="535848717"/>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360"/>
        <w:divId w:val="156577616"/>
        <w:rPr>
          <w:rFonts w:eastAsia="Times New Roman"/>
        </w:rPr>
      </w:pPr>
      <w:r>
        <w:rPr>
          <w:rFonts w:eastAsia="Times New Roman"/>
          <w:color w:val="000000"/>
          <w:sz w:val="18"/>
          <w:szCs w:val="18"/>
        </w:rPr>
        <w:t>(2)Incl</w:t>
      </w:r>
      <w:r>
        <w:rPr>
          <w:rFonts w:eastAsia="Times New Roman"/>
          <w:color w:val="000000"/>
          <w:sz w:val="18"/>
          <w:szCs w:val="18"/>
        </w:rPr>
        <w:t>udes publicly traded agency pass-through securities and collateralized obligations.</w:t>
      </w:r>
    </w:p>
    <w:p w:rsidR="00000000" w:rsidRDefault="00897B14">
      <w:pPr>
        <w:ind w:hanging="360"/>
        <w:divId w:val="636304817"/>
        <w:rPr>
          <w:rFonts w:eastAsia="Times New Roman"/>
        </w:rPr>
      </w:pPr>
      <w:r>
        <w:rPr>
          <w:rFonts w:eastAsia="Times New Roman"/>
          <w:color w:val="000000"/>
          <w:sz w:val="18"/>
          <w:szCs w:val="18"/>
        </w:rPr>
        <w:t>(3)Excludes amounts reclassified as HFS.</w:t>
      </w:r>
    </w:p>
    <w:p w:rsidR="00000000" w:rsidRDefault="00897B14">
      <w:pPr>
        <w:ind w:hanging="360"/>
        <w:divId w:val="1045065133"/>
        <w:rPr>
          <w:rFonts w:eastAsia="Times New Roman"/>
        </w:rPr>
      </w:pPr>
      <w:r>
        <w:rPr>
          <w:rFonts w:eastAsia="Times New Roman"/>
          <w:color w:val="000000"/>
          <w:sz w:val="18"/>
          <w:szCs w:val="18"/>
        </w:rPr>
        <w:t>(4)Effective January 1, 2021, certain preferred stock have been reclassified to other equity investments (see Note 2 Significant Ac</w:t>
      </w:r>
      <w:r>
        <w:rPr>
          <w:rFonts w:eastAsia="Times New Roman"/>
          <w:color w:val="000000"/>
          <w:sz w:val="18"/>
          <w:szCs w:val="18"/>
        </w:rPr>
        <w:t>counting Policies – Investments).</w:t>
      </w:r>
    </w:p>
    <w:p w:rsidR="00000000" w:rsidRDefault="00897B14">
      <w:pPr>
        <w:ind w:hanging="360"/>
        <w:divId w:val="1078600967"/>
        <w:rPr>
          <w:rFonts w:eastAsia="Times New Roman"/>
        </w:rPr>
      </w:pPr>
      <w:r>
        <w:rPr>
          <w:rFonts w:eastAsia="Times New Roman"/>
          <w:color w:val="000000"/>
          <w:sz w:val="18"/>
          <w:szCs w:val="18"/>
        </w:rPr>
        <w:t>(5) Decrease in AFS Fixed Maturities as of June 30, 2021 is primarily due to transferred assets related to the Venerable transaction. For additional information on the Venerable transaction, see Note 1 - Organization of th</w:t>
      </w:r>
      <w:r>
        <w:rPr>
          <w:rFonts w:eastAsia="Times New Roman"/>
          <w:color w:val="000000"/>
          <w:sz w:val="18"/>
          <w:szCs w:val="18"/>
        </w:rPr>
        <w:t>e Notes to Consolidated Financial Statements.</w:t>
      </w:r>
    </w:p>
    <w:p w:rsidR="00000000" w:rsidRDefault="00897B14">
      <w:pPr>
        <w:jc w:val="both"/>
        <w:divId w:val="229855403"/>
        <w:rPr>
          <w:rFonts w:eastAsia="Times New Roman"/>
        </w:rPr>
      </w:pPr>
      <w:r>
        <w:rPr>
          <w:rFonts w:eastAsia="Times New Roman"/>
          <w:b/>
          <w:bCs/>
          <w:i/>
          <w:iCs/>
          <w:color w:val="000000"/>
          <w:sz w:val="20"/>
          <w:szCs w:val="20"/>
          <w:shd w:val="clear" w:color="auto" w:fill="FFFFFF"/>
        </w:rPr>
        <w:t>Fixed Maturities Credit Quality</w:t>
      </w:r>
    </w:p>
    <w:p w:rsidR="00000000" w:rsidRDefault="00897B14">
      <w:pPr>
        <w:ind w:firstLine="360"/>
        <w:divId w:val="1368992613"/>
        <w:rPr>
          <w:rFonts w:eastAsia="Times New Roman"/>
        </w:rPr>
      </w:pPr>
      <w:r>
        <w:rPr>
          <w:rFonts w:eastAsia="Times New Roman"/>
          <w:color w:val="000000"/>
          <w:sz w:val="20"/>
          <w:szCs w:val="20"/>
        </w:rPr>
        <w:t>The SVO of the NAIC evaluates the investments of insurers for regulatory reporting purposes and assigns fixed maturities to one of six categories (“NAIC Designations”). NAIC Desi</w:t>
      </w:r>
      <w:r>
        <w:rPr>
          <w:rFonts w:eastAsia="Times New Roman"/>
          <w:color w:val="000000"/>
          <w:sz w:val="20"/>
          <w:szCs w:val="20"/>
        </w:rPr>
        <w:t>gnations of “1” or “2” include fixed maturities considered investment grade, which include securities rated Baa3 or higher by Moody’s or BBB- or higher by Standard &amp; Poor’s. NAIC Designations of “3” through “6” are referred to as below investment grade, wh</w:t>
      </w:r>
      <w:r>
        <w:rPr>
          <w:rFonts w:eastAsia="Times New Roman"/>
          <w:color w:val="000000"/>
          <w:sz w:val="20"/>
          <w:szCs w:val="20"/>
        </w:rPr>
        <w:t>ich include securities rated Ba1 or lower by Moody’s and BB+ or lower by Standard &amp; Poor’s. As a result of time lags between the funding of investments and the completion of the SVO filing process, the fixed maturity portfolio typically includes securities</w:t>
      </w:r>
      <w:r>
        <w:rPr>
          <w:rFonts w:eastAsia="Times New Roman"/>
          <w:color w:val="000000"/>
          <w:sz w:val="20"/>
          <w:szCs w:val="20"/>
        </w:rPr>
        <w:t xml:space="preserve"> that have not yet been rated by the SVO as of each balance sheet date. Pending receipt of SVO ratings, the categorization of these securities by NAIC designation is based on the expected ratings indicated by internal analysis.</w:t>
      </w:r>
    </w:p>
    <w:p w:rsidR="00000000" w:rsidRDefault="00897B14">
      <w:pPr>
        <w:ind w:firstLine="360"/>
        <w:divId w:val="1753315714"/>
        <w:rPr>
          <w:rFonts w:eastAsia="Times New Roman"/>
        </w:rPr>
      </w:pPr>
      <w:r>
        <w:rPr>
          <w:rFonts w:eastAsia="Times New Roman"/>
          <w:color w:val="000000"/>
          <w:sz w:val="20"/>
          <w:szCs w:val="20"/>
        </w:rPr>
        <w:t>The following table sets forth the General Account’s fixed maturities portfolio by NAIC rating at the dates indicated.</w:t>
      </w:r>
    </w:p>
    <w:p w:rsidR="00000000" w:rsidRDefault="00897B14">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7"/>
        <w:gridCol w:w="36"/>
        <w:gridCol w:w="36"/>
        <w:gridCol w:w="36"/>
        <w:gridCol w:w="48"/>
        <w:gridCol w:w="1343"/>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1424717604"/>
        </w:trPr>
        <w:tc>
          <w:tcPr>
            <w:tcW w:w="50" w:type="pct"/>
            <w:vAlign w:val="center"/>
            <w:hideMark/>
          </w:tcPr>
          <w:p w:rsidR="00000000" w:rsidRDefault="00897B14">
            <w:pPr>
              <w:jc w:val="center"/>
              <w:rPr>
                <w:rFonts w:eastAsia="Times New Roman"/>
              </w:rPr>
            </w:pPr>
          </w:p>
        </w:tc>
        <w:tc>
          <w:tcPr>
            <w:tcW w:w="12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93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4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42471760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Rating Agency Equivalent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w:t>
            </w:r>
          </w:p>
          <w:p w:rsidR="00000000" w:rsidRDefault="00897B14">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w:t>
            </w:r>
          </w:p>
          <w:p w:rsidR="00000000" w:rsidRDefault="00897B14">
            <w:pPr>
              <w:spacing w:after="100"/>
              <w:jc w:val="center"/>
              <w:rPr>
                <w:rFonts w:eastAsia="Times New Roman"/>
              </w:rPr>
            </w:pPr>
            <w:r>
              <w:rPr>
                <w:rFonts w:eastAsia="Times New Roman"/>
                <w:b/>
                <w:bCs/>
                <w:color w:val="000000"/>
                <w:sz w:val="16"/>
                <w:szCs w:val="16"/>
              </w:rPr>
              <w:t>Unrealized</w:t>
            </w:r>
          </w:p>
          <w:p w:rsidR="00000000" w:rsidRDefault="00897B14">
            <w:pPr>
              <w:spacing w:after="100"/>
              <w:jc w:val="center"/>
              <w:rPr>
                <w:rFonts w:eastAsia="Times New Roman"/>
              </w:rPr>
            </w:pPr>
            <w:r>
              <w:rPr>
                <w:rFonts w:eastAsia="Times New Roman"/>
                <w:b/>
                <w:bCs/>
                <w:color w:val="000000"/>
                <w:sz w:val="16"/>
                <w:szCs w:val="16"/>
              </w:rPr>
              <w:t>Gains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Gross</w:t>
            </w:r>
          </w:p>
          <w:p w:rsidR="00000000" w:rsidRDefault="00897B14">
            <w:pPr>
              <w:spacing w:after="100"/>
              <w:jc w:val="center"/>
              <w:rPr>
                <w:rFonts w:eastAsia="Times New Roman"/>
              </w:rPr>
            </w:pPr>
            <w:r>
              <w:rPr>
                <w:rFonts w:eastAsia="Times New Roman"/>
                <w:b/>
                <w:bCs/>
                <w:color w:val="000000"/>
                <w:sz w:val="16"/>
                <w:szCs w:val="16"/>
              </w:rPr>
              <w:t>Unrealized</w:t>
            </w:r>
          </w:p>
          <w:p w:rsidR="00000000" w:rsidRDefault="00897B14">
            <w:pPr>
              <w:spacing w:after="100"/>
              <w:jc w:val="center"/>
              <w:rPr>
                <w:rFonts w:eastAsia="Times New Roman"/>
              </w:rPr>
            </w:pPr>
            <w:r>
              <w:rPr>
                <w:rFonts w:eastAsia="Times New Roman"/>
                <w:b/>
                <w:bCs/>
                <w:color w:val="000000"/>
                <w:sz w:val="16"/>
                <w:szCs w:val="16"/>
              </w:rPr>
              <w:t>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Fair Value</w:t>
            </w:r>
          </w:p>
        </w:tc>
      </w:tr>
      <w:tr w:rsidR="00000000">
        <w:trPr>
          <w:divId w:val="142471760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424717604"/>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As of June 30, 2021: (2)</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24717604"/>
        </w:trPr>
        <w:tc>
          <w:tcPr>
            <w:tcW w:w="0" w:type="auto"/>
            <w:gridSpan w:val="3"/>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43,763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3,662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47,347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1,812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24,881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66,882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5,474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72,228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1,537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1,556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2,525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2,518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9"/>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69,407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5,515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74,746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24717604"/>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 of December 31, 2020: (1)</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424717604"/>
        </w:trPr>
        <w:tc>
          <w:tcPr>
            <w:tcW w:w="0" w:type="auto"/>
            <w:gridSpan w:val="3"/>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44,146 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6,227 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50,341 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25,285 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2,621 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27,880 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69,431 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8,848 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78,221 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769 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CCEE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FFFFFF"/>
            <w:tcMar>
              <w:top w:w="30" w:type="dxa"/>
              <w:left w:w="20" w:type="dxa"/>
              <w:bottom w:w="30" w:type="dxa"/>
              <w:right w:w="20" w:type="dxa"/>
            </w:tcMar>
            <w:hideMark/>
          </w:tcPr>
          <w:p w:rsidR="00000000" w:rsidRDefault="00897B14">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2,284 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24717604"/>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 Fixed Maturities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71,738 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8,891 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80,505 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985205372"/>
        <w:rPr>
          <w:rFonts w:eastAsia="Times New Roman"/>
        </w:rPr>
      </w:pPr>
      <w:r>
        <w:rPr>
          <w:rFonts w:eastAsia="Times New Roman"/>
          <w:color w:val="000000"/>
          <w:sz w:val="18"/>
          <w:szCs w:val="18"/>
        </w:rPr>
        <w:t>______________</w:t>
      </w:r>
    </w:p>
    <w:p w:rsidR="00000000" w:rsidRDefault="00897B14">
      <w:pPr>
        <w:ind w:hanging="360"/>
        <w:divId w:val="966470236"/>
        <w:rPr>
          <w:rFonts w:eastAsia="Times New Roman"/>
        </w:rPr>
      </w:pPr>
      <w:r>
        <w:rPr>
          <w:rFonts w:eastAsia="Times New Roman"/>
          <w:color w:val="000000"/>
          <w:sz w:val="18"/>
          <w:szCs w:val="18"/>
        </w:rPr>
        <w:t>(1)Excludes amounts reclassified as HFS.</w:t>
      </w:r>
    </w:p>
    <w:p w:rsidR="00000000" w:rsidRDefault="00897B14">
      <w:pPr>
        <w:ind w:hanging="360"/>
        <w:divId w:val="509561830"/>
        <w:rPr>
          <w:rFonts w:eastAsia="Times New Roman"/>
        </w:rPr>
      </w:pPr>
      <w:r>
        <w:rPr>
          <w:rFonts w:eastAsia="Times New Roman"/>
          <w:color w:val="000000"/>
          <w:sz w:val="18"/>
          <w:szCs w:val="18"/>
        </w:rPr>
        <w:t>(2)Decrease in AFS Fixed Maturities as of June 30, 2021 is primarily due to transferred assets related to the Venerable transaction. For additional informati</w:t>
      </w:r>
      <w:r>
        <w:rPr>
          <w:rFonts w:eastAsia="Times New Roman"/>
          <w:color w:val="000000"/>
          <w:sz w:val="18"/>
          <w:szCs w:val="18"/>
        </w:rPr>
        <w:t>on on the Venerable transaction, see Note 1 - Organization of the Notes to Consolidated Financial Statements.</w:t>
      </w:r>
    </w:p>
    <w:p w:rsidR="00000000" w:rsidRDefault="00897B14">
      <w:pPr>
        <w:jc w:val="center"/>
        <w:divId w:val="1405840285"/>
        <w:rPr>
          <w:rFonts w:eastAsia="Times New Roman"/>
        </w:rPr>
      </w:pPr>
      <w:r>
        <w:rPr>
          <w:rFonts w:eastAsia="Times New Roman"/>
          <w:color w:val="000000"/>
          <w:sz w:val="20"/>
          <w:szCs w:val="20"/>
        </w:rPr>
        <w:t>106</w:t>
      </w:r>
    </w:p>
    <w:p w:rsidR="00000000" w:rsidRDefault="00897B14">
      <w:pPr>
        <w:rPr>
          <w:rFonts w:eastAsia="Times New Roman"/>
        </w:rPr>
      </w:pPr>
      <w:r>
        <w:rPr>
          <w:rFonts w:eastAsia="Times New Roman"/>
        </w:rPr>
        <w:pict>
          <v:rect id="_x0000_i1132" style="width:0;height:1.5pt" o:hralign="center" o:hrstd="t" o:hr="t" fillcolor="#a0a0a0" stroked="f"/>
        </w:pict>
      </w:r>
    </w:p>
    <w:p w:rsidR="00000000" w:rsidRDefault="00897B14">
      <w:pPr>
        <w:divId w:val="71338336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both"/>
        <w:divId w:val="927890555"/>
        <w:rPr>
          <w:rFonts w:eastAsia="Times New Roman"/>
        </w:rPr>
      </w:pPr>
      <w:r>
        <w:rPr>
          <w:rFonts w:eastAsia="Times New Roman"/>
          <w:b/>
          <w:bCs/>
          <w:i/>
          <w:iCs/>
          <w:color w:val="000000"/>
          <w:sz w:val="20"/>
          <w:szCs w:val="20"/>
        </w:rPr>
        <w:t xml:space="preserve">Mortgage Loans </w:t>
      </w:r>
    </w:p>
    <w:p w:rsidR="00000000" w:rsidRDefault="00897B14">
      <w:pPr>
        <w:ind w:firstLine="360"/>
        <w:divId w:val="754715116"/>
        <w:rPr>
          <w:rFonts w:eastAsia="Times New Roman"/>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897B14">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6"/>
        <w:gridCol w:w="36"/>
        <w:gridCol w:w="36"/>
        <w:gridCol w:w="36"/>
        <w:gridCol w:w="68"/>
        <w:gridCol w:w="704"/>
        <w:gridCol w:w="220"/>
        <w:gridCol w:w="36"/>
        <w:gridCol w:w="36"/>
        <w:gridCol w:w="36"/>
        <w:gridCol w:w="120"/>
        <w:gridCol w:w="734"/>
        <w:gridCol w:w="36"/>
        <w:gridCol w:w="36"/>
        <w:gridCol w:w="36"/>
        <w:gridCol w:w="36"/>
        <w:gridCol w:w="63"/>
        <w:gridCol w:w="701"/>
        <w:gridCol w:w="187"/>
      </w:tblGrid>
      <w:tr w:rsidR="00000000">
        <w:trPr>
          <w:divId w:val="641428746"/>
        </w:trPr>
        <w:tc>
          <w:tcPr>
            <w:tcW w:w="50" w:type="pct"/>
            <w:vAlign w:val="center"/>
            <w:hideMark/>
          </w:tcPr>
          <w:p w:rsidR="00000000" w:rsidRDefault="00897B14">
            <w:pPr>
              <w:jc w:val="center"/>
              <w:rPr>
                <w:rFonts w:eastAsia="Times New Roman"/>
              </w:rPr>
            </w:pPr>
          </w:p>
        </w:tc>
        <w:tc>
          <w:tcPr>
            <w:tcW w:w="252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2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641428746"/>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 2021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December 31, 2020</w:t>
            </w:r>
          </w:p>
        </w:tc>
      </w:tr>
      <w:tr w:rsidR="00000000">
        <w:trPr>
          <w:divId w:val="641428746"/>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Amortized</w:t>
            </w:r>
          </w:p>
          <w:p w:rsidR="00000000" w:rsidRDefault="00897B14">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Amortized</w:t>
            </w:r>
          </w:p>
          <w:p w:rsidR="00000000" w:rsidRDefault="00897B14">
            <w:pPr>
              <w:spacing w:after="100"/>
              <w:jc w:val="center"/>
              <w:rPr>
                <w:rFonts w:eastAsia="Times New Roman"/>
              </w:rPr>
            </w:pPr>
            <w:r>
              <w:rPr>
                <w:rFonts w:eastAsia="Times New Roman"/>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 of Total</w:t>
            </w:r>
          </w:p>
        </w:tc>
      </w:tr>
      <w:tr w:rsidR="00000000">
        <w:trPr>
          <w:divId w:val="64142874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641428746"/>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41428746"/>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41428746"/>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641428746"/>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3,732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3,662 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1,125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1,026 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875 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690 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CCEE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U.S.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13,323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641428746"/>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41428746"/>
        </w:trPr>
        <w:tc>
          <w:tcPr>
            <w:tcW w:w="0" w:type="auto"/>
            <w:gridSpan w:val="3"/>
            <w:shd w:val="clear" w:color="auto" w:fill="FFFFFF"/>
            <w:tcMar>
              <w:top w:w="30" w:type="dxa"/>
              <w:left w:w="155" w:type="dxa"/>
              <w:bottom w:w="30" w:type="dxa"/>
              <w:right w:w="20" w:type="dxa"/>
            </w:tcMar>
            <w:hideMark/>
          </w:tcPr>
          <w:p w:rsidR="00000000" w:rsidRDefault="00897B14">
            <w:pPr>
              <w:spacing w:after="100"/>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641428746"/>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13,447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641428746"/>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41428746"/>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641428746"/>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4,131 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641428746"/>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4,068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4,027 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2,683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2,732 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742 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469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344 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641428746"/>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13,447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bl>
    <w:p w:rsidR="00000000" w:rsidRDefault="00897B14">
      <w:pPr>
        <w:jc w:val="center"/>
        <w:divId w:val="1078409006"/>
        <w:rPr>
          <w:rFonts w:eastAsia="Times New Roman"/>
        </w:rPr>
      </w:pPr>
      <w:r>
        <w:rPr>
          <w:rFonts w:eastAsia="Times New Roman"/>
          <w:color w:val="000000"/>
          <w:sz w:val="20"/>
          <w:szCs w:val="20"/>
        </w:rPr>
        <w:t>107</w:t>
      </w:r>
    </w:p>
    <w:p w:rsidR="00000000" w:rsidRDefault="00897B14">
      <w:pPr>
        <w:rPr>
          <w:rFonts w:eastAsia="Times New Roman"/>
        </w:rPr>
      </w:pPr>
      <w:r>
        <w:rPr>
          <w:rFonts w:eastAsia="Times New Roman"/>
        </w:rPr>
        <w:pict>
          <v:rect id="_x0000_i1133" style="width:0;height:1.5pt" o:hralign="center" o:hrstd="t" o:hr="t" fillcolor="#a0a0a0" stroked="f"/>
        </w:pict>
      </w:r>
    </w:p>
    <w:p w:rsidR="00000000" w:rsidRDefault="00897B14">
      <w:pPr>
        <w:divId w:val="972516793"/>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897550993"/>
        <w:rPr>
          <w:rFonts w:eastAsia="Times New Roman"/>
        </w:rPr>
      </w:pPr>
    </w:p>
    <w:p w:rsidR="00000000" w:rsidRDefault="00897B14">
      <w:pPr>
        <w:divId w:val="1644919767"/>
        <w:rPr>
          <w:rFonts w:eastAsia="Times New Roman"/>
        </w:rPr>
      </w:pPr>
      <w:r>
        <w:rPr>
          <w:rFonts w:eastAsia="Times New Roman"/>
          <w:b/>
          <w:bCs/>
          <w:color w:val="000000"/>
          <w:sz w:val="20"/>
          <w:szCs w:val="20"/>
        </w:rPr>
        <w:t>Liquidity and Capital Resources</w:t>
      </w:r>
    </w:p>
    <w:p w:rsidR="00000000" w:rsidRDefault="00897B14">
      <w:pPr>
        <w:ind w:firstLine="360"/>
        <w:divId w:val="31997194"/>
        <w:rPr>
          <w:rFonts w:eastAsia="Times New Roman"/>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financial resources available to sup</w:t>
      </w:r>
      <w:r>
        <w:rPr>
          <w:rFonts w:eastAsia="Times New Roman"/>
          <w:color w:val="000000"/>
          <w:sz w:val="20"/>
          <w:szCs w:val="20"/>
        </w:rPr>
        <w:t>port business operations and future growth. Our ability to generate and maintain sufficient liquidity and capital is dependent on the profitability of our businesses, timing of cash flows related to our investments and products, our ability to access the c</w:t>
      </w:r>
      <w:r>
        <w:rPr>
          <w:rFonts w:eastAsia="Times New Roman"/>
          <w:color w:val="000000"/>
          <w:sz w:val="20"/>
          <w:szCs w:val="20"/>
        </w:rPr>
        <w:t>apital markets, general economic conditions and the alternative sources of liquidity and capital described herein. When considering our liquidity and cash flows, we distinguish between the needs of Holdings and the needs of our insurance and non-insurance </w:t>
      </w:r>
      <w:r>
        <w:rPr>
          <w:rFonts w:eastAsia="Times New Roman"/>
          <w:color w:val="000000"/>
          <w:sz w:val="20"/>
          <w:szCs w:val="20"/>
        </w:rPr>
        <w:t>subsidiaries. We also distinguish and separately manage the liquidity and capital resources of our retirement and protection businesses ( our Individual Retirement, Group Retirement and Protection Solutions segments) and our Investment Management and Resea</w:t>
      </w:r>
      <w:r>
        <w:rPr>
          <w:rFonts w:eastAsia="Times New Roman"/>
          <w:color w:val="000000"/>
          <w:sz w:val="20"/>
          <w:szCs w:val="20"/>
        </w:rPr>
        <w:t>rch segment.</w:t>
      </w:r>
    </w:p>
    <w:p w:rsidR="00000000" w:rsidRDefault="00897B14">
      <w:pPr>
        <w:jc w:val="both"/>
        <w:divId w:val="1325358914"/>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897B14">
      <w:pPr>
        <w:ind w:firstLine="360"/>
        <w:divId w:val="95252107"/>
        <w:rPr>
          <w:rFonts w:eastAsia="Times New Roman"/>
        </w:rPr>
      </w:pPr>
      <w:r>
        <w:rPr>
          <w:rFonts w:eastAsia="Times New Roman"/>
          <w:color w:val="000000"/>
          <w:sz w:val="20"/>
          <w:szCs w:val="20"/>
        </w:rPr>
        <w:t>The Company has sufficient cash flows from operations to satisfy liquidity requirements in 2021.</w:t>
      </w:r>
    </w:p>
    <w:p w:rsidR="00000000" w:rsidRDefault="00897B14">
      <w:pPr>
        <w:divId w:val="77095868"/>
        <w:rPr>
          <w:rFonts w:eastAsia="Times New Roman"/>
        </w:rPr>
      </w:pPr>
      <w:r>
        <w:rPr>
          <w:rFonts w:eastAsia="Times New Roman"/>
          <w:i/>
          <w:iCs/>
          <w:color w:val="000000"/>
          <w:sz w:val="20"/>
          <w:szCs w:val="20"/>
          <w:u w:val="single"/>
        </w:rPr>
        <w:t>Cash Flows of Holdings</w:t>
      </w:r>
    </w:p>
    <w:p w:rsidR="00000000" w:rsidRDefault="00897B14">
      <w:pPr>
        <w:ind w:firstLine="360"/>
        <w:divId w:val="915092045"/>
        <w:rPr>
          <w:rFonts w:eastAsia="Times New Roman"/>
        </w:rPr>
      </w:pPr>
      <w:r>
        <w:rPr>
          <w:rFonts w:eastAsia="Times New Roman"/>
          <w:color w:val="000000"/>
          <w:sz w:val="20"/>
          <w:szCs w:val="20"/>
        </w:rPr>
        <w:t>As a holding company with no business operations of its own, Holdings primarily derives cash</w:t>
      </w:r>
      <w:r>
        <w:rPr>
          <w:rFonts w:eastAsia="Times New Roman"/>
          <w:color w:val="000000"/>
          <w:sz w:val="20"/>
          <w:szCs w:val="20"/>
        </w:rPr>
        <w:t xml:space="preserve"> flows from dividends from its subsidiaries and distributions related to its economic interest in AB, nearly all of which is currently held outside our insurance company subsidiaries. These principal sources of liquidity are augmented by cash and short-ter</w:t>
      </w:r>
      <w:r>
        <w:rPr>
          <w:rFonts w:eastAsia="Times New Roman"/>
          <w:color w:val="000000"/>
          <w:sz w:val="20"/>
          <w:szCs w:val="20"/>
        </w:rPr>
        <w:t>m investments held by Holdings and access to bank lines of credit and the capital markets. The main uses of liquidity for Holdings are interest payments and debt repayment, payment of dividends and other distributions to stockholders (which may include sto</w:t>
      </w:r>
      <w:r>
        <w:rPr>
          <w:rFonts w:eastAsia="Times New Roman"/>
          <w:color w:val="000000"/>
          <w:sz w:val="20"/>
          <w:szCs w:val="20"/>
        </w:rPr>
        <w:t>ck repurchases) loans and capital contributions, if needed, to our insurance subsidiaries. Our principal sources of liquidity and our capital position are described in the following paragraphs.</w:t>
      </w:r>
    </w:p>
    <w:p w:rsidR="00000000" w:rsidRDefault="00897B14">
      <w:pPr>
        <w:divId w:val="1083138285"/>
        <w:rPr>
          <w:rFonts w:eastAsia="Times New Roman"/>
        </w:rPr>
      </w:pPr>
      <w:r>
        <w:rPr>
          <w:rFonts w:eastAsia="Times New Roman"/>
          <w:b/>
          <w:bCs/>
          <w:color w:val="000000"/>
          <w:sz w:val="20"/>
          <w:szCs w:val="20"/>
        </w:rPr>
        <w:t>Sources and Uses of Holding Company Highly Liquid Assets</w:t>
      </w:r>
    </w:p>
    <w:p w:rsidR="00000000" w:rsidRDefault="00897B14">
      <w:pPr>
        <w:ind w:firstLine="360"/>
        <w:divId w:val="1986468291"/>
        <w:rPr>
          <w:rFonts w:eastAsia="Times New Roman"/>
        </w:rPr>
      </w:pPr>
      <w:r>
        <w:rPr>
          <w:rFonts w:eastAsia="Times New Roman"/>
          <w:color w:val="000000"/>
          <w:sz w:val="20"/>
          <w:szCs w:val="20"/>
        </w:rPr>
        <w:t>The f</w:t>
      </w:r>
      <w:r>
        <w:rPr>
          <w:rFonts w:eastAsia="Times New Roman"/>
          <w:color w:val="000000"/>
          <w:sz w:val="20"/>
          <w:szCs w:val="20"/>
        </w:rPr>
        <w:t>ollowing table sets forth Holdings’ principal sources and uses of highly liquid assets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9"/>
        <w:gridCol w:w="120"/>
        <w:gridCol w:w="872"/>
        <w:gridCol w:w="36"/>
        <w:gridCol w:w="36"/>
        <w:gridCol w:w="36"/>
        <w:gridCol w:w="36"/>
        <w:gridCol w:w="120"/>
        <w:gridCol w:w="838"/>
        <w:gridCol w:w="36"/>
      </w:tblGrid>
      <w:tr w:rsidR="00000000">
        <w:trPr>
          <w:divId w:val="1503206596"/>
        </w:trPr>
        <w:tc>
          <w:tcPr>
            <w:tcW w:w="50" w:type="pct"/>
            <w:vAlign w:val="center"/>
            <w:hideMark/>
          </w:tcPr>
          <w:p w:rsidR="00000000" w:rsidRDefault="00897B14">
            <w:pPr>
              <w:ind w:firstLine="360"/>
              <w:rPr>
                <w:rFonts w:eastAsia="Times New Roman"/>
              </w:rPr>
            </w:pPr>
          </w:p>
        </w:tc>
        <w:tc>
          <w:tcPr>
            <w:tcW w:w="369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r>
      <w:tr w:rsidR="00000000">
        <w:trPr>
          <w:divId w:val="150320659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1503206596"/>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1503206596"/>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1,589 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1,586 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(755)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(335)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M&amp;A Activity</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Business Capital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(160)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1,557 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(709)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(150)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(859)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(376)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Preferred stock dividend</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CCEE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Preferred Stock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254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Repayment of long-term debt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FFFFFF"/>
            <w:tcMar>
              <w:top w:w="30" w:type="dxa"/>
              <w:left w:w="38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 External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(280)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Height w:val="280"/>
        </w:trPr>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shd w:val="clear" w:color="auto" w:fill="FFFF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1503206596"/>
        </w:trPr>
        <w:tc>
          <w:tcPr>
            <w:tcW w:w="0" w:type="auto"/>
            <w:gridSpan w:val="3"/>
            <w:shd w:val="clear" w:color="auto" w:fill="CCEEFF"/>
            <w:tcMar>
              <w:top w:w="30" w:type="dxa"/>
              <w:left w:w="245"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Net decrease (increase) in loans to affiliates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(125)</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503206596"/>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Affiliated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1,085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(125)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jc w:val="center"/>
        <w:divId w:val="649796673"/>
        <w:rPr>
          <w:rFonts w:eastAsia="Times New Roman"/>
        </w:rPr>
      </w:pPr>
      <w:r>
        <w:rPr>
          <w:rFonts w:eastAsia="Times New Roman"/>
          <w:color w:val="000000"/>
          <w:sz w:val="20"/>
          <w:szCs w:val="20"/>
        </w:rPr>
        <w:t>108</w:t>
      </w:r>
    </w:p>
    <w:p w:rsidR="00000000" w:rsidRDefault="00897B14">
      <w:pPr>
        <w:rPr>
          <w:rFonts w:eastAsia="Times New Roman"/>
        </w:rPr>
      </w:pPr>
      <w:r>
        <w:rPr>
          <w:rFonts w:eastAsia="Times New Roman"/>
        </w:rPr>
        <w:pict>
          <v:rect id="_x0000_i1134" style="width:0;height:1.5pt" o:hralign="center" o:hrstd="t" o:hr="t" fillcolor="#a0a0a0" stroked="f"/>
        </w:pict>
      </w:r>
    </w:p>
    <w:p w:rsidR="00000000" w:rsidRDefault="00897B14">
      <w:pPr>
        <w:divId w:val="667172019"/>
        <w:rPr>
          <w:rFonts w:eastAsia="Times New Roman"/>
        </w:rPr>
      </w:pPr>
      <w:hyperlink w:anchor="i4720991a3d574ba2ab7d34b235a82556_10"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6098"/>
        <w:gridCol w:w="37"/>
        <w:gridCol w:w="120"/>
        <w:gridCol w:w="873"/>
        <w:gridCol w:w="36"/>
        <w:gridCol w:w="36"/>
        <w:gridCol w:w="36"/>
        <w:gridCol w:w="36"/>
        <w:gridCol w:w="120"/>
        <w:gridCol w:w="838"/>
        <w:gridCol w:w="36"/>
      </w:tblGrid>
      <w:tr w:rsidR="00000000">
        <w:trPr>
          <w:divId w:val="497814747"/>
        </w:trPr>
        <w:tc>
          <w:tcPr>
            <w:tcW w:w="50" w:type="pct"/>
            <w:vAlign w:val="center"/>
            <w:hideMark/>
          </w:tcPr>
          <w:p w:rsidR="00000000" w:rsidRDefault="00897B14">
            <w:pPr>
              <w:rPr>
                <w:rFonts w:eastAsia="Times New Roman"/>
              </w:rPr>
            </w:pPr>
          </w:p>
        </w:tc>
        <w:tc>
          <w:tcPr>
            <w:tcW w:w="369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5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497814747"/>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Six Months Ended June 30,</w:t>
            </w:r>
          </w:p>
        </w:tc>
      </w:tr>
      <w:tr w:rsidR="00000000">
        <w:trPr>
          <w:divId w:val="49781474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497814747"/>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497814747"/>
          <w:trHeight w:val="30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497814747"/>
        </w:trPr>
        <w:tc>
          <w:tcPr>
            <w:tcW w:w="0" w:type="auto"/>
            <w:gridSpan w:val="3"/>
            <w:shd w:val="clear" w:color="auto" w:fill="FFFF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(129)</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97814747"/>
        </w:trPr>
        <w:tc>
          <w:tcPr>
            <w:tcW w:w="0" w:type="auto"/>
            <w:gridSpan w:val="3"/>
            <w:shd w:val="clear" w:color="auto" w:fill="CCEEFF"/>
            <w:tcMar>
              <w:top w:w="30" w:type="dxa"/>
              <w:left w:w="245" w:type="dxa"/>
              <w:bottom w:w="30" w:type="dxa"/>
              <w:right w:w="20" w:type="dxa"/>
            </w:tcMar>
            <w:hideMark/>
          </w:tcPr>
          <w:p w:rsidR="00000000" w:rsidRDefault="00897B14">
            <w:pPr>
              <w:spacing w:after="100"/>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(214)</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97814747"/>
        </w:trPr>
        <w:tc>
          <w:tcPr>
            <w:tcW w:w="0" w:type="auto"/>
            <w:gridSpan w:val="3"/>
            <w:shd w:val="clear" w:color="auto" w:fill="FFFFFF"/>
            <w:tcMar>
              <w:top w:w="30" w:type="dxa"/>
              <w:left w:w="38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Total Other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(343)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(180)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97814747"/>
          <w:trHeight w:val="280"/>
        </w:trPr>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497814747"/>
        </w:trPr>
        <w:tc>
          <w:tcPr>
            <w:tcW w:w="0" w:type="auto"/>
            <w:gridSpan w:val="3"/>
            <w:shd w:val="clear" w:color="auto" w:fill="FFFF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(303)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853 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497814747"/>
        </w:trPr>
        <w:tc>
          <w:tcPr>
            <w:tcW w:w="0" w:type="auto"/>
            <w:gridSpan w:val="3"/>
            <w:shd w:val="clear" w:color="auto" w:fill="CCEEFF"/>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Highly Liquid Assets,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2,785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2,442 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divId w:val="1196432073"/>
        <w:rPr>
          <w:rFonts w:eastAsia="Times New Roman"/>
        </w:rPr>
      </w:pPr>
    </w:p>
    <w:p w:rsidR="00000000" w:rsidRDefault="00897B14">
      <w:pPr>
        <w:ind w:firstLine="360"/>
        <w:divId w:val="506791060"/>
        <w:rPr>
          <w:rFonts w:eastAsia="Times New Roman"/>
        </w:rPr>
      </w:pPr>
      <w:r>
        <w:rPr>
          <w:rFonts w:eastAsia="Times New Roman"/>
          <w:color w:val="000000"/>
          <w:sz w:val="20"/>
          <w:szCs w:val="20"/>
        </w:rPr>
        <w:t xml:space="preserve">During the six months ended June 30, 2021, Holdings’ </w:t>
      </w:r>
      <w:r>
        <w:rPr>
          <w:rFonts w:eastAsia="Times New Roman"/>
          <w:color w:val="000000"/>
          <w:sz w:val="20"/>
          <w:szCs w:val="20"/>
        </w:rPr>
        <w:t xml:space="preserve">liquid assets decreased by $303 million. The decreases are primarily due to $859 million in shareholders return including share repurchases and dividends, $755 million in capital contributions to subsidiaries and $280 million of debt repayments related to </w:t>
      </w:r>
      <w:r>
        <w:rPr>
          <w:rFonts w:eastAsia="Times New Roman"/>
          <w:color w:val="000000"/>
          <w:sz w:val="20"/>
          <w:szCs w:val="20"/>
        </w:rPr>
        <w:t>a partial redemption of our 2023 Senior Unsecured Notes. The decreases were partially offset by increases related to proceeds from loans from affiliates of $1 billion, increases related to $380 million of dividends from our subsidiaries and $293 million in</w:t>
      </w:r>
      <w:r>
        <w:rPr>
          <w:rFonts w:eastAsia="Times New Roman"/>
          <w:color w:val="000000"/>
          <w:sz w:val="20"/>
          <w:szCs w:val="20"/>
        </w:rPr>
        <w:t xml:space="preserve"> Preferred Stock issuance.</w:t>
      </w:r>
    </w:p>
    <w:p w:rsidR="00000000" w:rsidRDefault="00897B14">
      <w:pPr>
        <w:divId w:val="761684613"/>
        <w:rPr>
          <w:rFonts w:eastAsia="Times New Roman"/>
        </w:rPr>
      </w:pPr>
      <w:r>
        <w:rPr>
          <w:rFonts w:eastAsia="Times New Roman"/>
          <w:i/>
          <w:iCs/>
          <w:color w:val="000000"/>
          <w:sz w:val="20"/>
          <w:szCs w:val="20"/>
          <w:u w:val="single"/>
        </w:rPr>
        <w:t>Capital Contribution to Our Subsidiaries</w:t>
      </w:r>
    </w:p>
    <w:p w:rsidR="00000000" w:rsidRDefault="00897B14">
      <w:pPr>
        <w:ind w:firstLine="360"/>
        <w:divId w:val="872037294"/>
        <w:rPr>
          <w:rFonts w:eastAsia="Times New Roman"/>
        </w:rPr>
      </w:pPr>
      <w:r>
        <w:rPr>
          <w:rFonts w:eastAsia="Times New Roman"/>
          <w:color w:val="000000"/>
          <w:sz w:val="20"/>
          <w:szCs w:val="20"/>
        </w:rPr>
        <w:t>In June 2021, Holdings made a $750 </w:t>
      </w:r>
      <w:r>
        <w:rPr>
          <w:rFonts w:eastAsia="Times New Roman"/>
          <w:color w:val="000000"/>
          <w:sz w:val="20"/>
          <w:szCs w:val="20"/>
        </w:rPr>
        <w:t xml:space="preserve">million cash capital contribution to facilitate a corporate restructuring involving administrative services for Equitable Financial’s separate accounts. </w:t>
      </w:r>
    </w:p>
    <w:p w:rsidR="00000000" w:rsidRDefault="00897B14">
      <w:pPr>
        <w:divId w:val="403842877"/>
        <w:rPr>
          <w:rFonts w:eastAsia="Times New Roman"/>
        </w:rPr>
      </w:pPr>
      <w:r>
        <w:rPr>
          <w:rFonts w:eastAsia="Times New Roman"/>
          <w:i/>
          <w:iCs/>
          <w:color w:val="000000"/>
          <w:sz w:val="20"/>
          <w:szCs w:val="20"/>
          <w:u w:val="single"/>
        </w:rPr>
        <w:t>Loans from Our Subsidiaries</w:t>
      </w:r>
    </w:p>
    <w:p w:rsidR="00000000" w:rsidRDefault="00897B14">
      <w:pPr>
        <w:ind w:firstLine="360"/>
        <w:divId w:val="1425878562"/>
        <w:rPr>
          <w:rFonts w:eastAsia="Times New Roman"/>
        </w:rPr>
      </w:pPr>
      <w:r>
        <w:rPr>
          <w:rFonts w:eastAsia="Times New Roman"/>
          <w:color w:val="000000"/>
          <w:sz w:val="20"/>
          <w:szCs w:val="20"/>
        </w:rPr>
        <w:t>In June 2021, Equitable Financial made a $1.0 </w:t>
      </w:r>
      <w:r>
        <w:rPr>
          <w:rFonts w:eastAsia="Times New Roman"/>
          <w:color w:val="000000"/>
          <w:sz w:val="20"/>
          <w:szCs w:val="20"/>
        </w:rPr>
        <w:t>billion 10-year term loan to Holdings for generic liquidity management purpose. The loan has an interest rate of 3.23% and matures in June 2031.</w:t>
      </w:r>
    </w:p>
    <w:p w:rsidR="00000000" w:rsidRDefault="00897B14">
      <w:pPr>
        <w:divId w:val="1461411387"/>
        <w:rPr>
          <w:rFonts w:eastAsia="Times New Roman"/>
        </w:rPr>
      </w:pPr>
      <w:r>
        <w:rPr>
          <w:rFonts w:eastAsia="Times New Roman"/>
          <w:i/>
          <w:iCs/>
          <w:color w:val="000000"/>
          <w:sz w:val="20"/>
          <w:szCs w:val="20"/>
          <w:u w:val="single"/>
        </w:rPr>
        <w:t>Cash Distributions from Our Subsidiaries</w:t>
      </w:r>
      <w:r>
        <w:rPr>
          <w:rFonts w:eastAsia="Times New Roman"/>
          <w:color w:val="000000"/>
          <w:sz w:val="20"/>
          <w:szCs w:val="20"/>
        </w:rPr>
        <w:t xml:space="preserve"> </w:t>
      </w:r>
    </w:p>
    <w:p w:rsidR="00000000" w:rsidRDefault="00897B14">
      <w:pPr>
        <w:ind w:firstLine="360"/>
        <w:divId w:val="345445232"/>
        <w:rPr>
          <w:rFonts w:eastAsia="Times New Roman"/>
        </w:rPr>
      </w:pPr>
      <w:r>
        <w:rPr>
          <w:rFonts w:eastAsia="Times New Roman"/>
          <w:color w:val="000000"/>
          <w:sz w:val="20"/>
          <w:szCs w:val="20"/>
        </w:rPr>
        <w:t>In 2021, Holdings and certain of its subsidiaries received cash distr</w:t>
      </w:r>
      <w:r>
        <w:rPr>
          <w:rFonts w:eastAsia="Times New Roman"/>
          <w:color w:val="000000"/>
          <w:sz w:val="20"/>
          <w:szCs w:val="20"/>
        </w:rPr>
        <w:t xml:space="preserve">ibutions from AB of $336 million and $65 million in dividends from Equitable Advisors. </w:t>
      </w:r>
    </w:p>
    <w:p w:rsidR="00000000" w:rsidRDefault="00897B14">
      <w:pPr>
        <w:divId w:val="804354631"/>
        <w:rPr>
          <w:rFonts w:eastAsia="Times New Roman"/>
        </w:rPr>
      </w:pPr>
      <w:r>
        <w:rPr>
          <w:rFonts w:eastAsia="Times New Roman"/>
          <w:i/>
          <w:iCs/>
          <w:color w:val="000000"/>
          <w:sz w:val="20"/>
          <w:szCs w:val="20"/>
          <w:u w:val="single"/>
        </w:rPr>
        <w:t>Distributions from Insurance Subsidiaries</w:t>
      </w:r>
    </w:p>
    <w:p w:rsidR="00000000" w:rsidRDefault="00897B14">
      <w:pPr>
        <w:ind w:firstLine="360"/>
        <w:divId w:val="501825011"/>
        <w:rPr>
          <w:rFonts w:eastAsia="Times New Roman"/>
        </w:rPr>
      </w:pPr>
      <w:r>
        <w:rPr>
          <w:rFonts w:eastAsia="Times New Roman"/>
          <w:color w:val="000000"/>
          <w:sz w:val="20"/>
          <w:szCs w:val="20"/>
        </w:rPr>
        <w:t>Our insurance companies are subject to limitations on the payment of dividends and other transfers of funds to Holdings and ot</w:t>
      </w:r>
      <w:r>
        <w:rPr>
          <w:rFonts w:eastAsia="Times New Roman"/>
          <w:color w:val="000000"/>
          <w:sz w:val="20"/>
          <w:szCs w:val="20"/>
        </w:rPr>
        <w:t xml:space="preserve">her affiliates under applicable insurance law and regulation. Also, more generally, the ability of our insurance subsidiaries to pay dividends can be affected by market conditions and other factors beyond our control. </w:t>
      </w:r>
    </w:p>
    <w:p w:rsidR="00000000" w:rsidRDefault="00897B14">
      <w:pPr>
        <w:ind w:firstLine="360"/>
        <w:divId w:val="959259121"/>
        <w:rPr>
          <w:rFonts w:eastAsia="Times New Roman"/>
        </w:rPr>
      </w:pPr>
      <w:r>
        <w:rPr>
          <w:rFonts w:eastAsia="Times New Roman"/>
          <w:color w:val="000000"/>
          <w:sz w:val="20"/>
          <w:szCs w:val="20"/>
        </w:rPr>
        <w:t>Under New York insurance law applicab</w:t>
      </w:r>
      <w:r>
        <w:rPr>
          <w:rFonts w:eastAsia="Times New Roman"/>
          <w:color w:val="000000"/>
          <w:sz w:val="20"/>
          <w:szCs w:val="20"/>
        </w:rPr>
        <w:t xml:space="preserve">le to Equitable Financial, a domestic stock life insurer may not, without prior approval of the NYDFS, pay a dividend to its stockholders exceeding an amount calculated based on a statutory formula (“Ordinary Dividend”). Dividends in excess of this amount </w:t>
      </w:r>
      <w:r>
        <w:rPr>
          <w:rFonts w:eastAsia="Times New Roman"/>
          <w:color w:val="000000"/>
          <w:sz w:val="20"/>
          <w:szCs w:val="20"/>
        </w:rPr>
        <w:t>require the insurer to file a notice of its intent to declare the dividends with the NYDFS and prior approval or non-disapproval from the NYDFS (“Extraordinary Dividend”). Due to a permitted statutory accounting practice agreed to with the NYDFS, Equitable</w:t>
      </w:r>
      <w:r>
        <w:rPr>
          <w:rFonts w:eastAsia="Times New Roman"/>
          <w:color w:val="000000"/>
          <w:sz w:val="20"/>
          <w:szCs w:val="20"/>
        </w:rPr>
        <w:t xml:space="preserve"> Financial will need the prior approval of the NYDFS to pay the portion, if any, of any Ordinary Dividend that exceeds the Ordinary Dividend that Equitable Financial would be permitted to pay under New York insurance law absent the application of such perm</w:t>
      </w:r>
      <w:r>
        <w:rPr>
          <w:rFonts w:eastAsia="Times New Roman"/>
          <w:color w:val="000000"/>
          <w:sz w:val="20"/>
          <w:szCs w:val="20"/>
        </w:rPr>
        <w:t xml:space="preserve">itted practice (such excess, the “Permitted Practice Ordinary Dividend”). </w:t>
      </w:r>
    </w:p>
    <w:p w:rsidR="00000000" w:rsidRDefault="00897B14">
      <w:pPr>
        <w:divId w:val="911890742"/>
        <w:rPr>
          <w:rFonts w:eastAsia="Times New Roman"/>
        </w:rPr>
      </w:pPr>
      <w:r>
        <w:rPr>
          <w:rFonts w:eastAsia="Times New Roman"/>
          <w:i/>
          <w:iCs/>
          <w:color w:val="000000"/>
          <w:sz w:val="20"/>
          <w:szCs w:val="20"/>
          <w:u w:val="single"/>
        </w:rPr>
        <w:t>Distributions from AllianceBernstein</w:t>
      </w:r>
    </w:p>
    <w:p w:rsidR="00000000" w:rsidRDefault="00897B14">
      <w:pPr>
        <w:ind w:firstLine="360"/>
        <w:divId w:val="2115906544"/>
        <w:rPr>
          <w:rFonts w:eastAsia="Times New Roman"/>
        </w:rPr>
      </w:pPr>
      <w:r>
        <w:rPr>
          <w:rFonts w:eastAsia="Times New Roman"/>
          <w:color w:val="000000"/>
          <w:sz w:val="20"/>
          <w:szCs w:val="20"/>
        </w:rPr>
        <w:t>ABLP is required to distribute all of its Available Cash Flow, as defined in the Amended and Restated Partnership Agreement of ABLP, to the hold</w:t>
      </w:r>
      <w:r>
        <w:rPr>
          <w:rFonts w:eastAsia="Times New Roman"/>
          <w:color w:val="000000"/>
          <w:sz w:val="20"/>
          <w:szCs w:val="20"/>
        </w:rPr>
        <w:t>ers of AB Units and to the General Partner. Available Cash Flow is defined as the cash flow received by ABLP from operations minus such amounts as the General Partner determines, in its sole discretion, should be retained by ABLP for use in its business, o</w:t>
      </w:r>
      <w:r>
        <w:rPr>
          <w:rFonts w:eastAsia="Times New Roman"/>
          <w:color w:val="000000"/>
          <w:sz w:val="20"/>
          <w:szCs w:val="20"/>
        </w:rPr>
        <w:t>r plus such amounts as the General Partner determines, in its sole discretion, should be released from previously retained cash flow. Distributions by ABLP are made 1% to the General Partner and 99% among the limited partners.</w:t>
      </w:r>
    </w:p>
    <w:p w:rsidR="00000000" w:rsidRDefault="00897B14">
      <w:pPr>
        <w:ind w:firstLine="360"/>
        <w:divId w:val="908224678"/>
        <w:rPr>
          <w:rFonts w:eastAsia="Times New Roman"/>
        </w:rPr>
      </w:pPr>
      <w:r>
        <w:rPr>
          <w:rFonts w:eastAsia="Times New Roman"/>
          <w:color w:val="000000"/>
          <w:sz w:val="20"/>
          <w:szCs w:val="20"/>
        </w:rPr>
        <w:t>Typically, Available Cash Flo</w:t>
      </w:r>
      <w:r>
        <w:rPr>
          <w:rFonts w:eastAsia="Times New Roman"/>
          <w:color w:val="000000"/>
          <w:sz w:val="20"/>
          <w:szCs w:val="20"/>
        </w:rPr>
        <w:t>w has been the adjusted diluted net income per unit for the quarter multiplied by the number of general and limited partnership interests at the end of the quarter. In future periods, management of AB anticipates that Available Cash Flow will be based on a</w:t>
      </w:r>
      <w:r>
        <w:rPr>
          <w:rFonts w:eastAsia="Times New Roman"/>
          <w:color w:val="000000"/>
          <w:sz w:val="20"/>
          <w:szCs w:val="20"/>
        </w:rPr>
        <w:t xml:space="preserve">djusted diluted net income per unit, unless management of AB determines, with the </w:t>
      </w:r>
    </w:p>
    <w:p w:rsidR="00000000" w:rsidRDefault="00897B14">
      <w:pPr>
        <w:jc w:val="center"/>
        <w:divId w:val="1384131790"/>
        <w:rPr>
          <w:rFonts w:eastAsia="Times New Roman"/>
        </w:rPr>
      </w:pPr>
      <w:r>
        <w:rPr>
          <w:rFonts w:eastAsia="Times New Roman"/>
          <w:color w:val="000000"/>
          <w:sz w:val="20"/>
          <w:szCs w:val="20"/>
        </w:rPr>
        <w:t>109</w:t>
      </w:r>
    </w:p>
    <w:p w:rsidR="00000000" w:rsidRDefault="00897B14">
      <w:pPr>
        <w:rPr>
          <w:rFonts w:eastAsia="Times New Roman"/>
        </w:rPr>
      </w:pPr>
      <w:r>
        <w:rPr>
          <w:rFonts w:eastAsia="Times New Roman"/>
        </w:rPr>
        <w:pict>
          <v:rect id="_x0000_i1135" style="width:0;height:1.5pt" o:hralign="center" o:hrstd="t" o:hr="t" fillcolor="#a0a0a0" stroked="f"/>
        </w:pict>
      </w:r>
    </w:p>
    <w:p w:rsidR="00000000" w:rsidRDefault="00897B14">
      <w:pPr>
        <w:divId w:val="248196950"/>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046560430"/>
        <w:rPr>
          <w:rFonts w:eastAsia="Times New Roman"/>
        </w:rPr>
      </w:pPr>
      <w:r>
        <w:rPr>
          <w:rFonts w:eastAsia="Times New Roman"/>
          <w:color w:val="000000"/>
          <w:sz w:val="20"/>
          <w:szCs w:val="20"/>
        </w:rPr>
        <w:t>concurrence of the Board of Directors of AB, that one o</w:t>
      </w:r>
      <w:r>
        <w:rPr>
          <w:rFonts w:eastAsia="Times New Roman"/>
          <w:color w:val="000000"/>
          <w:sz w:val="20"/>
          <w:szCs w:val="20"/>
        </w:rPr>
        <w:t>r more adjustments that are made for adjusted net income should not be made with respect to the Available Cash Flow calculation.</w:t>
      </w:r>
    </w:p>
    <w:p w:rsidR="00000000" w:rsidRDefault="00897B14">
      <w:pPr>
        <w:ind w:firstLine="360"/>
        <w:divId w:val="622007287"/>
        <w:rPr>
          <w:rFonts w:eastAsia="Times New Roman"/>
        </w:rPr>
      </w:pPr>
      <w:r>
        <w:rPr>
          <w:rFonts w:eastAsia="Times New Roman"/>
          <w:color w:val="000000"/>
          <w:sz w:val="20"/>
          <w:szCs w:val="20"/>
        </w:rPr>
        <w:t>AB Holding is required to distribute all of its Available Cash Flow, as defined in the Amended and Restated Agreement of Limite</w:t>
      </w:r>
      <w:r>
        <w:rPr>
          <w:rFonts w:eastAsia="Times New Roman"/>
          <w:color w:val="000000"/>
          <w:sz w:val="20"/>
          <w:szCs w:val="20"/>
        </w:rPr>
        <w:t>d Partnership of AB Holding, to holders of AB Holding Units pro rata in accordance with their percentage interest in AB Holding. Available Cash Flow is defined as the cash distributions AB Holding receives from ABLP minus such amounts as the General Partne</w:t>
      </w:r>
      <w:r>
        <w:rPr>
          <w:rFonts w:eastAsia="Times New Roman"/>
          <w:color w:val="000000"/>
          <w:sz w:val="20"/>
          <w:szCs w:val="20"/>
        </w:rPr>
        <w:t>r determines, in its sole discretion, should be retained by AB Holding for use in its business (such as the payment of taxes) or plus such amounts as the General Partner determines, in its sole discretion, should be released from previously retained cash f</w:t>
      </w:r>
      <w:r>
        <w:rPr>
          <w:rFonts w:eastAsia="Times New Roman"/>
          <w:color w:val="000000"/>
          <w:sz w:val="20"/>
          <w:szCs w:val="20"/>
        </w:rPr>
        <w:t>low. AB Holding is dependent on the quarterly cash distributions it receives from ABLP, which is subject to the performance of capital markets and other factors beyond our control. Distributions from AB Holding are made pro rata based on the holder’s perce</w:t>
      </w:r>
      <w:r>
        <w:rPr>
          <w:rFonts w:eastAsia="Times New Roman"/>
          <w:color w:val="000000"/>
          <w:sz w:val="20"/>
          <w:szCs w:val="20"/>
        </w:rPr>
        <w:t>ntage ownership interest in AB Holding.</w:t>
      </w:r>
    </w:p>
    <w:p w:rsidR="00000000" w:rsidRDefault="00897B14">
      <w:pPr>
        <w:ind w:firstLine="360"/>
        <w:divId w:val="43917373"/>
        <w:rPr>
          <w:rFonts w:eastAsia="Times New Roman"/>
        </w:rPr>
      </w:pPr>
      <w:r>
        <w:rPr>
          <w:rFonts w:eastAsia="Times New Roman"/>
          <w:color w:val="000000"/>
          <w:sz w:val="20"/>
          <w:szCs w:val="20"/>
        </w:rPr>
        <w:t>As of June 30, 2021, Holdings and its non-insurance company subsidiaries hold approximately 170.1 million AB Units, 4.1 million AB Holding Units and the 1% General Partnership interest in ABLP.</w:t>
      </w:r>
    </w:p>
    <w:p w:rsidR="00000000" w:rsidRDefault="00897B14">
      <w:pPr>
        <w:ind w:firstLine="360"/>
        <w:divId w:val="1487168445"/>
        <w:rPr>
          <w:rFonts w:eastAsia="Times New Roman"/>
        </w:rPr>
      </w:pPr>
      <w:r>
        <w:rPr>
          <w:rFonts w:eastAsia="Times New Roman"/>
          <w:color w:val="000000"/>
          <w:sz w:val="20"/>
          <w:szCs w:val="20"/>
        </w:rPr>
        <w:t>As of June 30, 2021, t</w:t>
      </w:r>
      <w:r>
        <w:rPr>
          <w:rFonts w:eastAsia="Times New Roman"/>
          <w:color w:val="000000"/>
          <w:sz w:val="20"/>
          <w:szCs w:val="20"/>
        </w:rPr>
        <w:t xml:space="preserve">he ownership structure of ABLP, including AB Units outstanding as well as the general partner’s 1% interest, was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256136358"/>
        </w:trPr>
        <w:tc>
          <w:tcPr>
            <w:tcW w:w="50" w:type="pct"/>
            <w:vAlign w:val="center"/>
            <w:hideMark/>
          </w:tcPr>
          <w:p w:rsidR="00000000" w:rsidRDefault="00897B14">
            <w:pPr>
              <w:ind w:firstLine="360"/>
              <w:rPr>
                <w:rFonts w:eastAsia="Times New Roman"/>
              </w:rPr>
            </w:pPr>
          </w:p>
        </w:tc>
        <w:tc>
          <w:tcPr>
            <w:tcW w:w="421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7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256136358"/>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Percentage Ownership</w:t>
            </w:r>
          </w:p>
        </w:tc>
      </w:tr>
      <w:tr w:rsidR="00000000">
        <w:trPr>
          <w:divId w:val="25613635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25613635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36.3 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256136358"/>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r w:rsidR="00000000">
        <w:trPr>
          <w:divId w:val="256136358"/>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r>
              <w:rPr>
                <w:rFonts w:eastAsia="Times New Roman"/>
                <w:color w:val="000000"/>
                <w:sz w:val="20"/>
                <w:szCs w:val="20"/>
              </w:rPr>
              <w:t>%</w:t>
            </w:r>
          </w:p>
        </w:tc>
      </w:tr>
    </w:tbl>
    <w:p w:rsidR="00000000" w:rsidRDefault="00897B14">
      <w:pPr>
        <w:ind w:firstLine="360"/>
        <w:divId w:val="313460352"/>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June 30, 2021.</w:t>
      </w:r>
    </w:p>
    <w:p w:rsidR="00000000" w:rsidRDefault="00897B14">
      <w:pPr>
        <w:divId w:val="1824854489"/>
        <w:rPr>
          <w:rFonts w:eastAsia="Times New Roman"/>
        </w:rPr>
      </w:pPr>
    </w:p>
    <w:p w:rsidR="00000000" w:rsidRDefault="00897B14">
      <w:pPr>
        <w:divId w:val="1186940223"/>
        <w:rPr>
          <w:rFonts w:eastAsia="Times New Roman"/>
        </w:rPr>
      </w:pPr>
      <w:r>
        <w:rPr>
          <w:rFonts w:eastAsia="Times New Roman"/>
          <w:i/>
          <w:iCs/>
          <w:color w:val="000000"/>
          <w:sz w:val="20"/>
          <w:szCs w:val="20"/>
          <w:u w:val="single"/>
        </w:rPr>
        <w:t xml:space="preserve">Holdings Credit Facilities </w:t>
      </w:r>
    </w:p>
    <w:p w:rsidR="00000000" w:rsidRDefault="00897B14">
      <w:pPr>
        <w:ind w:firstLine="360"/>
        <w:divId w:val="714160794"/>
        <w:rPr>
          <w:rFonts w:eastAsia="Times New Roman"/>
        </w:rPr>
      </w:pPr>
      <w:r>
        <w:rPr>
          <w:rFonts w:eastAsia="Times New Roman"/>
          <w:color w:val="000000"/>
          <w:sz w:val="20"/>
          <w:szCs w:val="20"/>
        </w:rPr>
        <w:t>On June 24, 2021, Holdings entered into the Amended and Restated Revolving Credit Agreement with respect to a five-year senior unsecured revolving credit facility (the “Credit Facility”), which lowered the facility amount to $1.5 billion and extended the m</w:t>
      </w:r>
      <w:r>
        <w:rPr>
          <w:rFonts w:eastAsia="Times New Roman"/>
          <w:color w:val="000000"/>
          <w:sz w:val="20"/>
          <w:szCs w:val="20"/>
        </w:rPr>
        <w:t>aturity date to June 24, 2026, among other changes. The Amended and Restated Revolving Credit Agreement amends the Revolving Credit Agreement entered into by Holdings on February 16, 2018, as amended on March 22, 2021.</w:t>
      </w:r>
    </w:p>
    <w:p w:rsidR="00000000" w:rsidRDefault="00897B14">
      <w:pPr>
        <w:ind w:firstLine="360"/>
        <w:divId w:val="1280992578"/>
        <w:rPr>
          <w:rFonts w:eastAsia="Times New Roman"/>
        </w:rPr>
      </w:pPr>
      <w:r>
        <w:rPr>
          <w:rFonts w:eastAsia="Times New Roman"/>
          <w:color w:val="000000"/>
          <w:sz w:val="20"/>
          <w:szCs w:val="20"/>
        </w:rPr>
        <w:t>The Credit Facility may provide signi</w:t>
      </w:r>
      <w:r>
        <w:rPr>
          <w:rFonts w:eastAsia="Times New Roman"/>
          <w:color w:val="000000"/>
          <w:sz w:val="20"/>
          <w:szCs w:val="20"/>
        </w:rPr>
        <w:t>ficant support to our liquidity position when alternative sources of credit are limited. In addition to the Credit Facility, we have letter of credit facilities with an aggregate principal amount of approximately $1.9 billion (the “LOC Facilities”), primar</w:t>
      </w:r>
      <w:r>
        <w:rPr>
          <w:rFonts w:eastAsia="Times New Roman"/>
          <w:color w:val="000000"/>
          <w:sz w:val="20"/>
          <w:szCs w:val="20"/>
        </w:rPr>
        <w:t>ily to be used to support our life insurance business reinsured to EQ AZ Life Re in April 2018. In June 2021, Holdings entered into amendments with each of the issuers of its bilateral letter of credit facilities to effect changes similar to those effected</w:t>
      </w:r>
      <w:r>
        <w:rPr>
          <w:rFonts w:eastAsia="Times New Roman"/>
          <w:color w:val="000000"/>
          <w:sz w:val="20"/>
          <w:szCs w:val="20"/>
        </w:rPr>
        <w:t xml:space="preserve"> in the amended and restated revolving credit agreement. The respective facility limits of the bilateral letter of credit facilities remained unchanged.</w:t>
      </w:r>
    </w:p>
    <w:p w:rsidR="00000000" w:rsidRDefault="00897B14">
      <w:pPr>
        <w:ind w:firstLine="360"/>
        <w:divId w:val="752311844"/>
        <w:rPr>
          <w:rFonts w:eastAsia="Times New Roman"/>
        </w:rPr>
      </w:pPr>
      <w:r>
        <w:rPr>
          <w:rFonts w:eastAsia="Times New Roman"/>
          <w:color w:val="000000"/>
          <w:sz w:val="20"/>
          <w:szCs w:val="20"/>
        </w:rPr>
        <w:t>The Credit Facility and LOC Facilities contain certain administrative, reporting, legal and financial c</w:t>
      </w:r>
      <w:r>
        <w:rPr>
          <w:rFonts w:eastAsia="Times New Roman"/>
          <w:color w:val="000000"/>
          <w:sz w:val="20"/>
          <w:szCs w:val="20"/>
        </w:rPr>
        <w:t>ovenants, including requirements to maintain a specified minimum consolidated net worth and to maintain a ratio of indebtedness to total capitalization not in excess of a specified percentage, and limitations on the dollar amount of indebtedness that may b</w:t>
      </w:r>
      <w:r>
        <w:rPr>
          <w:rFonts w:eastAsia="Times New Roman"/>
          <w:color w:val="000000"/>
          <w:sz w:val="20"/>
          <w:szCs w:val="20"/>
        </w:rPr>
        <w:t>e incurred by our subsidiaries and the dollar amount of secured indebtedness that may be incurred by us, which could restrict our operations and use of funds. The right to borrow funds under the Credit Facility and LOC Facilities is subject to the fulfillm</w:t>
      </w:r>
      <w:r>
        <w:rPr>
          <w:rFonts w:eastAsia="Times New Roman"/>
          <w:color w:val="000000"/>
          <w:sz w:val="20"/>
          <w:szCs w:val="20"/>
        </w:rPr>
        <w:t>ent of certain conditions, including compliance with all covenants, and the ability to borrow thereunder is also subject to the continued ability of the lenders that are or will be parties to the facilities to provide funds. As of June 30, 2021, we were in</w:t>
      </w:r>
      <w:r>
        <w:rPr>
          <w:rFonts w:eastAsia="Times New Roman"/>
          <w:color w:val="000000"/>
          <w:sz w:val="20"/>
          <w:szCs w:val="20"/>
        </w:rPr>
        <w:t xml:space="preserve"> compliance with these covenants”.</w:t>
      </w:r>
    </w:p>
    <w:p w:rsidR="00000000" w:rsidRDefault="00897B14">
      <w:pPr>
        <w:divId w:val="704600333"/>
        <w:rPr>
          <w:rFonts w:eastAsia="Times New Roman"/>
        </w:rPr>
      </w:pPr>
      <w:r>
        <w:rPr>
          <w:rFonts w:eastAsia="Times New Roman"/>
          <w:i/>
          <w:iCs/>
          <w:color w:val="000000"/>
          <w:sz w:val="20"/>
          <w:szCs w:val="20"/>
          <w:u w:val="single"/>
        </w:rPr>
        <w:t xml:space="preserve">Contingent Funding Arrangements </w:t>
      </w:r>
    </w:p>
    <w:p w:rsidR="00000000" w:rsidRDefault="00897B14">
      <w:pPr>
        <w:ind w:firstLine="360"/>
        <w:divId w:val="1548644078"/>
        <w:rPr>
          <w:rFonts w:eastAsia="Times New Roman"/>
        </w:rPr>
      </w:pPr>
      <w:r>
        <w:rPr>
          <w:rFonts w:eastAsia="Times New Roman"/>
          <w:color w:val="000000"/>
          <w:sz w:val="20"/>
          <w:szCs w:val="20"/>
        </w:rPr>
        <w:t>For information regarding activity pertaining to our contingent funding arrangements, see “Commitments and Contingent Liabilities” Note 12 of the Notes to Consolidated Financial Statements</w:t>
      </w:r>
      <w:r>
        <w:rPr>
          <w:rFonts w:eastAsia="Times New Roman"/>
          <w:color w:val="000000"/>
          <w:sz w:val="20"/>
          <w:szCs w:val="20"/>
        </w:rPr>
        <w:t xml:space="preserve"> in this Form 10-Q.</w:t>
      </w:r>
    </w:p>
    <w:p w:rsidR="00000000" w:rsidRDefault="00897B14">
      <w:pPr>
        <w:divId w:val="1392314537"/>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897B14">
      <w:pPr>
        <w:jc w:val="center"/>
        <w:divId w:val="1312171931"/>
        <w:rPr>
          <w:rFonts w:eastAsia="Times New Roman"/>
        </w:rPr>
      </w:pPr>
      <w:r>
        <w:rPr>
          <w:rFonts w:eastAsia="Times New Roman"/>
          <w:color w:val="000000"/>
          <w:sz w:val="20"/>
          <w:szCs w:val="20"/>
        </w:rPr>
        <w:t>110</w:t>
      </w:r>
    </w:p>
    <w:p w:rsidR="00000000" w:rsidRDefault="00897B14">
      <w:pPr>
        <w:rPr>
          <w:rFonts w:eastAsia="Times New Roman"/>
        </w:rPr>
      </w:pPr>
      <w:r>
        <w:rPr>
          <w:rFonts w:eastAsia="Times New Roman"/>
        </w:rPr>
        <w:pict>
          <v:rect id="_x0000_i1136" style="width:0;height:1.5pt" o:hralign="center" o:hrstd="t" o:hr="t" fillcolor="#a0a0a0" stroked="f"/>
        </w:pict>
      </w:r>
    </w:p>
    <w:p w:rsidR="00000000" w:rsidRDefault="00897B14">
      <w:pPr>
        <w:divId w:val="2114668324"/>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firstLine="360"/>
        <w:divId w:val="1705713087"/>
        <w:rPr>
          <w:rFonts w:eastAsia="Times New Roman"/>
        </w:rPr>
      </w:pPr>
      <w:r>
        <w:rPr>
          <w:rFonts w:eastAsia="Times New Roman"/>
          <w:color w:val="000000"/>
          <w:sz w:val="20"/>
          <w:szCs w:val="20"/>
        </w:rPr>
        <w:t>For information pertaining to our Ser</w:t>
      </w:r>
      <w:r>
        <w:rPr>
          <w:rFonts w:eastAsia="Times New Roman"/>
          <w:color w:val="000000"/>
          <w:sz w:val="20"/>
          <w:szCs w:val="20"/>
        </w:rPr>
        <w:t>ies A, Series B and Series C Preferred Stock see Note 10 of the Notes to the Consolidated Financial Statements.</w:t>
      </w:r>
    </w:p>
    <w:p w:rsidR="00000000" w:rsidRDefault="00897B14">
      <w:pPr>
        <w:jc w:val="both"/>
        <w:divId w:val="980037058"/>
        <w:rPr>
          <w:rFonts w:eastAsia="Times New Roman"/>
        </w:rPr>
      </w:pPr>
      <w:r>
        <w:rPr>
          <w:rFonts w:eastAsia="Times New Roman"/>
          <w:b/>
          <w:bCs/>
          <w:i/>
          <w:iCs/>
          <w:color w:val="000000"/>
          <w:sz w:val="20"/>
          <w:szCs w:val="20"/>
        </w:rPr>
        <w:t>Capital Position of Holdings</w:t>
      </w:r>
    </w:p>
    <w:p w:rsidR="00000000" w:rsidRDefault="00897B14">
      <w:pPr>
        <w:ind w:firstLine="360"/>
        <w:divId w:val="2130392122"/>
        <w:rPr>
          <w:rFonts w:eastAsia="Times New Roman"/>
        </w:rPr>
      </w:pPr>
      <w:r>
        <w:rPr>
          <w:rFonts w:eastAsia="Times New Roman"/>
          <w:color w:val="000000"/>
          <w:sz w:val="20"/>
          <w:szCs w:val="20"/>
        </w:rPr>
        <w:t>We manage our capital position to maintain financial strength and credit ratings that facilitate the distribution o</w:t>
      </w:r>
      <w:r>
        <w:rPr>
          <w:rFonts w:eastAsia="Times New Roman"/>
          <w:color w:val="000000"/>
          <w:sz w:val="20"/>
          <w:szCs w:val="20"/>
        </w:rPr>
        <w:t xml:space="preserve">f our products and provide our desired level of access to the bank and capital markets. Our capital position is supported by the ability of our subsidiaries to generate cash flows and distribute cash to us and our ability to effectively manage the risk of </w:t>
      </w:r>
      <w:r>
        <w:rPr>
          <w:rFonts w:eastAsia="Times New Roman"/>
          <w:color w:val="000000"/>
          <w:sz w:val="20"/>
          <w:szCs w:val="20"/>
        </w:rPr>
        <w:t>our businesses and to borrow funds and raise capital to meet our operating and growth needs.</w:t>
      </w:r>
    </w:p>
    <w:p w:rsidR="00000000" w:rsidRDefault="00897B14">
      <w:pPr>
        <w:ind w:firstLine="360"/>
        <w:divId w:val="843783294"/>
        <w:rPr>
          <w:rFonts w:eastAsia="Times New Roman"/>
        </w:rPr>
      </w:pPr>
      <w:r>
        <w:rPr>
          <w:rFonts w:eastAsia="Times New Roman"/>
          <w:color w:val="000000"/>
          <w:sz w:val="20"/>
          <w:szCs w:val="20"/>
        </w:rPr>
        <w:t>Our Board and senior management are directly involved in the development of our capital management policies. Accordingly, capital actions, including proposed chang</w:t>
      </w:r>
      <w:r>
        <w:rPr>
          <w:rFonts w:eastAsia="Times New Roman"/>
          <w:color w:val="000000"/>
          <w:sz w:val="20"/>
          <w:szCs w:val="20"/>
        </w:rPr>
        <w:t>es to the annual capital plan, capital targets and capital policies, are approved by the Board.</w:t>
      </w:r>
    </w:p>
    <w:p w:rsidR="00000000" w:rsidRDefault="00897B14">
      <w:pPr>
        <w:divId w:val="543911369"/>
        <w:rPr>
          <w:rFonts w:eastAsia="Times New Roman"/>
        </w:rPr>
      </w:pPr>
      <w:r>
        <w:rPr>
          <w:rFonts w:eastAsia="Times New Roman"/>
          <w:i/>
          <w:iCs/>
          <w:color w:val="000000"/>
          <w:sz w:val="20"/>
          <w:szCs w:val="20"/>
          <w:u w:val="single"/>
        </w:rPr>
        <w:t>Dividends Declared and Paid</w:t>
      </w:r>
    </w:p>
    <w:p w:rsidR="00000000" w:rsidRDefault="00897B14">
      <w:pPr>
        <w:ind w:firstLine="360"/>
        <w:divId w:val="1922174841"/>
        <w:rPr>
          <w:rFonts w:eastAsia="Times New Roman"/>
        </w:rPr>
      </w:pPr>
      <w:r>
        <w:rPr>
          <w:rFonts w:eastAsia="Times New Roman"/>
          <w:color w:val="000000"/>
          <w:sz w:val="20"/>
          <w:szCs w:val="20"/>
        </w:rPr>
        <w:t xml:space="preserve">The declaration and payment of future dividends is subject to the discretion of our Board of Directors and depends on our financial </w:t>
      </w:r>
      <w:r>
        <w:rPr>
          <w:rFonts w:eastAsia="Times New Roman"/>
          <w:color w:val="000000"/>
          <w:sz w:val="20"/>
          <w:szCs w:val="20"/>
        </w:rPr>
        <w:t>condition, results of operations, cash requirements, future prospects, regulatory restrictions on the payment of dividends by Holdings’ insurance subsidiaries and other factors deemed relevant by the Board. </w:t>
      </w:r>
    </w:p>
    <w:p w:rsidR="00000000" w:rsidRDefault="00897B14">
      <w:pPr>
        <w:ind w:firstLine="360"/>
        <w:divId w:val="692879182"/>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Series B and Series C Preferred Stock for the last proceeding dividend period. For additional information on our</w:t>
      </w:r>
      <w:r>
        <w:rPr>
          <w:rFonts w:eastAsia="Times New Roman"/>
          <w:color w:val="000000"/>
          <w:sz w:val="20"/>
          <w:szCs w:val="20"/>
        </w:rPr>
        <w:t xml:space="preserve"> preferred stock, see “—Series A, Series B and Series C Preferred Stock”.</w:t>
      </w:r>
    </w:p>
    <w:p w:rsidR="00000000" w:rsidRDefault="00897B14">
      <w:pPr>
        <w:ind w:firstLine="360"/>
        <w:divId w:val="1934974486"/>
        <w:rPr>
          <w:rFonts w:eastAsia="Times New Roman"/>
        </w:rPr>
      </w:pPr>
      <w:r>
        <w:rPr>
          <w:rFonts w:eastAsia="Times New Roman"/>
          <w:color w:val="000000"/>
          <w:sz w:val="20"/>
          <w:szCs w:val="20"/>
        </w:rPr>
        <w:t xml:space="preserve">For information regarding activity pertaining to common and preferred dividends declared and paid, see Note 10 of the Notes to the Consolidated Financial Statements. </w:t>
      </w:r>
    </w:p>
    <w:p w:rsidR="00000000" w:rsidRDefault="00897B14">
      <w:pPr>
        <w:divId w:val="161971873"/>
        <w:rPr>
          <w:rFonts w:eastAsia="Times New Roman"/>
        </w:rPr>
      </w:pPr>
      <w:r>
        <w:rPr>
          <w:rFonts w:eastAsia="Times New Roman"/>
          <w:i/>
          <w:iCs/>
          <w:color w:val="000000"/>
          <w:sz w:val="20"/>
          <w:szCs w:val="20"/>
          <w:u w:val="single"/>
        </w:rPr>
        <w:t>Share Repurchas</w:t>
      </w:r>
      <w:r>
        <w:rPr>
          <w:rFonts w:eastAsia="Times New Roman"/>
          <w:i/>
          <w:iCs/>
          <w:color w:val="000000"/>
          <w:sz w:val="20"/>
          <w:szCs w:val="20"/>
          <w:u w:val="single"/>
        </w:rPr>
        <w:t>e Programs</w:t>
      </w:r>
    </w:p>
    <w:p w:rsidR="00000000" w:rsidRDefault="00897B14">
      <w:pPr>
        <w:ind w:firstLine="360"/>
        <w:divId w:val="637807102"/>
        <w:rPr>
          <w:rFonts w:eastAsia="Times New Roman"/>
        </w:rPr>
      </w:pPr>
      <w:r>
        <w:rPr>
          <w:rFonts w:eastAsia="Times New Roman"/>
          <w:color w:val="000000"/>
          <w:sz w:val="20"/>
          <w:szCs w:val="20"/>
        </w:rPr>
        <w:t>For information regarding activity pertaining to share repurchase programs, see Note 10 of the Notes to Consolidated Financial Statements.</w:t>
      </w:r>
    </w:p>
    <w:p w:rsidR="00000000" w:rsidRDefault="00897B14">
      <w:pPr>
        <w:jc w:val="both"/>
        <w:divId w:val="2094550656"/>
        <w:rPr>
          <w:rFonts w:eastAsia="Times New Roman"/>
        </w:rPr>
      </w:pPr>
      <w:r>
        <w:rPr>
          <w:rFonts w:eastAsia="Times New Roman"/>
          <w:b/>
          <w:bCs/>
          <w:i/>
          <w:iCs/>
          <w:color w:val="000000"/>
          <w:sz w:val="20"/>
          <w:szCs w:val="20"/>
        </w:rPr>
        <w:t>Sources and Uses of Liquidity of Our Insurance Subsidiaries</w:t>
      </w:r>
    </w:p>
    <w:p w:rsidR="00000000" w:rsidRDefault="00897B14">
      <w:pPr>
        <w:ind w:firstLine="360"/>
        <w:divId w:val="524833429"/>
        <w:rPr>
          <w:rFonts w:eastAsia="Times New Roman"/>
        </w:rPr>
      </w:pPr>
      <w:r>
        <w:rPr>
          <w:rFonts w:eastAsia="Times New Roman"/>
          <w:color w:val="000000"/>
          <w:sz w:val="20"/>
          <w:szCs w:val="20"/>
        </w:rPr>
        <w:t>The principal sources of liquidity for our ins</w:t>
      </w:r>
      <w:r>
        <w:rPr>
          <w:rFonts w:eastAsia="Times New Roman"/>
          <w:color w:val="000000"/>
          <w:sz w:val="20"/>
          <w:szCs w:val="20"/>
        </w:rPr>
        <w:t>urance subsidiaries are premiums, investment and fee income, deposits associated with our insurance and annuity operations, cash and invested assets, as well as internal borrowings. The principal uses of that liquidity include benefits, claims and dividend</w:t>
      </w:r>
      <w:r>
        <w:rPr>
          <w:rFonts w:eastAsia="Times New Roman"/>
          <w:color w:val="000000"/>
          <w:sz w:val="20"/>
          <w:szCs w:val="20"/>
        </w:rPr>
        <w:t>s paid to policyholders and payments to policyholders in connection with surrenders and withdrawals. Other uses of liquidity include commissions, general and administrative expenses, purchases of investments, the payment of dividends to Holdings and hedgin</w:t>
      </w:r>
      <w:r>
        <w:rPr>
          <w:rFonts w:eastAsia="Times New Roman"/>
          <w:color w:val="000000"/>
          <w:sz w:val="20"/>
          <w:szCs w:val="20"/>
        </w:rPr>
        <w:t>g activity. Certain of our insurance subsidiaries’ principal sources and uses of liquidity are described in the paragraphs that follow.</w:t>
      </w:r>
    </w:p>
    <w:p w:rsidR="00000000" w:rsidRDefault="00897B14">
      <w:pPr>
        <w:ind w:firstLine="360"/>
        <w:divId w:val="1313220039"/>
        <w:rPr>
          <w:rFonts w:eastAsia="Times New Roman"/>
        </w:rPr>
      </w:pPr>
      <w:r>
        <w:rPr>
          <w:rFonts w:eastAsia="Times New Roman"/>
          <w:color w:val="000000"/>
          <w:sz w:val="20"/>
          <w:szCs w:val="20"/>
        </w:rPr>
        <w:t>We manage the liquidity of our insurance subsidiaries with the objective of ensuring that they can meet payment obligati</w:t>
      </w:r>
      <w:r>
        <w:rPr>
          <w:rFonts w:eastAsia="Times New Roman"/>
          <w:color w:val="000000"/>
          <w:sz w:val="20"/>
          <w:szCs w:val="20"/>
        </w:rPr>
        <w:t xml:space="preserve">ons linked to our Individual Retirement, Group Retirement and Protection Solutions businesses and to their outstanding debt and derivative positions, including in our hedging programs, without support from Holdings. We employ an asset/liability management </w:t>
      </w:r>
      <w:r>
        <w:rPr>
          <w:rFonts w:eastAsia="Times New Roman"/>
          <w:color w:val="000000"/>
          <w:sz w:val="20"/>
          <w:szCs w:val="20"/>
        </w:rPr>
        <w:t>approach specific to the requirements of each of our insurance businesses. We measure liquidity against internally-developed benchmarks that consider the characteristics of our asset portfolio and the liabilities that it supports. We consider attributes of</w:t>
      </w:r>
      <w:r>
        <w:rPr>
          <w:rFonts w:eastAsia="Times New Roman"/>
          <w:color w:val="000000"/>
          <w:sz w:val="20"/>
          <w:szCs w:val="20"/>
        </w:rPr>
        <w:t xml:space="preserve"> the various categories of our liquid assets (for example, type of asset and credit quality) in calculating internal liquidity indicators for our insurance and reinsurance operations. Our liquidity benchmarks are established for various stress scenarios an</w:t>
      </w:r>
      <w:r>
        <w:rPr>
          <w:rFonts w:eastAsia="Times New Roman"/>
          <w:color w:val="000000"/>
          <w:sz w:val="20"/>
          <w:szCs w:val="20"/>
        </w:rPr>
        <w:t xml:space="preserve">d durations, including company-specific and market-wide events. The scenarios we use to evaluate the liquidity of our subsidiaries are defined to allow operating entities to operate without support from Holdings. </w:t>
      </w:r>
    </w:p>
    <w:p w:rsidR="00000000" w:rsidRDefault="00897B14">
      <w:pPr>
        <w:divId w:val="1743867500"/>
        <w:rPr>
          <w:rFonts w:eastAsia="Times New Roman"/>
        </w:rPr>
      </w:pPr>
      <w:r>
        <w:rPr>
          <w:rFonts w:eastAsia="Times New Roman"/>
          <w:i/>
          <w:iCs/>
          <w:color w:val="000000"/>
          <w:sz w:val="20"/>
          <w:szCs w:val="20"/>
          <w:u w:val="single"/>
        </w:rPr>
        <w:t>Liquid Assets</w:t>
      </w:r>
    </w:p>
    <w:p w:rsidR="00000000" w:rsidRDefault="00897B14">
      <w:pPr>
        <w:ind w:firstLine="360"/>
        <w:divId w:val="648364865"/>
        <w:rPr>
          <w:rFonts w:eastAsia="Times New Roman"/>
        </w:rPr>
      </w:pPr>
      <w:r>
        <w:rPr>
          <w:rFonts w:eastAsia="Times New Roman"/>
          <w:color w:val="000000"/>
          <w:sz w:val="20"/>
          <w:szCs w:val="20"/>
        </w:rPr>
        <w:t>The investment portfolios of</w:t>
      </w:r>
      <w:r>
        <w:rPr>
          <w:rFonts w:eastAsia="Times New Roman"/>
          <w:color w:val="000000"/>
          <w:sz w:val="20"/>
          <w:szCs w:val="20"/>
        </w:rPr>
        <w:t xml:space="preserve"> our insurance subsidiaries are a significant component of our overall liquidity. Liquid assets include cash and cash equivalents, short-term investments, U.S. Treasury fixed maturities, fixed maturities that are not designated as HTM and public equity sec</w:t>
      </w:r>
      <w:r>
        <w:rPr>
          <w:rFonts w:eastAsia="Times New Roman"/>
          <w:color w:val="000000"/>
          <w:sz w:val="20"/>
          <w:szCs w:val="20"/>
        </w:rPr>
        <w:t>urities. We believe that our business operations and the liquidity profile of our assets provide sufficient liquidity under reasonably foreseeable stress scenarios for each of our insurance subsidiaries.</w:t>
      </w:r>
    </w:p>
    <w:p w:rsidR="00000000" w:rsidRDefault="00897B14">
      <w:pPr>
        <w:ind w:firstLine="360"/>
        <w:divId w:val="954750731"/>
        <w:rPr>
          <w:rFonts w:eastAsia="Times New Roman"/>
        </w:rPr>
      </w:pPr>
      <w:r>
        <w:rPr>
          <w:rFonts w:eastAsia="Times New Roman"/>
          <w:color w:val="000000"/>
          <w:sz w:val="20"/>
          <w:szCs w:val="20"/>
        </w:rPr>
        <w:t>See “—General Account Investment Portfolio” and Note</w:t>
      </w:r>
      <w:r>
        <w:rPr>
          <w:rFonts w:eastAsia="Times New Roman"/>
          <w:color w:val="000000"/>
          <w:sz w:val="20"/>
          <w:szCs w:val="20"/>
        </w:rPr>
        <w:t xml:space="preserve"> 3 and Note 4 of the Notes to Consolidated Financial Statements for a description of our retirement and protection businesses’ portfolio of liquid assets.</w:t>
      </w:r>
    </w:p>
    <w:p w:rsidR="00000000" w:rsidRDefault="00897B14">
      <w:pPr>
        <w:jc w:val="center"/>
        <w:divId w:val="1693066456"/>
        <w:rPr>
          <w:rFonts w:eastAsia="Times New Roman"/>
        </w:rPr>
      </w:pPr>
      <w:r>
        <w:rPr>
          <w:rFonts w:eastAsia="Times New Roman"/>
          <w:color w:val="000000"/>
          <w:sz w:val="20"/>
          <w:szCs w:val="20"/>
        </w:rPr>
        <w:t>111</w:t>
      </w:r>
    </w:p>
    <w:p w:rsidR="00000000" w:rsidRDefault="00897B14">
      <w:pPr>
        <w:rPr>
          <w:rFonts w:eastAsia="Times New Roman"/>
        </w:rPr>
      </w:pPr>
      <w:r>
        <w:rPr>
          <w:rFonts w:eastAsia="Times New Roman"/>
        </w:rPr>
        <w:pict>
          <v:rect id="_x0000_i1137" style="width:0;height:1.5pt" o:hralign="center" o:hrstd="t" o:hr="t" fillcolor="#a0a0a0" stroked="f"/>
        </w:pict>
      </w:r>
    </w:p>
    <w:p w:rsidR="00000000" w:rsidRDefault="00897B14">
      <w:pPr>
        <w:divId w:val="387077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326863174"/>
        <w:rPr>
          <w:rFonts w:eastAsia="Times New Roman"/>
        </w:rPr>
      </w:pPr>
      <w:r>
        <w:rPr>
          <w:rFonts w:eastAsia="Times New Roman"/>
          <w:i/>
          <w:iCs/>
          <w:color w:val="000000"/>
          <w:sz w:val="20"/>
          <w:szCs w:val="20"/>
          <w:u w:val="single"/>
        </w:rPr>
        <w:t>Hedging Activities</w:t>
      </w:r>
    </w:p>
    <w:p w:rsidR="00000000" w:rsidRDefault="00897B14">
      <w:pPr>
        <w:ind w:firstLine="360"/>
        <w:divId w:val="1144011271"/>
        <w:rPr>
          <w:rFonts w:eastAsia="Times New Roman"/>
        </w:rPr>
      </w:pPr>
      <w:r>
        <w:rPr>
          <w:rFonts w:eastAsia="Times New Roman"/>
          <w:color w:val="000000"/>
          <w:sz w:val="20"/>
          <w:szCs w:val="20"/>
        </w:rPr>
        <w:t>Because the future claims exposure on our insurance products, and in particular our variable annuity products with GMxB feat</w:t>
      </w:r>
      <w:r>
        <w:rPr>
          <w:rFonts w:eastAsia="Times New Roman"/>
          <w:color w:val="000000"/>
          <w:sz w:val="20"/>
          <w:szCs w:val="20"/>
        </w:rPr>
        <w:t>ures, is sensitive to movements in the equity markets and interest rates, we have in place various hedging and reinsurance programs that are designed to mitigate the economic risks of movements in the equity markets and interest rates. We use derivatives a</w:t>
      </w:r>
      <w:r>
        <w:rPr>
          <w:rFonts w:eastAsia="Times New Roman"/>
          <w:color w:val="000000"/>
          <w:sz w:val="20"/>
          <w:szCs w:val="20"/>
        </w:rPr>
        <w:t>s part of our overall asset/liability risk management program primarily to reduce exposures to equity market and interest rate risks. In addition, we use credit derivatives to replicate exposure to individual securities or pools of securities as a means of</w:t>
      </w:r>
      <w:r>
        <w:rPr>
          <w:rFonts w:eastAsia="Times New Roman"/>
          <w:color w:val="000000"/>
          <w:sz w:val="20"/>
          <w:szCs w:val="20"/>
        </w:rPr>
        <w:t xml:space="preserve"> achieving credit exposure similar to bonds of the underlying issuer(s) more efficiently. The derivative contracts are an integral part of our risk management program, especially for the management of our variable annuities program, and are collectively ma</w:t>
      </w:r>
      <w:r>
        <w:rPr>
          <w:rFonts w:eastAsia="Times New Roman"/>
          <w:color w:val="000000"/>
          <w:sz w:val="20"/>
          <w:szCs w:val="20"/>
        </w:rPr>
        <w:t>naged to reduce the economic impact of unfavorable movements in capital markets. These derivative transactions require liquidity to meet payment obligations such as payments for periodic settlements, purchases, maturities and terminations as well as liquid</w:t>
      </w:r>
      <w:r>
        <w:rPr>
          <w:rFonts w:eastAsia="Times New Roman"/>
          <w:color w:val="000000"/>
          <w:sz w:val="20"/>
          <w:szCs w:val="20"/>
        </w:rPr>
        <w:t xml:space="preserve"> assets pledged as collateral related to any decline in the net estimated fair value. Collateral calls represent one of our biggest drivers for liquidity needs for our insurance subsidiaries. Our derivatives contracts reside primarily within Equitable Fina</w:t>
      </w:r>
      <w:r>
        <w:rPr>
          <w:rFonts w:eastAsia="Times New Roman"/>
          <w:color w:val="000000"/>
          <w:sz w:val="20"/>
          <w:szCs w:val="20"/>
        </w:rPr>
        <w:t>ncial, which has a significantly large investment portfolio.</w:t>
      </w:r>
    </w:p>
    <w:p w:rsidR="00000000" w:rsidRDefault="00897B14">
      <w:pPr>
        <w:divId w:val="692612634"/>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897B14">
      <w:pPr>
        <w:ind w:firstLine="360"/>
        <w:divId w:val="1910378299"/>
        <w:rPr>
          <w:rFonts w:eastAsia="Times New Roman"/>
        </w:rPr>
      </w:pPr>
      <w:r>
        <w:rPr>
          <w:rFonts w:eastAsia="Times New Roman"/>
          <w:color w:val="000000"/>
          <w:sz w:val="20"/>
          <w:szCs w:val="20"/>
        </w:rPr>
        <w:t xml:space="preserve">Equitable Financial is a member of the FHLB, which provides Equitable Financial with access to collateralized borrowings and other FHLB products. </w:t>
      </w:r>
    </w:p>
    <w:p w:rsidR="00000000" w:rsidRDefault="00897B14">
      <w:pPr>
        <w:ind w:firstLine="360"/>
        <w:divId w:val="1212692606"/>
        <w:rPr>
          <w:rFonts w:eastAsia="Times New Roman"/>
        </w:rPr>
      </w:pPr>
      <w:r>
        <w:rPr>
          <w:rFonts w:eastAsia="Times New Roman"/>
          <w:color w:val="000000"/>
          <w:sz w:val="20"/>
          <w:szCs w:val="20"/>
        </w:rPr>
        <w:t>See Note 12 of the Notes to Con</w:t>
      </w:r>
      <w:r>
        <w:rPr>
          <w:rFonts w:eastAsia="Times New Roman"/>
          <w:color w:val="000000"/>
          <w:sz w:val="20"/>
          <w:szCs w:val="20"/>
        </w:rPr>
        <w:t xml:space="preserve">solidated Financial Statements for further description of our FHLB program. </w:t>
      </w:r>
    </w:p>
    <w:p w:rsidR="00000000" w:rsidRDefault="00897B14">
      <w:pPr>
        <w:divId w:val="1234126637"/>
        <w:rPr>
          <w:rFonts w:eastAsia="Times New Roman"/>
        </w:rPr>
      </w:pPr>
      <w:r>
        <w:rPr>
          <w:rFonts w:eastAsia="Times New Roman"/>
          <w:i/>
          <w:iCs/>
          <w:color w:val="000000"/>
          <w:sz w:val="20"/>
          <w:szCs w:val="20"/>
          <w:u w:val="single"/>
        </w:rPr>
        <w:t>FABN</w:t>
      </w:r>
      <w:r>
        <w:rPr>
          <w:rFonts w:eastAsia="Times New Roman"/>
          <w:b/>
          <w:bCs/>
          <w:i/>
          <w:iCs/>
          <w:color w:val="000000"/>
          <w:sz w:val="20"/>
          <w:szCs w:val="20"/>
        </w:rPr>
        <w:t xml:space="preserve"> </w:t>
      </w:r>
    </w:p>
    <w:p w:rsidR="00000000" w:rsidRDefault="00897B14">
      <w:pPr>
        <w:ind w:firstLine="360"/>
        <w:divId w:val="649870156"/>
        <w:rPr>
          <w:rFonts w:eastAsia="Times New Roman"/>
        </w:rPr>
      </w:pPr>
      <w:r>
        <w:rPr>
          <w:rFonts w:eastAsia="Times New Roman"/>
          <w:color w:val="000000"/>
          <w:sz w:val="20"/>
          <w:szCs w:val="20"/>
        </w:rPr>
        <w:t>Under the FABN program, Equitable Financial may issue funding agreements in U.S. dollar or other foreign currencies.</w:t>
      </w:r>
    </w:p>
    <w:p w:rsidR="00000000" w:rsidRDefault="00897B14">
      <w:pPr>
        <w:ind w:firstLine="360"/>
        <w:divId w:val="1685478289"/>
        <w:rPr>
          <w:rFonts w:eastAsia="Times New Roman"/>
        </w:rPr>
      </w:pPr>
      <w:r>
        <w:rPr>
          <w:rFonts w:eastAsia="Times New Roman"/>
          <w:color w:val="000000"/>
          <w:sz w:val="20"/>
          <w:szCs w:val="20"/>
        </w:rPr>
        <w:t>See Note 12 of the Notes to Consolidated Financial State</w:t>
      </w:r>
      <w:r>
        <w:rPr>
          <w:rFonts w:eastAsia="Times New Roman"/>
          <w:color w:val="000000"/>
          <w:sz w:val="20"/>
          <w:szCs w:val="20"/>
        </w:rPr>
        <w:t xml:space="preserve">ments for further description of our FABN program. </w:t>
      </w:r>
    </w:p>
    <w:p w:rsidR="00000000" w:rsidRDefault="00897B14">
      <w:pPr>
        <w:divId w:val="1888183429"/>
        <w:rPr>
          <w:rFonts w:eastAsia="Times New Roman"/>
        </w:rPr>
      </w:pPr>
      <w:r>
        <w:rPr>
          <w:rFonts w:eastAsia="Times New Roman"/>
          <w:b/>
          <w:bCs/>
          <w:color w:val="000000"/>
          <w:sz w:val="20"/>
          <w:szCs w:val="20"/>
        </w:rPr>
        <w:t>Sources and Uses of Liquidity of our Investment Management and Research Segment</w:t>
      </w:r>
    </w:p>
    <w:p w:rsidR="00000000" w:rsidRDefault="00897B14">
      <w:pPr>
        <w:ind w:firstLine="360"/>
        <w:divId w:val="1485272738"/>
        <w:rPr>
          <w:rFonts w:eastAsia="Times New Roman"/>
        </w:rPr>
      </w:pPr>
      <w:r>
        <w:rPr>
          <w:rFonts w:eastAsia="Times New Roman"/>
          <w:color w:val="000000"/>
          <w:sz w:val="20"/>
          <w:szCs w:val="20"/>
        </w:rPr>
        <w:t>The principal sources of liquidity for our Investment Management and Research business include investment management fees an</w:t>
      </w:r>
      <w:r>
        <w:rPr>
          <w:rFonts w:eastAsia="Times New Roman"/>
          <w:color w:val="000000"/>
          <w:sz w:val="20"/>
          <w:szCs w:val="20"/>
        </w:rPr>
        <w:t>d borrowings under its credit facilities and commercial paper program. The principal uses of liquidity include general and administrative expenses, business financing and distributions to holders of AB Units and AB Holding Units plus interest and debt serv</w:t>
      </w:r>
      <w:r>
        <w:rPr>
          <w:rFonts w:eastAsia="Times New Roman"/>
          <w:color w:val="000000"/>
          <w:sz w:val="20"/>
          <w:szCs w:val="20"/>
        </w:rPr>
        <w:t>ice. The primary liquidity risk for our fee-based Investment Management and Research business is its profitability, which is impacted by market conditions and our investment management performance.</w:t>
      </w:r>
    </w:p>
    <w:p w:rsidR="00000000" w:rsidRDefault="00897B14">
      <w:pPr>
        <w:jc w:val="both"/>
        <w:divId w:val="1263300936"/>
        <w:rPr>
          <w:rFonts w:eastAsia="Times New Roman"/>
        </w:rPr>
      </w:pPr>
      <w:r>
        <w:rPr>
          <w:rFonts w:eastAsia="Times New Roman"/>
          <w:b/>
          <w:bCs/>
          <w:i/>
          <w:iCs/>
          <w:color w:val="000000"/>
          <w:sz w:val="20"/>
          <w:szCs w:val="20"/>
        </w:rPr>
        <w:t>AB Short-term Debt</w:t>
      </w:r>
    </w:p>
    <w:p w:rsidR="00000000" w:rsidRDefault="00897B14">
      <w:pPr>
        <w:divId w:val="2117017046"/>
        <w:rPr>
          <w:rFonts w:eastAsia="Times New Roman"/>
        </w:rPr>
      </w:pPr>
      <w:r>
        <w:rPr>
          <w:rFonts w:eastAsia="Times New Roman"/>
          <w:i/>
          <w:iCs/>
          <w:color w:val="000000"/>
          <w:sz w:val="20"/>
          <w:szCs w:val="20"/>
          <w:u w:val="single"/>
        </w:rPr>
        <w:t>AB Commercial Paper</w:t>
      </w:r>
    </w:p>
    <w:p w:rsidR="00000000" w:rsidRDefault="00897B14">
      <w:pPr>
        <w:ind w:firstLine="360"/>
        <w:divId w:val="484009847"/>
        <w:rPr>
          <w:rFonts w:eastAsia="Times New Roman"/>
        </w:rPr>
      </w:pPr>
      <w:r>
        <w:rPr>
          <w:rFonts w:eastAsia="Times New Roman"/>
          <w:color w:val="000000"/>
          <w:sz w:val="20"/>
          <w:szCs w:val="20"/>
        </w:rPr>
        <w:t>As of June 30, 2021 and December 31, 2020, AB had no commercial paper outstanding. The commercial paper is short term in nature, and as such, recorded value is estimated to approximate fair value (and considered a Level 2 security in the fair value hierarc</w:t>
      </w:r>
      <w:r>
        <w:rPr>
          <w:rFonts w:eastAsia="Times New Roman"/>
          <w:color w:val="000000"/>
          <w:sz w:val="20"/>
          <w:szCs w:val="20"/>
        </w:rPr>
        <w:t>hy). Average daily borrowings for the commercial paper outstanding in 2021 was $111 million with a weighted average interest rate of 0.2%. Average daily borrowings for the commercial paper in 2020 was $83 million with a weighted average interest rate of 0.</w:t>
      </w:r>
      <w:r>
        <w:rPr>
          <w:rFonts w:eastAsia="Times New Roman"/>
          <w:color w:val="000000"/>
          <w:sz w:val="20"/>
          <w:szCs w:val="20"/>
        </w:rPr>
        <w:t xml:space="preserve">4%. </w:t>
      </w:r>
    </w:p>
    <w:p w:rsidR="00000000" w:rsidRDefault="00897B14">
      <w:pPr>
        <w:divId w:val="1581599723"/>
        <w:rPr>
          <w:rFonts w:eastAsia="Times New Roman"/>
        </w:rPr>
      </w:pPr>
      <w:r>
        <w:rPr>
          <w:rFonts w:eastAsia="Times New Roman"/>
          <w:i/>
          <w:iCs/>
          <w:color w:val="000000"/>
          <w:sz w:val="20"/>
          <w:szCs w:val="20"/>
          <w:u w:val="single"/>
        </w:rPr>
        <w:t>AB Revolver Credit Facility</w:t>
      </w:r>
    </w:p>
    <w:p w:rsidR="00000000" w:rsidRDefault="00897B14">
      <w:pPr>
        <w:ind w:firstLine="360"/>
        <w:divId w:val="386150058"/>
        <w:rPr>
          <w:rFonts w:eastAsia="Times New Roman"/>
        </w:rPr>
      </w:pPr>
      <w:r>
        <w:rPr>
          <w:rFonts w:eastAsia="Times New Roman"/>
          <w:color w:val="000000"/>
          <w:sz w:val="20"/>
          <w:szCs w:val="20"/>
        </w:rPr>
        <w:t>AB has a $200 million committed, unsecured senior revolving credit facility (the "AB Revolver") with a leading international bank, which matures on November 16, 2021. The Revolver is available for AB's and SCB LLC's busines</w:t>
      </w:r>
      <w:r>
        <w:rPr>
          <w:rFonts w:eastAsia="Times New Roman"/>
          <w:color w:val="000000"/>
          <w:sz w:val="20"/>
          <w:szCs w:val="20"/>
        </w:rPr>
        <w:t>s purposes, including the provision of additional liquidity to meet funding requirements primarily related to SCB LLC's operations. Both AB and SCB LLC can draw directly under the Revolver and management expects to draw on the Revolver from time to time. A</w:t>
      </w:r>
      <w:r>
        <w:rPr>
          <w:rFonts w:eastAsia="Times New Roman"/>
          <w:color w:val="000000"/>
          <w:sz w:val="20"/>
          <w:szCs w:val="20"/>
        </w:rPr>
        <w:t>B has agreed to guarantee the obligations of SCB LLC under the Revolver. The Revolver contains affirmative, negative and financial covenants that are identical to those of the Credit Facility. Borrowings under the Revolver bear interest at a rate per annum</w:t>
      </w:r>
      <w:r>
        <w:rPr>
          <w:rFonts w:eastAsia="Times New Roman"/>
          <w:color w:val="000000"/>
          <w:sz w:val="20"/>
          <w:szCs w:val="20"/>
        </w:rPr>
        <w:t>, which will be, at AB's option, a rate equal to an applicable margin, which is subject to adjustment based on the credit ratings of AB, plus one of the following indices: London Interbank Offered Rate; a floating base rate; or the Federal Funds rate. As o</w:t>
      </w:r>
      <w:r>
        <w:rPr>
          <w:rFonts w:eastAsia="Times New Roman"/>
          <w:color w:val="000000"/>
          <w:sz w:val="20"/>
          <w:szCs w:val="20"/>
        </w:rPr>
        <w:t>f June 30, 2021 and December 31, 2020, AB had no amounts outstanding under the AB Revolver. Average daily borrowings for 2021 and 2020 were $22 million and $17 million, respectively, with weighted average interest rates of 1.1% and 1.6%, respectively.</w:t>
      </w:r>
    </w:p>
    <w:p w:rsidR="00000000" w:rsidRDefault="00897B14">
      <w:pPr>
        <w:jc w:val="center"/>
        <w:divId w:val="988436598"/>
        <w:rPr>
          <w:rFonts w:eastAsia="Times New Roman"/>
        </w:rPr>
      </w:pPr>
      <w:r>
        <w:rPr>
          <w:rFonts w:eastAsia="Times New Roman"/>
          <w:color w:val="000000"/>
          <w:sz w:val="20"/>
          <w:szCs w:val="20"/>
        </w:rPr>
        <w:t>112</w:t>
      </w:r>
    </w:p>
    <w:p w:rsidR="00000000" w:rsidRDefault="00897B14">
      <w:pPr>
        <w:rPr>
          <w:rFonts w:eastAsia="Times New Roman"/>
        </w:rPr>
      </w:pPr>
      <w:r>
        <w:rPr>
          <w:rFonts w:eastAsia="Times New Roman"/>
        </w:rPr>
        <w:pict>
          <v:rect id="_x0000_i1138" style="width:0;height:1.5pt" o:hralign="center" o:hrstd="t" o:hr="t" fillcolor="#a0a0a0" stroked="f"/>
        </w:pict>
      </w:r>
    </w:p>
    <w:p w:rsidR="00000000" w:rsidRDefault="00897B14">
      <w:pPr>
        <w:divId w:val="2091467587"/>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both"/>
        <w:divId w:val="1708021172"/>
        <w:rPr>
          <w:rFonts w:eastAsia="Times New Roman"/>
        </w:rPr>
      </w:pPr>
      <w:r>
        <w:rPr>
          <w:rFonts w:eastAsia="Times New Roman"/>
          <w:b/>
          <w:bCs/>
          <w:i/>
          <w:iCs/>
          <w:color w:val="000000"/>
          <w:sz w:val="20"/>
          <w:szCs w:val="20"/>
        </w:rPr>
        <w:t>AB Credit Facility</w:t>
      </w:r>
    </w:p>
    <w:p w:rsidR="00000000" w:rsidRDefault="00897B14">
      <w:pPr>
        <w:ind w:firstLine="360"/>
        <w:divId w:val="1871380642"/>
        <w:rPr>
          <w:rFonts w:eastAsia="Times New Roman"/>
        </w:rPr>
      </w:pPr>
      <w:r>
        <w:rPr>
          <w:rFonts w:eastAsia="Times New Roman"/>
          <w:color w:val="000000"/>
          <w:sz w:val="20"/>
          <w:szCs w:val="20"/>
        </w:rPr>
        <w:t>AB has a $800 million committed, unsecured senior revolving credit facility (the “AB Credit Facility”) with a group of comme</w:t>
      </w:r>
      <w:r>
        <w:rPr>
          <w:rFonts w:eastAsia="Times New Roman"/>
          <w:color w:val="000000"/>
          <w:sz w:val="20"/>
          <w:szCs w:val="20"/>
        </w:rPr>
        <w:t>rcial banks and other lenders which matures on September 27, 2023.</w:t>
      </w:r>
    </w:p>
    <w:p w:rsidR="00000000" w:rsidRDefault="00897B14">
      <w:pPr>
        <w:ind w:firstLine="360"/>
        <w:divId w:val="1367371865"/>
        <w:rPr>
          <w:rFonts w:eastAsia="Times New Roman"/>
        </w:rPr>
      </w:pPr>
      <w:r>
        <w:rPr>
          <w:rFonts w:eastAsia="Times New Roman"/>
          <w:color w:val="000000"/>
          <w:sz w:val="20"/>
          <w:szCs w:val="20"/>
        </w:rPr>
        <w:t>The credit facility provides for possible increases in the principal amount by up to an aggregate incremental amount of $200 million. Any such increase is subject to the consent of the affe</w:t>
      </w:r>
      <w:r>
        <w:rPr>
          <w:rFonts w:eastAsia="Times New Roman"/>
          <w:color w:val="000000"/>
          <w:sz w:val="20"/>
          <w:szCs w:val="20"/>
        </w:rPr>
        <w:t xml:space="preserve">cted lenders. The AB Credit Facility is available for AB and SCB LLC for business purposes, including the support of AB’s commercial paper program. Both AB and SCB LLC can draw directly under the AB Credit Facility and AB management expects to draw on the </w:t>
      </w:r>
      <w:r>
        <w:rPr>
          <w:rFonts w:eastAsia="Times New Roman"/>
          <w:color w:val="000000"/>
          <w:sz w:val="20"/>
          <w:szCs w:val="20"/>
        </w:rPr>
        <w:t>AB Credit Facility from time to time. AB has agreed to guarantee the obligations of SCB LLC under the AB Credit Facility.</w:t>
      </w:r>
    </w:p>
    <w:p w:rsidR="00000000" w:rsidRDefault="00897B14">
      <w:pPr>
        <w:ind w:firstLine="360"/>
        <w:divId w:val="860508641"/>
        <w:rPr>
          <w:rFonts w:eastAsia="Times New Roman"/>
        </w:rPr>
      </w:pPr>
      <w:r>
        <w:rPr>
          <w:rFonts w:eastAsia="Times New Roman"/>
          <w:color w:val="000000"/>
          <w:sz w:val="20"/>
          <w:szCs w:val="20"/>
        </w:rPr>
        <w:t>The AB Credit Facility contains affirmative, negative and financial covenants, which are customary for facilities of this type, includ</w:t>
      </w:r>
      <w:r>
        <w:rPr>
          <w:rFonts w:eastAsia="Times New Roman"/>
          <w:color w:val="000000"/>
          <w:sz w:val="20"/>
          <w:szCs w:val="20"/>
        </w:rPr>
        <w:t>ing, among other things, restrictions on dispositions of assets, restrictions on liens, a minimum interest coverage ratio and a maximum leverage ratio. As of June 30, 2021, AB was in compliance with these covenants. The AB Credit Facility also includes cus</w:t>
      </w:r>
      <w:r>
        <w:rPr>
          <w:rFonts w:eastAsia="Times New Roman"/>
          <w:color w:val="000000"/>
          <w:sz w:val="20"/>
          <w:szCs w:val="20"/>
        </w:rPr>
        <w:t>tomary events of default (with customary grace periods, as applicable), including provisions under which, upon the occurrence of an event of default, all outstanding loans may be accelerated and/or lender’s commitments may be terminated. Also, under such p</w:t>
      </w:r>
      <w:r>
        <w:rPr>
          <w:rFonts w:eastAsia="Times New Roman"/>
          <w:color w:val="000000"/>
          <w:sz w:val="20"/>
          <w:szCs w:val="20"/>
        </w:rPr>
        <w:t>rovisions, upon the occurrence of certain insolvency- or bankruptcy-related events of default, all amounts payable under the AB Credit Facility would automatically become immediately due and payable, and the lender’s commitments would automatically termina</w:t>
      </w:r>
      <w:r>
        <w:rPr>
          <w:rFonts w:eastAsia="Times New Roman"/>
          <w:color w:val="000000"/>
          <w:sz w:val="20"/>
          <w:szCs w:val="20"/>
        </w:rPr>
        <w:t>te.</w:t>
      </w:r>
    </w:p>
    <w:p w:rsidR="00000000" w:rsidRDefault="00897B14">
      <w:pPr>
        <w:ind w:firstLine="360"/>
        <w:divId w:val="1169053665"/>
        <w:rPr>
          <w:rFonts w:eastAsia="Times New Roman"/>
        </w:rPr>
      </w:pPr>
      <w:r>
        <w:rPr>
          <w:rFonts w:eastAsia="Times New Roman"/>
          <w:color w:val="000000"/>
          <w:sz w:val="20"/>
          <w:szCs w:val="20"/>
        </w:rPr>
        <w:t>Amounts under the Credit Facility may be borrowed, repaid and re-borrowed by us from time to time until the maturity of the facility. Voluntary prepayments and commitment reductions requested by AB are permitted at any time without a fee (other than cu</w:t>
      </w:r>
      <w:r>
        <w:rPr>
          <w:rFonts w:eastAsia="Times New Roman"/>
          <w:color w:val="000000"/>
          <w:sz w:val="20"/>
          <w:szCs w:val="20"/>
        </w:rPr>
        <w:t xml:space="preserve">stomary breakage costs relating to the prepayment of any drawn loans) upon proper notice and subject to a minimum dollar requirement. Borrowings under the AB Credit Facility bear interest at a rate per annum, which will be, at AB’s option, a rate equal to </w:t>
      </w:r>
      <w:r>
        <w:rPr>
          <w:rFonts w:eastAsia="Times New Roman"/>
          <w:color w:val="000000"/>
          <w:sz w:val="20"/>
          <w:szCs w:val="20"/>
        </w:rPr>
        <w:t>an applicable margin, which is subject to adjustment based on the credit ratings of AB, plus one of the following indices: LIBOR; a floating base rate; or the Federal Funds rate.</w:t>
      </w:r>
    </w:p>
    <w:p w:rsidR="00000000" w:rsidRDefault="00897B14">
      <w:pPr>
        <w:ind w:firstLine="360"/>
        <w:divId w:val="1732146287"/>
        <w:rPr>
          <w:rFonts w:eastAsia="Times New Roman"/>
        </w:rPr>
      </w:pPr>
      <w:r>
        <w:rPr>
          <w:rFonts w:eastAsia="Times New Roman"/>
          <w:color w:val="000000"/>
          <w:sz w:val="20"/>
          <w:szCs w:val="20"/>
        </w:rPr>
        <w:t>As of June 30, 2021 and December 31, 2020, AB had no amounts outstanding unde</w:t>
      </w:r>
      <w:r>
        <w:rPr>
          <w:rFonts w:eastAsia="Times New Roman"/>
          <w:color w:val="000000"/>
          <w:sz w:val="20"/>
          <w:szCs w:val="20"/>
        </w:rPr>
        <w:t>r the AB Credit Facility. During the periods ended June 30, 2021 and December 31, 2020, AB and SCB LLC did not draw upon the AB Credit Facility.</w:t>
      </w:r>
    </w:p>
    <w:p w:rsidR="00000000" w:rsidRDefault="00897B14">
      <w:pPr>
        <w:ind w:firstLine="360"/>
        <w:divId w:val="2047177851"/>
        <w:rPr>
          <w:rFonts w:eastAsia="Times New Roman"/>
        </w:rPr>
      </w:pPr>
      <w:r>
        <w:rPr>
          <w:rFonts w:eastAsia="Times New Roman"/>
          <w:color w:val="000000"/>
          <w:sz w:val="20"/>
          <w:szCs w:val="20"/>
        </w:rPr>
        <w:t xml:space="preserve">In addition, SCB LLC currently has three uncommitted lines of credit with three financial institutions. Two of </w:t>
      </w:r>
      <w:r>
        <w:rPr>
          <w:rFonts w:eastAsia="Times New Roman"/>
          <w:color w:val="000000"/>
          <w:sz w:val="20"/>
          <w:szCs w:val="20"/>
        </w:rPr>
        <w:t>these lines of credit permit borrowing up to an aggregate of approximately $165 million, with AB named as an additional borrower, while the other line has no stated limit. As of June 30, 2021 and December 31, 2020, SCB LLC had no outstanding balance on the</w:t>
      </w:r>
      <w:r>
        <w:rPr>
          <w:rFonts w:eastAsia="Times New Roman"/>
          <w:color w:val="000000"/>
          <w:sz w:val="20"/>
          <w:szCs w:val="20"/>
        </w:rPr>
        <w:t>se lines of credit. SCB LLC did not draw on these lines of credit during the first six months of 2021. Average daily borrowings during the full year 2020 were $0.9 million with a weighted average interest rate of approximately 1.6%.</w:t>
      </w:r>
    </w:p>
    <w:p w:rsidR="00000000" w:rsidRDefault="00897B14">
      <w:pPr>
        <w:jc w:val="both"/>
        <w:divId w:val="1225487501"/>
        <w:rPr>
          <w:rFonts w:eastAsia="Times New Roman"/>
        </w:rPr>
      </w:pPr>
      <w:r>
        <w:rPr>
          <w:rFonts w:eastAsia="Times New Roman"/>
          <w:b/>
          <w:bCs/>
          <w:i/>
          <w:iCs/>
          <w:color w:val="000000"/>
          <w:sz w:val="20"/>
          <w:szCs w:val="20"/>
        </w:rPr>
        <w:t>EQH Facility</w:t>
      </w:r>
    </w:p>
    <w:p w:rsidR="00000000" w:rsidRDefault="00897B14">
      <w:pPr>
        <w:ind w:firstLine="360"/>
        <w:divId w:val="1671593671"/>
        <w:rPr>
          <w:rFonts w:eastAsia="Times New Roman"/>
        </w:rPr>
      </w:pPr>
      <w:r>
        <w:rPr>
          <w:rFonts w:eastAsia="Times New Roman"/>
          <w:color w:val="000000"/>
          <w:sz w:val="20"/>
          <w:szCs w:val="20"/>
        </w:rPr>
        <w:t>On November 4, 2019, Holdings made available to AB a $900 million committed, unsecured senior credit facility (the “EQH Facility”). The EQH Facility matures on November 4, 2024 and is available for AB’s general business purposes. Borrowings un</w:t>
      </w:r>
      <w:r>
        <w:rPr>
          <w:rFonts w:eastAsia="Times New Roman"/>
          <w:color w:val="000000"/>
          <w:sz w:val="20"/>
          <w:szCs w:val="20"/>
        </w:rPr>
        <w:t>der the EQH Facility generally bear interest at a rate per annum based on prevailing overnight commercial paper rates.</w:t>
      </w:r>
    </w:p>
    <w:p w:rsidR="00000000" w:rsidRDefault="00897B14">
      <w:pPr>
        <w:ind w:firstLine="360"/>
        <w:divId w:val="1297953163"/>
        <w:rPr>
          <w:rFonts w:eastAsia="Times New Roman"/>
        </w:rPr>
      </w:pPr>
      <w:r>
        <w:rPr>
          <w:rFonts w:eastAsia="Times New Roman"/>
          <w:color w:val="000000"/>
          <w:sz w:val="20"/>
          <w:szCs w:val="20"/>
        </w:rPr>
        <w:t>The EQH Facility contains affirmative, negative and financial covenants which are substantially similar to those in AB’s committed bank f</w:t>
      </w:r>
      <w:r>
        <w:rPr>
          <w:rFonts w:eastAsia="Times New Roman"/>
          <w:color w:val="000000"/>
          <w:sz w:val="20"/>
          <w:szCs w:val="20"/>
        </w:rPr>
        <w:t>acilities. The EQH Facility also includes customary events of default substantially similar to those in AB’s committed bank facilities, including provisions under which, upon the occurrence of an event of default, all outstanding loans may be accelerated a</w:t>
      </w:r>
      <w:r>
        <w:rPr>
          <w:rFonts w:eastAsia="Times New Roman"/>
          <w:color w:val="000000"/>
          <w:sz w:val="20"/>
          <w:szCs w:val="20"/>
        </w:rPr>
        <w:t xml:space="preserve">nd/or the lender’s commitment may be terminated. </w:t>
      </w:r>
    </w:p>
    <w:p w:rsidR="00000000" w:rsidRDefault="00897B14">
      <w:pPr>
        <w:ind w:firstLine="360"/>
        <w:divId w:val="1226406170"/>
        <w:rPr>
          <w:rFonts w:eastAsia="Times New Roman"/>
        </w:rPr>
      </w:pPr>
      <w:r>
        <w:rPr>
          <w:rFonts w:eastAsia="Times New Roman"/>
          <w:color w:val="000000"/>
          <w:sz w:val="20"/>
          <w:szCs w:val="20"/>
        </w:rPr>
        <w:t>Amounts under the EQH Facility may be borrowed, repaid and re-borrowed by AB from time to time until the maturity of the facility. AB or Holdings may reduce or terminate the commitment at any time without p</w:t>
      </w:r>
      <w:r>
        <w:rPr>
          <w:rFonts w:eastAsia="Times New Roman"/>
          <w:color w:val="000000"/>
          <w:sz w:val="20"/>
          <w:szCs w:val="20"/>
        </w:rPr>
        <w:t xml:space="preserve">enalty upon proper notice. Holdings also may terminate the facility immediately upon a change of control of AB’s general partner. </w:t>
      </w:r>
    </w:p>
    <w:p w:rsidR="00000000" w:rsidRDefault="00897B14">
      <w:pPr>
        <w:ind w:firstLine="360"/>
        <w:divId w:val="1936788509"/>
        <w:rPr>
          <w:rFonts w:eastAsia="Times New Roman"/>
        </w:rPr>
      </w:pPr>
      <w:r>
        <w:rPr>
          <w:rFonts w:eastAsia="Times New Roman"/>
          <w:color w:val="000000"/>
          <w:sz w:val="20"/>
          <w:szCs w:val="20"/>
        </w:rPr>
        <w:t>As of June 30, 2021 and December 31, 2020, AB had $590 million and $675 million outstanding under the EQH Facility, in each c</w:t>
      </w:r>
      <w:r>
        <w:rPr>
          <w:rFonts w:eastAsia="Times New Roman"/>
          <w:color w:val="000000"/>
          <w:sz w:val="20"/>
          <w:szCs w:val="20"/>
        </w:rPr>
        <w:t>ase with an interest rate of approximately 0.2%. Average daily borrowing of the EQH Facility during 2021 and 2020 were $551 million and $471 million, respectively, with a weighted average interest rate of approximately 0.2% and 0.5% respectively.</w:t>
      </w:r>
    </w:p>
    <w:p w:rsidR="00000000" w:rsidRDefault="00897B14">
      <w:pPr>
        <w:divId w:val="1146245814"/>
        <w:rPr>
          <w:rFonts w:eastAsia="Times New Roman"/>
        </w:rPr>
      </w:pPr>
      <w:r>
        <w:rPr>
          <w:rFonts w:eastAsia="Times New Roman"/>
          <w:b/>
          <w:bCs/>
          <w:i/>
          <w:iCs/>
          <w:color w:val="000000"/>
          <w:sz w:val="20"/>
          <w:szCs w:val="20"/>
        </w:rPr>
        <w:t>EQH Uncom</w:t>
      </w:r>
      <w:r>
        <w:rPr>
          <w:rFonts w:eastAsia="Times New Roman"/>
          <w:b/>
          <w:bCs/>
          <w:i/>
          <w:iCs/>
          <w:color w:val="000000"/>
          <w:sz w:val="20"/>
          <w:szCs w:val="20"/>
        </w:rPr>
        <w:t>mitted Facility</w:t>
      </w:r>
    </w:p>
    <w:p w:rsidR="00000000" w:rsidRDefault="00897B14">
      <w:pPr>
        <w:jc w:val="center"/>
        <w:divId w:val="904218006"/>
        <w:rPr>
          <w:rFonts w:eastAsia="Times New Roman"/>
        </w:rPr>
      </w:pPr>
      <w:r>
        <w:rPr>
          <w:rFonts w:eastAsia="Times New Roman"/>
          <w:color w:val="000000"/>
          <w:sz w:val="20"/>
          <w:szCs w:val="20"/>
        </w:rPr>
        <w:t>113</w:t>
      </w:r>
    </w:p>
    <w:p w:rsidR="00000000" w:rsidRDefault="00897B14">
      <w:pPr>
        <w:rPr>
          <w:rFonts w:eastAsia="Times New Roman"/>
        </w:rPr>
      </w:pPr>
      <w:r>
        <w:rPr>
          <w:rFonts w:eastAsia="Times New Roman"/>
        </w:rPr>
        <w:pict>
          <v:rect id="_x0000_i1139" style="width:0;height:1.5pt" o:hralign="center" o:hrstd="t" o:hr="t" fillcolor="#a0a0a0" stroked="f"/>
        </w:pict>
      </w:r>
    </w:p>
    <w:p w:rsidR="00000000" w:rsidRDefault="00897B14">
      <w:pPr>
        <w:divId w:val="74850747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firstLine="360"/>
        <w:divId w:val="1613393805"/>
        <w:rPr>
          <w:rFonts w:eastAsia="Times New Roman"/>
        </w:rPr>
      </w:pPr>
      <w:r>
        <w:rPr>
          <w:rFonts w:eastAsia="Times New Roman"/>
          <w:color w:val="000000"/>
          <w:sz w:val="20"/>
          <w:szCs w:val="20"/>
        </w:rPr>
        <w:t>In addition to the EQH Facility, on September 1, 2020, AB established a new $300 million uncommitted, unsecured senior cred</w:t>
      </w:r>
      <w:r>
        <w:rPr>
          <w:rFonts w:eastAsia="Times New Roman"/>
          <w:color w:val="000000"/>
          <w:sz w:val="20"/>
          <w:szCs w:val="20"/>
        </w:rPr>
        <w:t>it facility (the “EQH Uncommitted Facility”) with EQH. The EQH Uncommitted Facility matures on September 1, 2024 and is available for AB’s general purposes. Borrowings under the EQH Uncommitted Facility bear interest at a rate per annum based on prevailing</w:t>
      </w:r>
      <w:r>
        <w:rPr>
          <w:rFonts w:eastAsia="Times New Roman"/>
          <w:color w:val="000000"/>
          <w:sz w:val="20"/>
          <w:szCs w:val="20"/>
        </w:rPr>
        <w:t xml:space="preserve"> overnight commercial paper rates. The EQH Uncommitted Facility contains affirmative, negative and financial covenants, customary events of defaults and other terms and conditions which are substantially similar to those in the EQH Facility.</w:t>
      </w:r>
    </w:p>
    <w:p w:rsidR="00000000" w:rsidRDefault="00897B14">
      <w:pPr>
        <w:ind w:firstLine="360"/>
        <w:divId w:val="660699464"/>
        <w:rPr>
          <w:rFonts w:eastAsia="Times New Roman"/>
        </w:rPr>
      </w:pPr>
      <w:r>
        <w:rPr>
          <w:rFonts w:eastAsia="Times New Roman"/>
          <w:color w:val="000000"/>
          <w:sz w:val="20"/>
          <w:szCs w:val="20"/>
        </w:rPr>
        <w:t>As of June 30, 2021 and December 31, 2020, AB had no outstanding balance on the EQH Uncommitted Facility. During the periods ended June 30, 2021 and December 31, 2020, AB did not draw upon the EQH Uncommitted Facility.</w:t>
      </w:r>
    </w:p>
    <w:p w:rsidR="00000000" w:rsidRDefault="00897B14">
      <w:pPr>
        <w:divId w:val="1742950265"/>
        <w:rPr>
          <w:rFonts w:eastAsia="Times New Roman"/>
        </w:rPr>
      </w:pPr>
      <w:r>
        <w:rPr>
          <w:rFonts w:eastAsia="Times New Roman"/>
          <w:b/>
          <w:bCs/>
          <w:color w:val="000000"/>
          <w:sz w:val="20"/>
          <w:szCs w:val="20"/>
        </w:rPr>
        <w:t>Statutory Capital of Our Insurance Su</w:t>
      </w:r>
      <w:r>
        <w:rPr>
          <w:rFonts w:eastAsia="Times New Roman"/>
          <w:b/>
          <w:bCs/>
          <w:color w:val="000000"/>
          <w:sz w:val="20"/>
          <w:szCs w:val="20"/>
        </w:rPr>
        <w:t>bsidiaries</w:t>
      </w:r>
    </w:p>
    <w:p w:rsidR="00000000" w:rsidRDefault="00897B14">
      <w:pPr>
        <w:ind w:firstLine="360"/>
        <w:divId w:val="1846825393"/>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 business.</w:t>
      </w:r>
    </w:p>
    <w:p w:rsidR="00000000" w:rsidRDefault="00897B14">
      <w:pPr>
        <w:ind w:firstLine="360"/>
        <w:divId w:val="201090491"/>
        <w:rPr>
          <w:rFonts w:eastAsia="Times New Roman"/>
        </w:rPr>
      </w:pPr>
      <w:r>
        <w:rPr>
          <w:rFonts w:eastAsia="Times New Roman"/>
          <w:color w:val="000000"/>
          <w:sz w:val="20"/>
          <w:szCs w:val="20"/>
        </w:rPr>
        <w:t>RBC requirements are used as minimum capital requirements by the NAIC and</w:t>
      </w:r>
      <w:r>
        <w:rPr>
          <w:rFonts w:eastAsia="Times New Roman"/>
          <w:color w:val="000000"/>
          <w:sz w:val="20"/>
          <w:szCs w:val="20"/>
        </w:rPr>
        <w:t xml:space="preserve"> the state insurance departments to evaluate the capital condition of regulated insurance companies. RBC is based on a formula calculated by applying factors to various asset, premium, claim, expense and statutory reserve items. The formula takes into acco</w:t>
      </w:r>
      <w:r>
        <w:rPr>
          <w:rFonts w:eastAsia="Times New Roman"/>
          <w:color w:val="000000"/>
          <w:sz w:val="20"/>
          <w:szCs w:val="20"/>
        </w:rPr>
        <w:t>unt the risk characteristics of the insurer, including asset risk, insurance risk, interest rate risk, market risk and business risk and is calculated on a quarterly basis and made public on an annual basis. The formula is used as an early warning regulato</w:t>
      </w:r>
      <w:r>
        <w:rPr>
          <w:rFonts w:eastAsia="Times New Roman"/>
          <w:color w:val="000000"/>
          <w:sz w:val="20"/>
          <w:szCs w:val="20"/>
        </w:rPr>
        <w:t>ry tool to identify possible inadequately capitalized insurers for purposes of initiating regulatory action, and not as a means to rank insurers generally. These rules apply to our insurance company subsidiaries and not to Holdings. State insurance laws pr</w:t>
      </w:r>
      <w:r>
        <w:rPr>
          <w:rFonts w:eastAsia="Times New Roman"/>
          <w:color w:val="000000"/>
          <w:sz w:val="20"/>
          <w:szCs w:val="20"/>
        </w:rPr>
        <w:t xml:space="preserve">ovide insurance regulators the authority to require various actions by, or take various actions against, insurers whose total adjusted capital does not meet or exceed certain RBC levels. At the date of the most recent annual statutory financial statements </w:t>
      </w:r>
      <w:r>
        <w:rPr>
          <w:rFonts w:eastAsia="Times New Roman"/>
          <w:color w:val="000000"/>
          <w:sz w:val="20"/>
          <w:szCs w:val="20"/>
        </w:rPr>
        <w:t>filed with insurance regulators, the total adjusted capital of each of these insurance company subsidiaries subject to these requirements was in excess of each of those RBC levels.</w:t>
      </w:r>
    </w:p>
    <w:p w:rsidR="00000000" w:rsidRDefault="00897B14">
      <w:pPr>
        <w:divId w:val="1665085580"/>
        <w:rPr>
          <w:rFonts w:eastAsia="Times New Roman"/>
        </w:rPr>
      </w:pPr>
      <w:r>
        <w:rPr>
          <w:rFonts w:eastAsia="Times New Roman"/>
          <w:b/>
          <w:bCs/>
          <w:color w:val="000000"/>
          <w:sz w:val="20"/>
          <w:szCs w:val="20"/>
        </w:rPr>
        <w:t>Captive Reinsurance Company</w:t>
      </w:r>
    </w:p>
    <w:p w:rsidR="00000000" w:rsidRDefault="00897B14">
      <w:pPr>
        <w:ind w:firstLine="360"/>
        <w:divId w:val="1852452844"/>
        <w:rPr>
          <w:rFonts w:eastAsia="Times New Roman"/>
        </w:rPr>
      </w:pPr>
      <w:r>
        <w:rPr>
          <w:rFonts w:eastAsia="Times New Roman"/>
          <w:color w:val="000000"/>
          <w:sz w:val="20"/>
          <w:szCs w:val="20"/>
        </w:rPr>
        <w:t>We use a captive reinsurance company to more ef</w:t>
      </w:r>
      <w:r>
        <w:rPr>
          <w:rFonts w:eastAsia="Times New Roman"/>
          <w:color w:val="000000"/>
          <w:sz w:val="20"/>
          <w:szCs w:val="20"/>
        </w:rPr>
        <w:t>fectively manage our reserves and capital on an economic basis and to enable the aggregation and transfer of risks. Our captive reinsurance company assumes business from affiliates only and is closed to new business. Our captive reinsurance company is a wh</w:t>
      </w:r>
      <w:r>
        <w:rPr>
          <w:rFonts w:eastAsia="Times New Roman"/>
          <w:color w:val="000000"/>
          <w:sz w:val="20"/>
          <w:szCs w:val="20"/>
        </w:rPr>
        <w:t xml:space="preserve">olly-owned subsidiaries located in the United States. In addition to state insurance regulation, our captive is subject to internal policies governing its activities. We continue to analyze the use of our existing captive reinsurance structure, as well as </w:t>
      </w:r>
      <w:r>
        <w:rPr>
          <w:rFonts w:eastAsia="Times New Roman"/>
          <w:color w:val="000000"/>
          <w:sz w:val="20"/>
          <w:szCs w:val="20"/>
        </w:rPr>
        <w:t>additional third-party reinsurance arrangements.</w:t>
      </w:r>
    </w:p>
    <w:p w:rsidR="00000000" w:rsidRDefault="00897B14">
      <w:pPr>
        <w:divId w:val="2029133432"/>
        <w:rPr>
          <w:rFonts w:eastAsia="Times New Roman"/>
        </w:rPr>
      </w:pPr>
      <w:r>
        <w:rPr>
          <w:rFonts w:eastAsia="Times New Roman"/>
          <w:b/>
          <w:bCs/>
          <w:color w:val="000000"/>
          <w:sz w:val="20"/>
          <w:szCs w:val="20"/>
        </w:rPr>
        <w:t>Borrowings</w:t>
      </w:r>
    </w:p>
    <w:p w:rsidR="00000000" w:rsidRDefault="00897B14">
      <w:pPr>
        <w:ind w:firstLine="360"/>
        <w:divId w:val="1969504661"/>
        <w:rPr>
          <w:rFonts w:eastAsia="Times New Roman"/>
        </w:rPr>
      </w:pPr>
      <w:r>
        <w:rPr>
          <w:rFonts w:eastAsia="Times New Roman"/>
          <w:color w:val="000000"/>
          <w:sz w:val="20"/>
          <w:szCs w:val="20"/>
        </w:rPr>
        <w:t>Our financial strategy going forward will remain subject to market conditions and other factors. For example, we may from time to time enter into additional bank or other financing arrangements, i</w:t>
      </w:r>
      <w:r>
        <w:rPr>
          <w:rFonts w:eastAsia="Times New Roman"/>
          <w:color w:val="000000"/>
          <w:sz w:val="20"/>
          <w:szCs w:val="20"/>
        </w:rPr>
        <w:t xml:space="preserve">ncluding public or private debt, structured facilities and contingent capital arrangements, under which we could incur additional indebtedness. </w:t>
      </w:r>
    </w:p>
    <w:p w:rsidR="00000000" w:rsidRDefault="00897B14">
      <w:pPr>
        <w:ind w:firstLine="360"/>
        <w:divId w:val="160853988"/>
        <w:rPr>
          <w:rFonts w:eastAsia="Times New Roman"/>
        </w:rPr>
      </w:pPr>
      <w:r>
        <w:rPr>
          <w:rFonts w:eastAsia="Times New Roman"/>
          <w:color w:val="000000"/>
          <w:sz w:val="20"/>
          <w:szCs w:val="20"/>
        </w:rPr>
        <w:t>The following table sets forth the Company’s total consolidated borrowings. Short-term and long-term debt consi</w:t>
      </w:r>
      <w:r>
        <w:rPr>
          <w:rFonts w:eastAsia="Times New Roman"/>
          <w:color w:val="000000"/>
          <w:sz w:val="20"/>
          <w:szCs w:val="20"/>
        </w:rPr>
        <w:t>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7"/>
        <w:gridCol w:w="37"/>
        <w:gridCol w:w="120"/>
        <w:gridCol w:w="898"/>
        <w:gridCol w:w="36"/>
        <w:gridCol w:w="36"/>
        <w:gridCol w:w="36"/>
        <w:gridCol w:w="36"/>
        <w:gridCol w:w="121"/>
        <w:gridCol w:w="863"/>
        <w:gridCol w:w="36"/>
      </w:tblGrid>
      <w:tr w:rsidR="00000000">
        <w:trPr>
          <w:divId w:val="91097081"/>
        </w:trPr>
        <w:tc>
          <w:tcPr>
            <w:tcW w:w="50" w:type="pct"/>
            <w:vAlign w:val="center"/>
            <w:hideMark/>
          </w:tcPr>
          <w:p w:rsidR="00000000" w:rsidRDefault="00897B14">
            <w:pPr>
              <w:ind w:firstLine="360"/>
              <w:rPr>
                <w:rFonts w:eastAsia="Times New Roman"/>
              </w:rPr>
            </w:pPr>
          </w:p>
        </w:tc>
        <w:tc>
          <w:tcPr>
            <w:tcW w:w="366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56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91097081"/>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June 30,</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December 31,</w:t>
            </w:r>
          </w:p>
        </w:tc>
      </w:tr>
      <w:tr w:rsidR="00000000">
        <w:trPr>
          <w:divId w:val="9109708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16"/>
                <w:szCs w:val="16"/>
              </w:rPr>
              <w:t>2020</w:t>
            </w:r>
          </w:p>
        </w:tc>
      </w:tr>
      <w:tr w:rsidR="00000000">
        <w:trPr>
          <w:divId w:val="91097081"/>
        </w:trPr>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(in millions)</w:t>
            </w:r>
          </w:p>
        </w:tc>
      </w:tr>
      <w:tr w:rsidR="00000000">
        <w:trPr>
          <w:divId w:val="91097081"/>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9109708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1097081"/>
        </w:trPr>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1097081"/>
        </w:trPr>
        <w:tc>
          <w:tcPr>
            <w:tcW w:w="0" w:type="auto"/>
            <w:gridSpan w:val="3"/>
            <w:shd w:val="clear" w:color="auto" w:fill="CCEEFF"/>
            <w:tcMar>
              <w:top w:w="30" w:type="dxa"/>
              <w:left w:w="155" w:type="dxa"/>
              <w:bottom w:w="30" w:type="dxa"/>
              <w:right w:w="20" w:type="dxa"/>
            </w:tcMar>
            <w:vAlign w:val="center"/>
            <w:hideMark/>
          </w:tcPr>
          <w:p w:rsidR="00000000" w:rsidRDefault="00897B14">
            <w:pPr>
              <w:spacing w:after="100"/>
              <w:rPr>
                <w:rFonts w:eastAsia="Times New Roman"/>
              </w:rPr>
            </w:pPr>
            <w:r>
              <w:rPr>
                <w:rFonts w:eastAsia="Times New Roman"/>
                <w:color w:val="000000"/>
                <w:sz w:val="20"/>
                <w:szCs w:val="20"/>
              </w:rPr>
              <w:t>CLO Warehousing Debt</w:t>
            </w: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09708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097081"/>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109708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9109708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554661477"/>
              <w:rPr>
                <w:rFonts w:eastAsia="Times New Roman"/>
              </w:rPr>
            </w:pPr>
            <w:r>
              <w:rPr>
                <w:rFonts w:eastAsia="Times New Roman"/>
                <w:color w:val="000000"/>
                <w:sz w:val="20"/>
                <w:szCs w:val="20"/>
              </w:rPr>
              <w:t>Senior Notes (5.0%, due 2048)</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1,481 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09708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619191231"/>
              <w:rPr>
                <w:rFonts w:eastAsia="Times New Roman"/>
              </w:rPr>
            </w:pPr>
            <w:r>
              <w:rPr>
                <w:rFonts w:eastAsia="Times New Roman"/>
                <w:color w:val="000000"/>
                <w:sz w:val="20"/>
                <w:szCs w:val="20"/>
              </w:rPr>
              <w:t>Senior Notes (4.35%, due 2028)</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1,489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1,489 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09708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divId w:val="148375443"/>
              <w:rPr>
                <w:rFonts w:eastAsia="Times New Roman"/>
              </w:rPr>
            </w:pPr>
            <w:r>
              <w:rPr>
                <w:rFonts w:eastAsia="Times New Roman"/>
                <w:color w:val="000000"/>
                <w:sz w:val="20"/>
                <w:szCs w:val="20"/>
              </w:rPr>
              <w:t>Senior Notes (3.9%, due 2023) (1)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796 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097081"/>
        </w:trPr>
        <w:tc>
          <w:tcPr>
            <w:tcW w:w="0" w:type="auto"/>
            <w:gridSpan w:val="3"/>
            <w:vAlign w:val="center"/>
            <w:hideMark/>
          </w:tcPr>
          <w:p w:rsidR="00000000" w:rsidRDefault="00897B14">
            <w:pPr>
              <w:spacing w:after="100"/>
              <w:jc w:val="right"/>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c>
          <w:tcPr>
            <w:tcW w:w="0" w:type="auto"/>
            <w:gridSpan w:val="3"/>
            <w:vAlign w:val="center"/>
            <w:hideMark/>
          </w:tcPr>
          <w:p w:rsidR="00000000" w:rsidRDefault="00897B14">
            <w:pPr>
              <w:spacing w:after="100"/>
              <w:rPr>
                <w:rFonts w:eastAsia="Times New Roman"/>
                <w:sz w:val="20"/>
                <w:szCs w:val="20"/>
              </w:rPr>
            </w:pPr>
          </w:p>
        </w:tc>
      </w:tr>
      <w:tr w:rsidR="00000000">
        <w:trPr>
          <w:divId w:val="9109708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divId w:val="361706799"/>
              <w:rPr>
                <w:rFonts w:eastAsia="Times New Roman"/>
              </w:rPr>
            </w:pPr>
            <w:r>
              <w:rPr>
                <w:rFonts w:eastAsia="Times New Roman"/>
                <w:color w:val="000000"/>
                <w:sz w:val="20"/>
                <w:szCs w:val="20"/>
              </w:rPr>
              <w:t>Senior Debentures, (7.0%, due 2028)</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097081"/>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3,838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91097081"/>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 xml:space="preserve">Total short-term and long-term debt </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3,920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4,115 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270"/>
        <w:divId w:val="1959289287"/>
        <w:rPr>
          <w:rFonts w:eastAsia="Times New Roman"/>
        </w:rPr>
      </w:pPr>
    </w:p>
    <w:p w:rsidR="00000000" w:rsidRDefault="00897B14">
      <w:pPr>
        <w:jc w:val="center"/>
        <w:divId w:val="1183393998"/>
        <w:rPr>
          <w:rFonts w:eastAsia="Times New Roman"/>
        </w:rPr>
      </w:pPr>
      <w:r>
        <w:rPr>
          <w:rFonts w:eastAsia="Times New Roman"/>
          <w:color w:val="000000"/>
          <w:sz w:val="20"/>
          <w:szCs w:val="20"/>
        </w:rPr>
        <w:t>114</w:t>
      </w:r>
    </w:p>
    <w:p w:rsidR="00000000" w:rsidRDefault="00897B14">
      <w:pPr>
        <w:rPr>
          <w:rFonts w:eastAsia="Times New Roman"/>
        </w:rPr>
      </w:pPr>
      <w:r>
        <w:rPr>
          <w:rFonts w:eastAsia="Times New Roman"/>
        </w:rPr>
        <w:pict>
          <v:rect id="_x0000_i1140" style="width:0;height:1.5pt" o:hralign="center" o:hrstd="t" o:hr="t" fillcolor="#a0a0a0" stroked="f"/>
        </w:pict>
      </w:r>
    </w:p>
    <w:p w:rsidR="00000000" w:rsidRDefault="00897B14">
      <w:pPr>
        <w:divId w:val="898630684"/>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360"/>
        <w:divId w:val="2081052167"/>
        <w:rPr>
          <w:rFonts w:eastAsia="Times New Roman"/>
        </w:rPr>
      </w:pPr>
      <w:r>
        <w:rPr>
          <w:rFonts w:eastAsia="Times New Roman"/>
          <w:color w:val="000000"/>
          <w:sz w:val="18"/>
          <w:szCs w:val="18"/>
        </w:rPr>
        <w:t>______________</w:t>
      </w:r>
    </w:p>
    <w:p w:rsidR="00000000" w:rsidRDefault="00897B14">
      <w:pPr>
        <w:ind w:hanging="270"/>
        <w:jc w:val="both"/>
        <w:rPr>
          <w:rFonts w:eastAsia="Times New Roman"/>
        </w:rPr>
      </w:pPr>
      <w:r>
        <w:rPr>
          <w:rFonts w:eastAsia="Times New Roman"/>
          <w:color w:val="000000"/>
          <w:sz w:val="20"/>
          <w:szCs w:val="20"/>
          <w:shd w:val="clear" w:color="auto" w:fill="FFFFFF"/>
        </w:rPr>
        <w:t>(1)</w:t>
      </w:r>
      <w:r>
        <w:rPr>
          <w:rFonts w:eastAsia="Times New Roman"/>
          <w:color w:val="000000"/>
          <w:sz w:val="20"/>
          <w:szCs w:val="20"/>
        </w:rPr>
        <w:t>During February 2021 the Company partially redeemed approximately $280 million of the aggregate principal amount of the 2023 Senior Unsecured Notes. As a result of the partial debt redemption, the Company recorded interest expense of $22 million.</w:t>
      </w:r>
    </w:p>
    <w:p w:rsidR="00000000" w:rsidRDefault="00897B14">
      <w:pPr>
        <w:ind w:firstLine="90"/>
        <w:divId w:val="1999268250"/>
        <w:rPr>
          <w:rFonts w:eastAsia="Times New Roman"/>
        </w:rPr>
      </w:pPr>
    </w:p>
    <w:p w:rsidR="00000000" w:rsidRDefault="00897B14">
      <w:pPr>
        <w:divId w:val="1301963447"/>
        <w:rPr>
          <w:rFonts w:eastAsia="Times New Roman"/>
        </w:rPr>
      </w:pPr>
      <w:r>
        <w:rPr>
          <w:rFonts w:eastAsia="Times New Roman"/>
          <w:i/>
          <w:iCs/>
          <w:color w:val="000000"/>
          <w:sz w:val="20"/>
          <w:szCs w:val="20"/>
        </w:rPr>
        <w:t>Notes a</w:t>
      </w:r>
      <w:r>
        <w:rPr>
          <w:rFonts w:eastAsia="Times New Roman"/>
          <w:i/>
          <w:iCs/>
          <w:color w:val="000000"/>
          <w:sz w:val="20"/>
          <w:szCs w:val="20"/>
        </w:rPr>
        <w:t>nd Debentures</w:t>
      </w:r>
    </w:p>
    <w:p w:rsidR="00000000" w:rsidRDefault="00897B14">
      <w:pPr>
        <w:ind w:firstLine="360"/>
        <w:divId w:val="514538552"/>
        <w:rPr>
          <w:rFonts w:eastAsia="Times New Roman"/>
        </w:rPr>
      </w:pPr>
      <w:r>
        <w:rPr>
          <w:rFonts w:eastAsia="Times New Roman"/>
          <w:color w:val="000000"/>
          <w:sz w:val="20"/>
          <w:szCs w:val="20"/>
        </w:rPr>
        <w:t>The Senior Notes and Senior Debentures contain customary affirmative and negative covenants, including a limitation on certain liens and a limit on the Company’s ability to consolidate, merge or sell or otherwise dispose of all or substantial</w:t>
      </w:r>
      <w:r>
        <w:rPr>
          <w:rFonts w:eastAsia="Times New Roman"/>
          <w:color w:val="000000"/>
          <w:sz w:val="20"/>
          <w:szCs w:val="20"/>
        </w:rPr>
        <w:t xml:space="preserve">ly all of its assets. The Senior Notes and Senior Debentures also include customary events of default (with customary grace periods, as applicable), including provisions under which, upon the occurrence of an event of default, all outstanding Senior Notes </w:t>
      </w:r>
      <w:r>
        <w:rPr>
          <w:rFonts w:eastAsia="Times New Roman"/>
          <w:color w:val="000000"/>
          <w:sz w:val="20"/>
          <w:szCs w:val="20"/>
        </w:rPr>
        <w:t>and Senior Debentures may be accelerated. As of June 30, 2021, the Company is in compliance with all debt covenants.</w:t>
      </w:r>
    </w:p>
    <w:p w:rsidR="00000000" w:rsidRDefault="00897B14">
      <w:pPr>
        <w:divId w:val="1136530173"/>
        <w:rPr>
          <w:rFonts w:eastAsia="Times New Roman"/>
        </w:rPr>
      </w:pPr>
      <w:r>
        <w:rPr>
          <w:rFonts w:eastAsia="Times New Roman"/>
          <w:b/>
          <w:bCs/>
          <w:color w:val="000000"/>
          <w:sz w:val="20"/>
          <w:szCs w:val="20"/>
        </w:rPr>
        <w:t>Ratings</w:t>
      </w:r>
    </w:p>
    <w:p w:rsidR="00000000" w:rsidRDefault="00897B14">
      <w:pPr>
        <w:ind w:firstLine="360"/>
        <w:divId w:val="277957118"/>
        <w:rPr>
          <w:rFonts w:eastAsia="Times New Roman"/>
        </w:rPr>
      </w:pPr>
      <w:r>
        <w:rPr>
          <w:rFonts w:eastAsia="Times New Roman"/>
          <w:color w:val="000000"/>
          <w:sz w:val="20"/>
          <w:szCs w:val="20"/>
        </w:rPr>
        <w:t>Financial strength ratings (which are sometimes referred to as “claims-paying” ratings) and credit ratings are important factors af</w:t>
      </w:r>
      <w:r>
        <w:rPr>
          <w:rFonts w:eastAsia="Times New Roman"/>
          <w:color w:val="000000"/>
          <w:sz w:val="20"/>
          <w:szCs w:val="20"/>
        </w:rPr>
        <w:t>fecting public confidence in an insurer and its competitive position in marketing products. Our credit ratings are also important for our ability to raise capital through the issuance of debt and for the cost of such financing.</w:t>
      </w:r>
    </w:p>
    <w:p w:rsidR="00000000" w:rsidRDefault="00897B14">
      <w:pPr>
        <w:ind w:firstLine="360"/>
        <w:divId w:val="1034117415"/>
        <w:rPr>
          <w:rFonts w:eastAsia="Times New Roman"/>
        </w:rPr>
      </w:pPr>
      <w:r>
        <w:rPr>
          <w:rFonts w:eastAsia="Times New Roman"/>
          <w:color w:val="000000"/>
          <w:sz w:val="20"/>
          <w:szCs w:val="20"/>
        </w:rPr>
        <w:t>Financial strength ratings r</w:t>
      </w:r>
      <w:r>
        <w:rPr>
          <w:rFonts w:eastAsia="Times New Roman"/>
          <w:color w:val="000000"/>
          <w:sz w:val="20"/>
          <w:szCs w:val="20"/>
        </w:rPr>
        <w:t>epresent the opinions of rating agencies regarding the financial ability of an insurance company to meet its obligations under an insurance policy. Credit ratings represent the opinions of rating agencies regarding an entity’s ability to repay its indebted</w:t>
      </w:r>
      <w:r>
        <w:rPr>
          <w:rFonts w:eastAsia="Times New Roman"/>
          <w:color w:val="000000"/>
          <w:sz w:val="20"/>
          <w:szCs w:val="20"/>
        </w:rPr>
        <w:t>ness. The following table summarizes the ratings for Holdings and certain of its subsidiaries. AM Best and S&amp;P have a stable outlook while Moody’s has a positive outlook.</w:t>
      </w:r>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trPr>
          <w:divId w:val="735083613"/>
        </w:trPr>
        <w:tc>
          <w:tcPr>
            <w:tcW w:w="50" w:type="pct"/>
            <w:vAlign w:val="center"/>
            <w:hideMark/>
          </w:tcPr>
          <w:p w:rsidR="00000000" w:rsidRDefault="00897B14">
            <w:pPr>
              <w:ind w:firstLine="360"/>
              <w:rPr>
                <w:rFonts w:eastAsia="Times New Roman"/>
              </w:rPr>
            </w:pPr>
          </w:p>
        </w:tc>
        <w:tc>
          <w:tcPr>
            <w:tcW w:w="273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24"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7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66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735083613"/>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Moody’s</w:t>
            </w:r>
          </w:p>
        </w:tc>
      </w:tr>
      <w:tr w:rsidR="00000000">
        <w:trPr>
          <w:divId w:val="735083613"/>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8"/>
                <w:szCs w:val="18"/>
              </w:rPr>
              <w:t>Last review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Jan '21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Jul '21</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Apr '21</w:t>
            </w:r>
          </w:p>
        </w:tc>
      </w:tr>
      <w:tr w:rsidR="00000000">
        <w:trPr>
          <w:divId w:val="735083613"/>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35083613"/>
        </w:trPr>
        <w:tc>
          <w:tcPr>
            <w:tcW w:w="0" w:type="auto"/>
            <w:gridSpan w:val="3"/>
            <w:shd w:val="clear" w:color="auto" w:fill="CCEEFF"/>
            <w:tcMar>
              <w:top w:w="30" w:type="dxa"/>
              <w:left w:w="140" w:type="dxa"/>
              <w:bottom w:w="30" w:type="dxa"/>
              <w:right w:w="20" w:type="dxa"/>
            </w:tcMar>
            <w:vAlign w:val="bottom"/>
            <w:hideMark/>
          </w:tcPr>
          <w:p w:rsidR="00000000" w:rsidRDefault="00897B14">
            <w:pPr>
              <w:spacing w:after="100"/>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A2</w:t>
            </w:r>
          </w:p>
        </w:tc>
      </w:tr>
      <w:tr w:rsidR="00000000">
        <w:trPr>
          <w:divId w:val="735083613"/>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A2</w:t>
            </w:r>
          </w:p>
        </w:tc>
      </w:tr>
      <w:tr w:rsidR="00000000">
        <w:trPr>
          <w:divId w:val="735083613"/>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35083613"/>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Baa2</w:t>
            </w:r>
          </w:p>
        </w:tc>
      </w:tr>
      <w:tr w:rsidR="00000000">
        <w:trPr>
          <w:divId w:val="735083613"/>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Sep '20</w:t>
            </w: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Jun '21</w:t>
            </w:r>
          </w:p>
        </w:tc>
      </w:tr>
      <w:tr w:rsidR="00000000">
        <w:trPr>
          <w:divId w:val="735083613"/>
        </w:trPr>
        <w:tc>
          <w:tcPr>
            <w:tcW w:w="0" w:type="auto"/>
            <w:gridSpan w:val="3"/>
            <w:shd w:val="clear" w:color="auto" w:fill="FFFFFF"/>
            <w:tcMar>
              <w:top w:w="30" w:type="dxa"/>
              <w:left w:w="140" w:type="dxa"/>
              <w:bottom w:w="30" w:type="dxa"/>
              <w:right w:w="20" w:type="dxa"/>
            </w:tcMar>
            <w:vAlign w:val="bottom"/>
            <w:hideMark/>
          </w:tcPr>
          <w:p w:rsidR="00000000" w:rsidRDefault="00897B14">
            <w:pPr>
              <w:spacing w:after="100"/>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color w:val="000000"/>
                <w:sz w:val="20"/>
                <w:szCs w:val="20"/>
              </w:rPr>
              <w:t>A2</w:t>
            </w:r>
          </w:p>
        </w:tc>
      </w:tr>
    </w:tbl>
    <w:p w:rsidR="00000000" w:rsidRDefault="00897B14">
      <w:pPr>
        <w:divId w:val="581524474"/>
        <w:rPr>
          <w:rFonts w:eastAsia="Times New Roman"/>
        </w:rPr>
      </w:pPr>
    </w:p>
    <w:p w:rsidR="00000000" w:rsidRDefault="00897B14">
      <w:pPr>
        <w:divId w:val="484904401"/>
        <w:rPr>
          <w:rFonts w:eastAsia="Times New Roman"/>
        </w:rPr>
      </w:pPr>
      <w:r>
        <w:rPr>
          <w:rFonts w:eastAsia="Times New Roman"/>
          <w:b/>
          <w:bCs/>
          <w:color w:val="000000"/>
          <w:sz w:val="20"/>
          <w:szCs w:val="20"/>
        </w:rPr>
        <w:t>SUPPLEMENTARY INFORMATION</w:t>
      </w:r>
    </w:p>
    <w:p w:rsidR="00000000" w:rsidRDefault="00897B14">
      <w:pPr>
        <w:ind w:firstLine="360"/>
        <w:divId w:val="161816556"/>
        <w:rPr>
          <w:rFonts w:eastAsia="Times New Roman"/>
        </w:rPr>
      </w:pPr>
      <w:r>
        <w:rPr>
          <w:rFonts w:eastAsia="Times New Roman"/>
          <w:color w:val="000000"/>
          <w:sz w:val="20"/>
          <w:szCs w:val="20"/>
        </w:rPr>
        <w:t>We are involved in a number of ventures and transactions with AXA and certain of its affiliates. See Note 12 in the Notes to Consolidated Financial Statements included in the Annual Report on Form 10-K for the year ended December 31, 2020.</w:t>
      </w:r>
    </w:p>
    <w:p w:rsidR="00000000" w:rsidRDefault="00897B14">
      <w:pPr>
        <w:divId w:val="755325166"/>
        <w:rPr>
          <w:rFonts w:eastAsia="Times New Roman"/>
        </w:rPr>
      </w:pPr>
      <w:r>
        <w:rPr>
          <w:rFonts w:eastAsia="Times New Roman"/>
          <w:b/>
          <w:bCs/>
          <w:color w:val="000000"/>
          <w:sz w:val="20"/>
          <w:szCs w:val="20"/>
        </w:rPr>
        <w:t>Contractual Obli</w:t>
      </w:r>
      <w:r>
        <w:rPr>
          <w:rFonts w:eastAsia="Times New Roman"/>
          <w:b/>
          <w:bCs/>
          <w:color w:val="000000"/>
          <w:sz w:val="20"/>
          <w:szCs w:val="20"/>
        </w:rPr>
        <w:t>gations</w:t>
      </w:r>
    </w:p>
    <w:p w:rsidR="00000000" w:rsidRDefault="00897B14">
      <w:pPr>
        <w:ind w:firstLine="360"/>
        <w:divId w:val="1406950172"/>
        <w:rPr>
          <w:rFonts w:eastAsia="Times New Roman"/>
        </w:rPr>
      </w:pPr>
      <w:r>
        <w:rPr>
          <w:rFonts w:eastAsia="Times New Roman"/>
          <w:color w:val="000000"/>
          <w:sz w:val="20"/>
          <w:szCs w:val="20"/>
        </w:rPr>
        <w:t>Our consolidated contractual agreements include policyholder obligations, long-term debt, commercial paper, employee benefits, operating leases and various funding commitments. See “Supplementary Information – Contractual Obligations” in “Managemen</w:t>
      </w:r>
      <w:r>
        <w:rPr>
          <w:rFonts w:eastAsia="Times New Roman"/>
          <w:color w:val="000000"/>
          <w:sz w:val="20"/>
          <w:szCs w:val="20"/>
        </w:rPr>
        <w:t>t’s Discussion and Analysis of Financial Condition and Results of Operations” in the Annual Report on Form 10-K for the year ended December 31, 2020 for additional information.</w:t>
      </w:r>
    </w:p>
    <w:p w:rsidR="00000000" w:rsidRDefault="00897B14">
      <w:pPr>
        <w:divId w:val="1436368443"/>
        <w:rPr>
          <w:rFonts w:eastAsia="Times New Roman"/>
        </w:rPr>
      </w:pPr>
      <w:r>
        <w:rPr>
          <w:rFonts w:eastAsia="Times New Roman"/>
          <w:b/>
          <w:bCs/>
          <w:color w:val="000000"/>
          <w:sz w:val="20"/>
          <w:szCs w:val="20"/>
        </w:rPr>
        <w:t>Off-Balance Sheet Arrangements</w:t>
      </w:r>
    </w:p>
    <w:p w:rsidR="00000000" w:rsidRDefault="00897B14">
      <w:pPr>
        <w:ind w:firstLine="360"/>
        <w:divId w:val="9651978"/>
        <w:rPr>
          <w:rFonts w:eastAsia="Times New Roman"/>
        </w:rPr>
      </w:pPr>
      <w:r>
        <w:rPr>
          <w:rFonts w:eastAsia="Times New Roman"/>
          <w:color w:val="000000"/>
          <w:sz w:val="20"/>
          <w:szCs w:val="20"/>
        </w:rPr>
        <w:t xml:space="preserve">As of June 30, 2021, we were not a party to any </w:t>
      </w:r>
      <w:r>
        <w:rPr>
          <w:rFonts w:eastAsia="Times New Roman"/>
          <w:color w:val="000000"/>
          <w:sz w:val="20"/>
          <w:szCs w:val="20"/>
        </w:rPr>
        <w:t xml:space="preserve">off-balance sheet transactions other than those Guarantees and Commitments described in Note 12 of the Notes to the Consolidated Financial Statements. </w:t>
      </w:r>
    </w:p>
    <w:p w:rsidR="00000000" w:rsidRDefault="00897B14">
      <w:pPr>
        <w:divId w:val="1741637743"/>
        <w:rPr>
          <w:rFonts w:eastAsia="Times New Roman"/>
        </w:rPr>
      </w:pPr>
      <w:r>
        <w:rPr>
          <w:rFonts w:eastAsia="Times New Roman"/>
          <w:b/>
          <w:bCs/>
          <w:color w:val="000000"/>
          <w:sz w:val="20"/>
          <w:szCs w:val="20"/>
        </w:rPr>
        <w:t>Summary of Critical Accounting Estimates</w:t>
      </w:r>
    </w:p>
    <w:p w:rsidR="00000000" w:rsidRDefault="00897B14">
      <w:pPr>
        <w:ind w:firstLine="360"/>
        <w:divId w:val="1918587855"/>
        <w:rPr>
          <w:rFonts w:eastAsia="Times New Roman"/>
        </w:rPr>
      </w:pPr>
      <w:r>
        <w:rPr>
          <w:rFonts w:eastAsia="Times New Roman"/>
          <w:color w:val="000000"/>
          <w:sz w:val="20"/>
          <w:szCs w:val="20"/>
        </w:rPr>
        <w:t>The preparation of financial statements in conformity with U.S.</w:t>
      </w:r>
      <w:r>
        <w:rPr>
          <w:rFonts w:eastAsia="Times New Roman"/>
          <w:color w:val="000000"/>
          <w:sz w:val="20"/>
          <w:szCs w:val="20"/>
        </w:rPr>
        <w:t xml:space="preserve"> GAAP requires management to adopt accounting policies and make estimates and assumptions that affect amounts reported in our consolidated financial statements included elsewhere herein. For a discussion of our significant accounting policies, see Note 2 t</w:t>
      </w:r>
      <w:r>
        <w:rPr>
          <w:rFonts w:eastAsia="Times New Roman"/>
          <w:color w:val="000000"/>
          <w:sz w:val="20"/>
          <w:szCs w:val="20"/>
        </w:rPr>
        <w:t>o the Company’s consolidated financial statements included in our 2020 Form 10-K. The most critical estimates include those used in determining:</w:t>
      </w:r>
    </w:p>
    <w:p w:rsidR="00000000" w:rsidRDefault="00897B14">
      <w:pPr>
        <w:jc w:val="center"/>
        <w:divId w:val="979380033"/>
        <w:rPr>
          <w:rFonts w:eastAsia="Times New Roman"/>
        </w:rPr>
      </w:pPr>
      <w:r>
        <w:rPr>
          <w:rFonts w:eastAsia="Times New Roman"/>
          <w:color w:val="000000"/>
          <w:sz w:val="20"/>
          <w:szCs w:val="20"/>
        </w:rPr>
        <w:t>115</w:t>
      </w:r>
    </w:p>
    <w:p w:rsidR="00000000" w:rsidRDefault="00897B14">
      <w:pPr>
        <w:rPr>
          <w:rFonts w:eastAsia="Times New Roman"/>
        </w:rPr>
      </w:pPr>
      <w:r>
        <w:rPr>
          <w:rFonts w:eastAsia="Times New Roman"/>
        </w:rPr>
        <w:pict>
          <v:rect id="_x0000_i1141" style="width:0;height:1.5pt" o:hralign="center" o:hrstd="t" o:hr="t" fillcolor="#a0a0a0" stroked="f"/>
        </w:pict>
      </w:r>
    </w:p>
    <w:p w:rsidR="00000000" w:rsidRDefault="00897B14">
      <w:pPr>
        <w:divId w:val="160912099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360"/>
        <w:jc w:val="both"/>
        <w:divId w:val="1525485597"/>
        <w:rPr>
          <w:rFonts w:eastAsia="Times New Roman"/>
        </w:rPr>
      </w:pPr>
      <w:r>
        <w:rPr>
          <w:rFonts w:eastAsia="Times New Roman"/>
          <w:color w:val="000000"/>
          <w:sz w:val="20"/>
          <w:szCs w:val="20"/>
        </w:rPr>
        <w:t>•liabilities for future policy benefits;</w:t>
      </w:r>
    </w:p>
    <w:p w:rsidR="00000000" w:rsidRDefault="00897B14">
      <w:pPr>
        <w:ind w:hanging="360"/>
        <w:jc w:val="both"/>
        <w:divId w:val="1105537698"/>
        <w:rPr>
          <w:rFonts w:eastAsia="Times New Roman"/>
        </w:rPr>
      </w:pPr>
      <w:r>
        <w:rPr>
          <w:rFonts w:eastAsia="Times New Roman"/>
          <w:color w:val="000000"/>
          <w:sz w:val="20"/>
          <w:szCs w:val="20"/>
        </w:rPr>
        <w:t>•accounting for reinsurance;</w:t>
      </w:r>
    </w:p>
    <w:p w:rsidR="00000000" w:rsidRDefault="00897B14">
      <w:pPr>
        <w:ind w:hanging="360"/>
        <w:jc w:val="both"/>
        <w:divId w:val="339507710"/>
        <w:rPr>
          <w:rFonts w:eastAsia="Times New Roman"/>
        </w:rPr>
      </w:pPr>
      <w:r>
        <w:rPr>
          <w:rFonts w:eastAsia="Times New Roman"/>
          <w:color w:val="000000"/>
          <w:sz w:val="20"/>
          <w:szCs w:val="20"/>
        </w:rPr>
        <w:t>•</w:t>
      </w:r>
      <w:r>
        <w:rPr>
          <w:rFonts w:eastAsia="Times New Roman"/>
          <w:color w:val="000000"/>
          <w:sz w:val="20"/>
          <w:szCs w:val="20"/>
        </w:rPr>
        <w:t>capitalization and amortization of DAC and policyholder bonus interest credits;</w:t>
      </w:r>
    </w:p>
    <w:p w:rsidR="00000000" w:rsidRDefault="00897B14">
      <w:pPr>
        <w:ind w:hanging="360"/>
        <w:jc w:val="both"/>
        <w:divId w:val="634871688"/>
        <w:rPr>
          <w:rFonts w:eastAsia="Times New Roman"/>
        </w:rPr>
      </w:pPr>
      <w:r>
        <w:rPr>
          <w:rFonts w:eastAsia="Times New Roman"/>
          <w:color w:val="000000"/>
          <w:sz w:val="20"/>
          <w:szCs w:val="20"/>
        </w:rPr>
        <w:t>•estimated fair values of investments in the absence of quoted market values and investment impairments;</w:t>
      </w:r>
    </w:p>
    <w:p w:rsidR="00000000" w:rsidRDefault="00897B14">
      <w:pPr>
        <w:ind w:hanging="360"/>
        <w:jc w:val="both"/>
        <w:divId w:val="2074888801"/>
        <w:rPr>
          <w:rFonts w:eastAsia="Times New Roman"/>
        </w:rPr>
      </w:pPr>
      <w:r>
        <w:rPr>
          <w:rFonts w:eastAsia="Times New Roman"/>
          <w:color w:val="000000"/>
          <w:sz w:val="20"/>
          <w:szCs w:val="20"/>
        </w:rPr>
        <w:t xml:space="preserve">•estimated fair values of freestanding derivatives and the recognition </w:t>
      </w:r>
      <w:r>
        <w:rPr>
          <w:rFonts w:eastAsia="Times New Roman"/>
          <w:color w:val="000000"/>
          <w:sz w:val="20"/>
          <w:szCs w:val="20"/>
        </w:rPr>
        <w:t>and estimated fair value of embedded derivatives requiring bifurcation;</w:t>
      </w:r>
    </w:p>
    <w:p w:rsidR="00000000" w:rsidRDefault="00897B14">
      <w:pPr>
        <w:ind w:hanging="360"/>
        <w:jc w:val="both"/>
        <w:divId w:val="2011591395"/>
        <w:rPr>
          <w:rFonts w:eastAsia="Times New Roman"/>
        </w:rPr>
      </w:pPr>
      <w:r>
        <w:rPr>
          <w:rFonts w:eastAsia="Times New Roman"/>
          <w:color w:val="000000"/>
          <w:sz w:val="20"/>
          <w:szCs w:val="20"/>
        </w:rPr>
        <w:t>•goodwill and related impairment;</w:t>
      </w:r>
    </w:p>
    <w:p w:rsidR="00000000" w:rsidRDefault="00897B14">
      <w:pPr>
        <w:ind w:hanging="360"/>
        <w:jc w:val="both"/>
        <w:divId w:val="322007784"/>
        <w:rPr>
          <w:rFonts w:eastAsia="Times New Roman"/>
        </w:rPr>
      </w:pPr>
      <w:r>
        <w:rPr>
          <w:rFonts w:eastAsia="Times New Roman"/>
          <w:color w:val="000000"/>
          <w:sz w:val="20"/>
          <w:szCs w:val="20"/>
        </w:rPr>
        <w:t>•measurement of income taxes and the valuation of deferred tax assets; and</w:t>
      </w:r>
    </w:p>
    <w:p w:rsidR="00000000" w:rsidRDefault="00897B14">
      <w:pPr>
        <w:ind w:hanging="360"/>
        <w:divId w:val="1677876604"/>
        <w:rPr>
          <w:rFonts w:eastAsia="Times New Roman"/>
        </w:rPr>
      </w:pPr>
      <w:r>
        <w:rPr>
          <w:rFonts w:eastAsia="Times New Roman"/>
          <w:color w:val="000000"/>
          <w:sz w:val="20"/>
          <w:szCs w:val="20"/>
        </w:rPr>
        <w:t>•liabilities for litigation and regulatory matters.</w:t>
      </w:r>
    </w:p>
    <w:p w:rsidR="00000000" w:rsidRDefault="00897B14">
      <w:pPr>
        <w:ind w:firstLine="360"/>
        <w:divId w:val="1967200719"/>
        <w:rPr>
          <w:rFonts w:eastAsia="Times New Roman"/>
        </w:rPr>
      </w:pPr>
      <w:r>
        <w:rPr>
          <w:rFonts w:eastAsia="Times New Roman"/>
          <w:color w:val="000000"/>
          <w:sz w:val="20"/>
          <w:szCs w:val="20"/>
        </w:rPr>
        <w:t>In applying our account</w:t>
      </w:r>
      <w:r>
        <w:rPr>
          <w:rFonts w:eastAsia="Times New Roman"/>
          <w:color w:val="000000"/>
          <w:sz w:val="20"/>
          <w:szCs w:val="20"/>
        </w:rPr>
        <w:t>ing policies, we make subjective and complex judgments that frequently require estimates about matters that are inherently uncertain. Many of these policies, estimates and related judgments are common in the insurance and financial services industries whil</w:t>
      </w:r>
      <w:r>
        <w:rPr>
          <w:rFonts w:eastAsia="Times New Roman"/>
          <w:color w:val="000000"/>
          <w:sz w:val="20"/>
          <w:szCs w:val="20"/>
        </w:rPr>
        <w:t>e others are specific to our business and operations. Actual results could differ from these estimates.</w:t>
      </w:r>
    </w:p>
    <w:p w:rsidR="00000000" w:rsidRDefault="00897B14">
      <w:pPr>
        <w:divId w:val="398748943"/>
        <w:rPr>
          <w:rFonts w:eastAsia="Times New Roman"/>
        </w:rPr>
      </w:pPr>
      <w:r>
        <w:rPr>
          <w:rFonts w:eastAsia="Times New Roman"/>
          <w:b/>
          <w:bCs/>
          <w:color w:val="000000"/>
          <w:sz w:val="20"/>
          <w:szCs w:val="20"/>
        </w:rPr>
        <w:t xml:space="preserve">Item 3.      Quantitative and Qualitative Disclosures About Market Risk </w:t>
      </w:r>
    </w:p>
    <w:p w:rsidR="00000000" w:rsidRDefault="00897B14">
      <w:pPr>
        <w:ind w:firstLine="360"/>
        <w:divId w:val="2004969469"/>
        <w:rPr>
          <w:rFonts w:eastAsia="Times New Roman"/>
        </w:rPr>
      </w:pPr>
      <w:r>
        <w:rPr>
          <w:rFonts w:eastAsia="Times New Roman"/>
          <w:color w:val="000000"/>
          <w:sz w:val="20"/>
          <w:szCs w:val="20"/>
        </w:rPr>
        <w:t>There have been no material changes to the quantitative and qualitative disclos</w:t>
      </w:r>
      <w:r>
        <w:rPr>
          <w:rFonts w:eastAsia="Times New Roman"/>
          <w:color w:val="000000"/>
          <w:sz w:val="20"/>
          <w:szCs w:val="20"/>
        </w:rPr>
        <w:t>ures about market risk described in the Annual Report on Form 10-K for the year ended December 31, 2020 in "Quantitative and Qualitative Disclosures About Market Risk".</w:t>
      </w:r>
    </w:p>
    <w:p w:rsidR="00000000" w:rsidRDefault="00897B14">
      <w:pPr>
        <w:jc w:val="center"/>
        <w:divId w:val="2020037684"/>
        <w:rPr>
          <w:rFonts w:eastAsia="Times New Roman"/>
        </w:rPr>
      </w:pPr>
      <w:r>
        <w:rPr>
          <w:rFonts w:eastAsia="Times New Roman"/>
          <w:color w:val="000000"/>
          <w:sz w:val="20"/>
          <w:szCs w:val="20"/>
        </w:rPr>
        <w:t>116</w:t>
      </w:r>
    </w:p>
    <w:p w:rsidR="00000000" w:rsidRDefault="00897B14">
      <w:pPr>
        <w:rPr>
          <w:rFonts w:eastAsia="Times New Roman"/>
        </w:rPr>
      </w:pPr>
      <w:r>
        <w:rPr>
          <w:rFonts w:eastAsia="Times New Roman"/>
        </w:rPr>
        <w:pict>
          <v:rect id="_x0000_i1142" style="width:0;height:1.5pt" o:hralign="center" o:hrstd="t" o:hr="t" fillcolor="#a0a0a0" stroked="f"/>
        </w:pict>
      </w:r>
    </w:p>
    <w:p w:rsidR="00000000" w:rsidRDefault="00897B14">
      <w:pPr>
        <w:divId w:val="1304776984"/>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928656684"/>
        <w:rPr>
          <w:rFonts w:eastAsia="Times New Roman"/>
        </w:rPr>
      </w:pPr>
      <w:r>
        <w:rPr>
          <w:rFonts w:eastAsia="Times New Roman"/>
          <w:b/>
          <w:bCs/>
          <w:color w:val="000000"/>
          <w:sz w:val="20"/>
          <w:szCs w:val="20"/>
        </w:rPr>
        <w:t xml:space="preserve">Item 4.     Controls and Procedures </w:t>
      </w:r>
    </w:p>
    <w:p w:rsidR="00000000" w:rsidRDefault="00897B14">
      <w:pPr>
        <w:ind w:firstLine="360"/>
        <w:divId w:val="2082217993"/>
        <w:rPr>
          <w:rFonts w:eastAsia="Times New Roman"/>
        </w:rPr>
      </w:pPr>
      <w:r>
        <w:rPr>
          <w:rFonts w:eastAsia="Times New Roman"/>
          <w:color w:val="000000"/>
          <w:sz w:val="20"/>
          <w:szCs w:val="20"/>
        </w:rPr>
        <w:t>Management, with the participation of the Chief Executive Officer and Chief Financial Officer, has evaluated the effectiveness of the design and operation of the Company’s disclosure contr</w:t>
      </w:r>
      <w:r>
        <w:rPr>
          <w:rFonts w:eastAsia="Times New Roman"/>
          <w:color w:val="000000"/>
          <w:sz w:val="20"/>
          <w:szCs w:val="20"/>
        </w:rPr>
        <w:t>ols and procedures, as defined in Rule 13a-15(e) of the Exchange Act. Based on such evaluation, the Chief Executive Officer and Chief Financial Officer have concluded that, as of June 30, 2021, the Company’s disclosure controls and procedures were effectiv</w:t>
      </w:r>
      <w:r>
        <w:rPr>
          <w:rFonts w:eastAsia="Times New Roman"/>
          <w:color w:val="000000"/>
          <w:sz w:val="20"/>
          <w:szCs w:val="20"/>
        </w:rPr>
        <w:t xml:space="preserve">e. </w:t>
      </w:r>
    </w:p>
    <w:p w:rsidR="00000000" w:rsidRDefault="00897B14">
      <w:pPr>
        <w:ind w:firstLine="360"/>
        <w:divId w:val="2044210016"/>
        <w:rPr>
          <w:rFonts w:eastAsia="Times New Roman"/>
        </w:rPr>
      </w:pPr>
      <w:r>
        <w:rPr>
          <w:rFonts w:eastAsia="Times New Roman"/>
          <w:color w:val="000000"/>
          <w:sz w:val="20"/>
          <w:szCs w:val="20"/>
        </w:rPr>
        <w:t>No change in the Company’s internal control over financial reporting, as defined in Exchange Act Rule 13a-15(f), occurred during the three months ended June 30, 2021, that has materially affected, or is reasonably likely to materially affect, the Compa</w:t>
      </w:r>
      <w:r>
        <w:rPr>
          <w:rFonts w:eastAsia="Times New Roman"/>
          <w:color w:val="000000"/>
          <w:sz w:val="20"/>
          <w:szCs w:val="20"/>
        </w:rPr>
        <w:t>ny’s internal control over financial reporting.</w:t>
      </w:r>
    </w:p>
    <w:p w:rsidR="00000000" w:rsidRDefault="00897B14">
      <w:pPr>
        <w:jc w:val="center"/>
        <w:divId w:val="595409418"/>
        <w:rPr>
          <w:rFonts w:eastAsia="Times New Roman"/>
        </w:rPr>
      </w:pPr>
      <w:r>
        <w:rPr>
          <w:rFonts w:eastAsia="Times New Roman"/>
          <w:color w:val="000000"/>
          <w:sz w:val="20"/>
          <w:szCs w:val="20"/>
        </w:rPr>
        <w:t>117</w:t>
      </w:r>
    </w:p>
    <w:p w:rsidR="00000000" w:rsidRDefault="00897B14">
      <w:pPr>
        <w:rPr>
          <w:rFonts w:eastAsia="Times New Roman"/>
        </w:rPr>
      </w:pPr>
      <w:r>
        <w:rPr>
          <w:rFonts w:eastAsia="Times New Roman"/>
        </w:rPr>
        <w:pict>
          <v:rect id="_x0000_i1143" style="width:0;height:1.5pt" o:hralign="center" o:hrstd="t" o:hr="t" fillcolor="#a0a0a0" stroked="f"/>
        </w:pict>
      </w:r>
    </w:p>
    <w:p w:rsidR="00000000" w:rsidRDefault="00897B14">
      <w:pPr>
        <w:divId w:val="18895049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745759644"/>
        <w:rPr>
          <w:rFonts w:eastAsia="Times New Roman"/>
        </w:rPr>
      </w:pPr>
      <w:r>
        <w:rPr>
          <w:rFonts w:eastAsia="Times New Roman"/>
          <w:b/>
          <w:bCs/>
          <w:color w:val="000000"/>
          <w:sz w:val="20"/>
          <w:szCs w:val="20"/>
        </w:rPr>
        <w:t>PART II. OTHER INFORMATION</w:t>
      </w:r>
    </w:p>
    <w:p w:rsidR="00000000" w:rsidRDefault="00897B14">
      <w:pPr>
        <w:divId w:val="1620910742"/>
        <w:rPr>
          <w:rFonts w:eastAsia="Times New Roman"/>
        </w:rPr>
      </w:pPr>
      <w:r>
        <w:rPr>
          <w:rFonts w:eastAsia="Times New Roman"/>
          <w:b/>
          <w:bCs/>
          <w:color w:val="000000"/>
          <w:sz w:val="20"/>
          <w:szCs w:val="20"/>
        </w:rPr>
        <w:t xml:space="preserve">Item 1.     Legal Proceedings </w:t>
      </w:r>
    </w:p>
    <w:p w:rsidR="00000000" w:rsidRDefault="00897B14">
      <w:pPr>
        <w:ind w:firstLine="360"/>
        <w:divId w:val="1450464883"/>
        <w:rPr>
          <w:rFonts w:eastAsia="Times New Roman"/>
        </w:rPr>
      </w:pPr>
      <w:r>
        <w:rPr>
          <w:rFonts w:eastAsia="Times New Roman"/>
          <w:color w:val="000000"/>
          <w:sz w:val="20"/>
          <w:szCs w:val="20"/>
        </w:rPr>
        <w:t>For information regarding certain</w:t>
      </w:r>
      <w:r>
        <w:rPr>
          <w:rFonts w:eastAsia="Times New Roman"/>
          <w:color w:val="000000"/>
          <w:sz w:val="20"/>
          <w:szCs w:val="20"/>
        </w:rPr>
        <w:t xml:space="preserve"> legal proceedings pending against us, see Note 12 of the Notes to the Consolidated Financial Statements (unaudited) in this Form 10-Q. Also see “Risk Factors—Legal proceedings and Regulatory Risks—Legal and regulatory actions” in our Annual Report on Form</w:t>
      </w:r>
      <w:r>
        <w:rPr>
          <w:rFonts w:eastAsia="Times New Roman"/>
          <w:color w:val="000000"/>
          <w:sz w:val="20"/>
          <w:szCs w:val="20"/>
        </w:rPr>
        <w:t xml:space="preserve"> 10-K for the year ended December 31, 2020.</w:t>
      </w:r>
    </w:p>
    <w:p w:rsidR="00000000" w:rsidRDefault="00897B14">
      <w:pPr>
        <w:divId w:val="561409833"/>
        <w:rPr>
          <w:rFonts w:eastAsia="Times New Roman"/>
        </w:rPr>
      </w:pPr>
      <w:r>
        <w:rPr>
          <w:rFonts w:eastAsia="Times New Roman"/>
          <w:b/>
          <w:bCs/>
          <w:color w:val="000000"/>
          <w:sz w:val="20"/>
          <w:szCs w:val="20"/>
        </w:rPr>
        <w:t xml:space="preserve">Item 1A. Risk Factors </w:t>
      </w:r>
    </w:p>
    <w:p w:rsidR="00000000" w:rsidRDefault="00897B14">
      <w:pPr>
        <w:ind w:firstLine="360"/>
        <w:divId w:val="677200049"/>
        <w:rPr>
          <w:rFonts w:eastAsia="Times New Roman"/>
        </w:rPr>
      </w:pPr>
      <w:r>
        <w:rPr>
          <w:rFonts w:eastAsia="Times New Roman"/>
          <w:color w:val="000000"/>
          <w:sz w:val="20"/>
          <w:szCs w:val="20"/>
        </w:rPr>
        <w:t xml:space="preserve">You should carefully consider the risks described in the “Risk Factors” </w:t>
      </w:r>
      <w:r>
        <w:rPr>
          <w:rFonts w:eastAsia="Times New Roman"/>
          <w:color w:val="000000"/>
          <w:sz w:val="20"/>
          <w:szCs w:val="20"/>
        </w:rPr>
        <w:t>section included in our Annual Report on Form 10-K for the year ended December 31, 2020, as amended or supplemented in our subsequently filed Quarterly Reports on Form 10-Q. Risks to which we are subject also include, but are not limited to, the factors me</w:t>
      </w:r>
      <w:r>
        <w:rPr>
          <w:rFonts w:eastAsia="Times New Roman"/>
          <w:color w:val="000000"/>
          <w:sz w:val="20"/>
          <w:szCs w:val="20"/>
        </w:rPr>
        <w:t>ntioned under “Note Regarding Forward-Looking Statements and Information” above and the risks of our businesses described elsewhere in this Quarterly Report on Form 10-Q.</w:t>
      </w:r>
    </w:p>
    <w:p w:rsidR="00000000" w:rsidRDefault="00897B14">
      <w:pPr>
        <w:divId w:val="1821457871"/>
        <w:rPr>
          <w:rFonts w:eastAsia="Times New Roman"/>
        </w:rPr>
      </w:pPr>
      <w:r>
        <w:rPr>
          <w:rFonts w:eastAsia="Times New Roman"/>
          <w:b/>
          <w:bCs/>
          <w:color w:val="000000"/>
          <w:sz w:val="20"/>
          <w:szCs w:val="20"/>
        </w:rPr>
        <w:t xml:space="preserve">Item 2.     Unregistered Sales of Equity Securities and Use of Proceeds </w:t>
      </w:r>
    </w:p>
    <w:p w:rsidR="00000000" w:rsidRDefault="00897B14">
      <w:pPr>
        <w:ind w:firstLine="360"/>
        <w:divId w:val="1500463972"/>
        <w:rPr>
          <w:rFonts w:eastAsia="Times New Roman"/>
        </w:rPr>
      </w:pPr>
      <w:r>
        <w:rPr>
          <w:rFonts w:eastAsia="Times New Roman"/>
          <w:color w:val="000000"/>
          <w:sz w:val="20"/>
          <w:szCs w:val="20"/>
        </w:rPr>
        <w:t>The followin</w:t>
      </w:r>
      <w:r>
        <w:rPr>
          <w:rFonts w:eastAsia="Times New Roman"/>
          <w:color w:val="000000"/>
          <w:sz w:val="20"/>
          <w:szCs w:val="20"/>
        </w:rPr>
        <w:t>g table provides information about purchases by Holdings during the three months ended June 30, 2021, of its common stock:</w:t>
      </w:r>
    </w:p>
    <w:tbl>
      <w:tblPr>
        <w:tblW w:w="4985" w:type="pct"/>
        <w:tblCellMar>
          <w:top w:w="15" w:type="dxa"/>
          <w:left w:w="15" w:type="dxa"/>
          <w:bottom w:w="15" w:type="dxa"/>
          <w:right w:w="15" w:type="dxa"/>
        </w:tblCellMar>
        <w:tblLook w:val="04A0" w:firstRow="1" w:lastRow="0" w:firstColumn="1" w:lastColumn="0" w:noHBand="0" w:noVBand="1"/>
      </w:tblPr>
      <w:tblGrid>
        <w:gridCol w:w="48"/>
        <w:gridCol w:w="1903"/>
        <w:gridCol w:w="36"/>
        <w:gridCol w:w="48"/>
        <w:gridCol w:w="1393"/>
        <w:gridCol w:w="36"/>
        <w:gridCol w:w="36"/>
        <w:gridCol w:w="36"/>
        <w:gridCol w:w="36"/>
        <w:gridCol w:w="120"/>
        <w:gridCol w:w="1365"/>
        <w:gridCol w:w="36"/>
        <w:gridCol w:w="36"/>
        <w:gridCol w:w="36"/>
        <w:gridCol w:w="36"/>
        <w:gridCol w:w="48"/>
        <w:gridCol w:w="1365"/>
        <w:gridCol w:w="36"/>
        <w:gridCol w:w="36"/>
        <w:gridCol w:w="36"/>
        <w:gridCol w:w="36"/>
        <w:gridCol w:w="120"/>
        <w:gridCol w:w="1367"/>
        <w:gridCol w:w="36"/>
      </w:tblGrid>
      <w:tr w:rsidR="00000000">
        <w:trPr>
          <w:divId w:val="1472751763"/>
        </w:trPr>
        <w:tc>
          <w:tcPr>
            <w:tcW w:w="50" w:type="pct"/>
            <w:vAlign w:val="center"/>
            <w:hideMark/>
          </w:tcPr>
          <w:p w:rsidR="00000000" w:rsidRDefault="00897B14">
            <w:pPr>
              <w:ind w:firstLine="360"/>
              <w:rPr>
                <w:rFonts w:eastAsia="Times New Roman"/>
              </w:rPr>
            </w:pPr>
          </w:p>
        </w:tc>
        <w:tc>
          <w:tcPr>
            <w:tcW w:w="1169"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8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8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8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2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861"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1472751763"/>
        </w:trPr>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Average Price Paid per Share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Total Number of Shares Purchased as Part of Publicly Announced Plans or Programs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 xml:space="preserve">Approximate Dollar Value of Shares that May Yet Be Purchased Under the Plans or Programs </w:t>
            </w:r>
          </w:p>
        </w:tc>
      </w:tr>
      <w:tr w:rsidR="00000000">
        <w:trPr>
          <w:divId w:val="147275176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4/1/21 through 4/30/21</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700,503,365 </w:t>
            </w:r>
          </w:p>
        </w:tc>
        <w:tc>
          <w:tcPr>
            <w:tcW w:w="0" w:type="auto"/>
            <w:tcBorders>
              <w:top w:val="single" w:sz="8" w:space="0" w:color="000000"/>
            </w:tcBorders>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72751763"/>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5/1/21 through 5/31/21</w:t>
            </w: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8,180,948 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34.09 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8,180,948 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461,592,672 </w:t>
            </w:r>
          </w:p>
        </w:tc>
        <w:tc>
          <w:tcPr>
            <w:tcW w:w="0" w:type="auto"/>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72751763"/>
        </w:trPr>
        <w:tc>
          <w:tcPr>
            <w:tcW w:w="0" w:type="auto"/>
            <w:gridSpan w:val="3"/>
            <w:shd w:val="clear" w:color="auto" w:fill="FFFF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6/1/21 through 6/30/21</w:t>
            </w: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961,592,672 </w:t>
            </w:r>
          </w:p>
        </w:tc>
        <w:tc>
          <w:tcPr>
            <w:tcW w:w="0" w:type="auto"/>
            <w:shd w:val="clear" w:color="auto" w:fill="FFFFFF"/>
            <w:tcMar>
              <w:top w:w="30" w:type="dxa"/>
              <w:left w:w="0" w:type="dxa"/>
              <w:bottom w:w="30" w:type="dxa"/>
              <w:right w:w="20" w:type="dxa"/>
            </w:tcMar>
            <w:vAlign w:val="bottom"/>
            <w:hideMark/>
          </w:tcPr>
          <w:p w:rsidR="00000000" w:rsidRDefault="00897B14">
            <w:pPr>
              <w:spacing w:after="100"/>
              <w:jc w:val="right"/>
              <w:rPr>
                <w:rFonts w:eastAsia="Times New Roman"/>
              </w:rPr>
            </w:pPr>
          </w:p>
        </w:tc>
      </w:tr>
      <w:tr w:rsidR="00000000">
        <w:trPr>
          <w:divId w:val="1472751763"/>
        </w:trPr>
        <w:tc>
          <w:tcPr>
            <w:tcW w:w="0" w:type="auto"/>
            <w:gridSpan w:val="3"/>
            <w:shd w:val="clear" w:color="auto" w:fill="CCEEFF"/>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8,180,948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color w:val="000000"/>
                <w:sz w:val="20"/>
                <w:szCs w:val="20"/>
              </w:rPr>
              <w:t>34.09 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8,180,948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897B1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897B1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897B14">
            <w:pPr>
              <w:spacing w:after="100"/>
              <w:jc w:val="right"/>
              <w:rPr>
                <w:rFonts w:eastAsia="Times New Roman"/>
              </w:rPr>
            </w:pPr>
            <w:r>
              <w:rPr>
                <w:rFonts w:eastAsia="Times New Roman"/>
                <w:b/>
                <w:bCs/>
                <w:color w:val="000000"/>
                <w:sz w:val="20"/>
                <w:szCs w:val="20"/>
              </w:rPr>
              <w:t>961,592,672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897B14">
            <w:pPr>
              <w:spacing w:after="100"/>
              <w:jc w:val="right"/>
              <w:rPr>
                <w:rFonts w:eastAsia="Times New Roman"/>
              </w:rPr>
            </w:pPr>
          </w:p>
        </w:tc>
      </w:tr>
    </w:tbl>
    <w:p w:rsidR="00000000" w:rsidRDefault="00897B14">
      <w:pPr>
        <w:ind w:hanging="360"/>
        <w:divId w:val="1755207046"/>
        <w:rPr>
          <w:rFonts w:eastAsia="Times New Roman"/>
        </w:rPr>
      </w:pPr>
    </w:p>
    <w:p w:rsidR="00000000" w:rsidRDefault="00897B14">
      <w:pPr>
        <w:divId w:val="504594387"/>
        <w:rPr>
          <w:rFonts w:eastAsia="Times New Roman"/>
        </w:rPr>
      </w:pPr>
      <w:r>
        <w:rPr>
          <w:rFonts w:eastAsia="Times New Roman"/>
          <w:color w:val="000000"/>
          <w:sz w:val="20"/>
          <w:szCs w:val="20"/>
        </w:rPr>
        <w:t>See Note 10 to the Notes to Consolidated Financial Statements for ASR transaction detail during the three months ended June 30, 2021.</w:t>
      </w:r>
    </w:p>
    <w:p w:rsidR="00000000" w:rsidRDefault="00897B14">
      <w:pPr>
        <w:divId w:val="1738045285"/>
        <w:rPr>
          <w:rFonts w:eastAsia="Times New Roman"/>
        </w:rPr>
      </w:pPr>
      <w:r>
        <w:rPr>
          <w:rFonts w:eastAsia="Times New Roman"/>
          <w:b/>
          <w:bCs/>
          <w:color w:val="000000"/>
          <w:sz w:val="20"/>
          <w:szCs w:val="20"/>
        </w:rPr>
        <w:t xml:space="preserve">Item 3.     Defaults Upon Senior Securities </w:t>
      </w:r>
    </w:p>
    <w:p w:rsidR="00000000" w:rsidRDefault="00897B14">
      <w:pPr>
        <w:ind w:firstLine="360"/>
        <w:divId w:val="372586127"/>
        <w:rPr>
          <w:rFonts w:eastAsia="Times New Roman"/>
        </w:rPr>
      </w:pPr>
      <w:r>
        <w:rPr>
          <w:rFonts w:eastAsia="Times New Roman"/>
          <w:color w:val="000000"/>
          <w:sz w:val="20"/>
          <w:szCs w:val="20"/>
        </w:rPr>
        <w:t>None.</w:t>
      </w:r>
    </w:p>
    <w:p w:rsidR="00000000" w:rsidRDefault="00897B14">
      <w:pPr>
        <w:divId w:val="695934151"/>
        <w:rPr>
          <w:rFonts w:eastAsia="Times New Roman"/>
        </w:rPr>
      </w:pPr>
      <w:r>
        <w:rPr>
          <w:rFonts w:eastAsia="Times New Roman"/>
          <w:b/>
          <w:bCs/>
          <w:color w:val="000000"/>
          <w:sz w:val="20"/>
          <w:szCs w:val="20"/>
        </w:rPr>
        <w:t>Item 4.     </w:t>
      </w:r>
      <w:r>
        <w:rPr>
          <w:rFonts w:eastAsia="Times New Roman"/>
          <w:b/>
          <w:bCs/>
          <w:color w:val="000000"/>
          <w:sz w:val="20"/>
          <w:szCs w:val="20"/>
        </w:rPr>
        <w:t xml:space="preserve">Mine Safety Disclosures </w:t>
      </w:r>
    </w:p>
    <w:p w:rsidR="00000000" w:rsidRDefault="00897B14">
      <w:pPr>
        <w:ind w:firstLine="360"/>
        <w:divId w:val="205987934"/>
        <w:rPr>
          <w:rFonts w:eastAsia="Times New Roman"/>
        </w:rPr>
      </w:pPr>
      <w:r>
        <w:rPr>
          <w:rFonts w:eastAsia="Times New Roman"/>
          <w:color w:val="000000"/>
          <w:sz w:val="20"/>
          <w:szCs w:val="20"/>
        </w:rPr>
        <w:t>Not applicable.</w:t>
      </w:r>
    </w:p>
    <w:p w:rsidR="00000000" w:rsidRDefault="00897B14">
      <w:pPr>
        <w:jc w:val="center"/>
        <w:divId w:val="1165196860"/>
        <w:rPr>
          <w:rFonts w:eastAsia="Times New Roman"/>
        </w:rPr>
      </w:pPr>
      <w:r>
        <w:rPr>
          <w:rFonts w:eastAsia="Times New Roman"/>
          <w:color w:val="000000"/>
          <w:sz w:val="20"/>
          <w:szCs w:val="20"/>
        </w:rPr>
        <w:t>118</w:t>
      </w:r>
    </w:p>
    <w:p w:rsidR="00000000" w:rsidRDefault="00897B14">
      <w:pPr>
        <w:rPr>
          <w:rFonts w:eastAsia="Times New Roman"/>
        </w:rPr>
      </w:pPr>
      <w:r>
        <w:rPr>
          <w:rFonts w:eastAsia="Times New Roman"/>
        </w:rPr>
        <w:pict>
          <v:rect id="_x0000_i1144" style="width:0;height:1.5pt" o:hralign="center" o:hrstd="t" o:hr="t" fillcolor="#a0a0a0" stroked="f"/>
        </w:pict>
      </w:r>
    </w:p>
    <w:p w:rsidR="00000000" w:rsidRDefault="00897B14">
      <w:pPr>
        <w:divId w:val="545800593"/>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1534001517"/>
        <w:rPr>
          <w:rFonts w:eastAsia="Times New Roman"/>
        </w:rPr>
      </w:pPr>
      <w:r>
        <w:rPr>
          <w:rFonts w:eastAsia="Times New Roman"/>
          <w:b/>
          <w:bCs/>
          <w:color w:val="000000"/>
          <w:sz w:val="20"/>
          <w:szCs w:val="20"/>
        </w:rPr>
        <w:t xml:space="preserve">Item 5.      Other Information </w:t>
      </w:r>
    </w:p>
    <w:p w:rsidR="00000000" w:rsidRDefault="00897B14">
      <w:pPr>
        <w:ind w:firstLine="360"/>
        <w:divId w:val="1072702643"/>
        <w:rPr>
          <w:rFonts w:eastAsia="Times New Roman"/>
        </w:rPr>
      </w:pPr>
      <w:r>
        <w:rPr>
          <w:rFonts w:eastAsia="Times New Roman"/>
          <w:color w:val="000000"/>
          <w:sz w:val="20"/>
          <w:szCs w:val="20"/>
        </w:rPr>
        <w:t>None.</w:t>
      </w:r>
    </w:p>
    <w:p w:rsidR="00000000" w:rsidRDefault="00897B14">
      <w:pPr>
        <w:jc w:val="center"/>
        <w:divId w:val="96751861"/>
        <w:rPr>
          <w:rFonts w:eastAsia="Times New Roman"/>
        </w:rPr>
      </w:pPr>
      <w:r>
        <w:rPr>
          <w:rFonts w:eastAsia="Times New Roman"/>
          <w:color w:val="000000"/>
          <w:sz w:val="20"/>
          <w:szCs w:val="20"/>
        </w:rPr>
        <w:t>119</w:t>
      </w:r>
    </w:p>
    <w:p w:rsidR="00000000" w:rsidRDefault="00897B14">
      <w:pPr>
        <w:rPr>
          <w:rFonts w:eastAsia="Times New Roman"/>
        </w:rPr>
      </w:pPr>
      <w:r>
        <w:rPr>
          <w:rFonts w:eastAsia="Times New Roman"/>
        </w:rPr>
        <w:pict>
          <v:rect id="_x0000_i1145" style="width:0;height:1.5pt" o:hralign="center" o:hrstd="t" o:hr="t" fillcolor="#a0a0a0" stroked="f"/>
        </w:pict>
      </w:r>
    </w:p>
    <w:p w:rsidR="00000000" w:rsidRDefault="00897B14">
      <w:pPr>
        <w:divId w:val="144298924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divId w:val="207959297"/>
        <w:rPr>
          <w:rFonts w:eastAsia="Times New Roman"/>
        </w:rPr>
      </w:pPr>
      <w:r>
        <w:rPr>
          <w:rFonts w:eastAsia="Times New Roman"/>
          <w:b/>
          <w:bCs/>
          <w:color w:val="000000"/>
          <w:sz w:val="20"/>
          <w:szCs w:val="20"/>
        </w:rPr>
        <w:t xml:space="preserve">Item 6.     Exhibits </w:t>
      </w:r>
    </w:p>
    <w:tbl>
      <w:tblPr>
        <w:tblW w:w="5000" w:type="pct"/>
        <w:tblCellMar>
          <w:top w:w="15" w:type="dxa"/>
          <w:left w:w="15" w:type="dxa"/>
          <w:bottom w:w="15" w:type="dxa"/>
          <w:right w:w="15" w:type="dxa"/>
        </w:tblCellMar>
        <w:tblLook w:val="04A0" w:firstRow="1" w:lastRow="0" w:firstColumn="1" w:lastColumn="0" w:noHBand="0" w:noVBand="1"/>
      </w:tblPr>
      <w:tblGrid>
        <w:gridCol w:w="84"/>
        <w:gridCol w:w="688"/>
        <w:gridCol w:w="36"/>
        <w:gridCol w:w="37"/>
        <w:gridCol w:w="123"/>
        <w:gridCol w:w="36"/>
        <w:gridCol w:w="39"/>
        <w:gridCol w:w="7189"/>
        <w:gridCol w:w="38"/>
        <w:gridCol w:w="36"/>
      </w:tblGrid>
      <w:tr w:rsidR="00000000">
        <w:trPr>
          <w:divId w:val="1438141202"/>
        </w:trPr>
        <w:tc>
          <w:tcPr>
            <w:tcW w:w="50" w:type="pct"/>
            <w:vAlign w:val="center"/>
            <w:hideMark/>
          </w:tcPr>
          <w:p w:rsidR="00000000" w:rsidRDefault="00897B14">
            <w:pPr>
              <w:rPr>
                <w:rFonts w:eastAsia="Times New Roman"/>
              </w:rPr>
            </w:pPr>
          </w:p>
        </w:tc>
        <w:tc>
          <w:tcPr>
            <w:tcW w:w="412"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70"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439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0" w:type="auto"/>
            <w:vAlign w:val="center"/>
            <w:hideMark/>
          </w:tcPr>
          <w:p w:rsidR="00000000" w:rsidRDefault="00897B14">
            <w:pPr>
              <w:spacing w:after="100"/>
              <w:rPr>
                <w:rFonts w:eastAsia="Times New Roman"/>
                <w:sz w:val="20"/>
                <w:szCs w:val="20"/>
              </w:rPr>
            </w:pPr>
          </w:p>
        </w:tc>
      </w:tr>
      <w:tr w:rsidR="00000000">
        <w:trPr>
          <w:divId w:val="1438141202"/>
        </w:trPr>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jc w:val="center"/>
              <w:rPr>
                <w:rFonts w:eastAsia="Times New Roman"/>
              </w:rPr>
            </w:pPr>
            <w:r>
              <w:rPr>
                <w:rFonts w:eastAsia="Times New Roman"/>
                <w:b/>
                <w:bCs/>
                <w:color w:val="000000"/>
                <w:sz w:val="16"/>
                <w:szCs w:val="16"/>
              </w:rPr>
              <w:t>Description and Method of Filing</w:t>
            </w:r>
          </w:p>
        </w:tc>
        <w:tc>
          <w:tcPr>
            <w:tcW w:w="0" w:type="auto"/>
            <w:vAlign w:val="center"/>
            <w:hideMark/>
          </w:tcPr>
          <w:p w:rsidR="00000000" w:rsidRDefault="00897B14">
            <w:pPr>
              <w:spacing w:after="100"/>
              <w:jc w:val="center"/>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6"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Amended and Restated Revolving Credit Agreement, dated as of June 24, 2021, by and among the Company, the Subsidiary Account Parties party thereto</w:t>
            </w:r>
            <w:r>
              <w:rPr>
                <w:rFonts w:eastAsia="Times New Roman"/>
                <w:color w:val="000000"/>
                <w:sz w:val="20"/>
                <w:szCs w:val="20"/>
              </w:rPr>
              <w:t>, the banks party thereto and JPMorgan Chase Bank, N.A., as Administrative Agent (incorporated by reference to Exhibit 10.1 to our Form 8-K filed on June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7" w:history="1">
              <w:r>
                <w:rPr>
                  <w:rStyle w:val="a3"/>
                  <w:rFonts w:eastAsia="Times New Roman"/>
                  <w:sz w:val="20"/>
                  <w:szCs w:val="20"/>
                </w:rPr>
                <w:t>10.2</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Amendment No. 2 to Reimbursement Agreement by and among Equitable Holdings, Inc., the Subsidiary Account Parties (as defined therein) party theret</w:t>
            </w:r>
            <w:r>
              <w:rPr>
                <w:rFonts w:eastAsia="Times New Roman"/>
                <w:color w:val="000000"/>
                <w:sz w:val="20"/>
                <w:szCs w:val="20"/>
              </w:rPr>
              <w:t>o and Natixis, New York Branch (incorporated by reference to Exhibit 10.2 to our Form 8-K filed on June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8" w:history="1">
              <w:r>
                <w:rPr>
                  <w:rStyle w:val="a3"/>
                  <w:rFonts w:eastAsia="Times New Roman"/>
                  <w:sz w:val="20"/>
                  <w:szCs w:val="20"/>
                </w:rPr>
                <w:t>10.3</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 xml:space="preserve">Amendment No. 2 to Reimbursement Agreement by and among Equitable Holdings, Inc., the Subsidiary Account Parties (as defined therein) party thereto and HSBC Bank USA, National Association (incorporated by reference to Exhibit 10.3 to our Form 8-K filed on </w:t>
            </w:r>
            <w:r>
              <w:rPr>
                <w:rFonts w:eastAsia="Times New Roman"/>
                <w:color w:val="000000"/>
                <w:sz w:val="20"/>
                <w:szCs w:val="20"/>
              </w:rPr>
              <w:t>June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9"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Amendment No. 2 to Reimbursement Agreement by and among Equitable Holdings, Inc., the Subsidiary Account Parties (as defined</w:t>
            </w:r>
            <w:r>
              <w:rPr>
                <w:rFonts w:eastAsia="Times New Roman"/>
                <w:color w:val="000000"/>
                <w:sz w:val="20"/>
                <w:szCs w:val="20"/>
              </w:rPr>
              <w:t xml:space="preserve"> therein) party thereto and Citibank Europe PLC (incorporated by reference to Exhibit 10.4 to our Form 8-K filed on June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10"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Amendment No. 2 to Reimbursement Agreement by and among Equitable Holdings, Inc., the Subsidiary Account Parties (as defined therein) party thereto and Credit Agricole Corporate and Investment Bank (incorporated by reference to Exhibit 10.5 to our Form 8-K</w:t>
            </w:r>
            <w:r>
              <w:rPr>
                <w:rFonts w:eastAsia="Times New Roman"/>
                <w:color w:val="000000"/>
                <w:sz w:val="20"/>
                <w:szCs w:val="20"/>
              </w:rPr>
              <w:t xml:space="preserve"> filed on June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11"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Amendment No. 2 to Reimbursement Agreement by and among Equitable Holdings, Inc., the Subsidiary Account Parties (</w:t>
            </w:r>
            <w:r>
              <w:rPr>
                <w:rFonts w:eastAsia="Times New Roman"/>
                <w:color w:val="000000"/>
                <w:sz w:val="20"/>
                <w:szCs w:val="20"/>
              </w:rPr>
              <w:t>as defined therein) party thereto and Barclays Bank PLC (incorporated by reference to Exhibit 10.6 to our Form 8-K filed on June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12" w:history="1">
              <w:r>
                <w:rPr>
                  <w:rStyle w:val="a3"/>
                  <w:rFonts w:eastAsia="Times New Roman"/>
                  <w:sz w:val="20"/>
                  <w:szCs w:val="20"/>
                </w:rPr>
                <w:t>10.7</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 xml:space="preserve">Amendment No. 2 to Reimbursement Agreement by and among Equitable Holdings, Inc., the Subsidiary Account Parties (as defined therein) party thereto and JPMorgan Chase Bank, N.A. (incorporated by reference to Exhibit 10.7 to our Form 8-K filed on June 29, </w:t>
            </w:r>
            <w:r>
              <w:rPr>
                <w:rFonts w:eastAsia="Times New Roman"/>
                <w:color w:val="000000"/>
                <w:sz w:val="20"/>
                <w:szCs w:val="20"/>
              </w:rPr>
              <w:t>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13" w:history="1">
              <w:r>
                <w:rPr>
                  <w:rStyle w:val="a3"/>
                  <w:rFonts w:eastAsia="Times New Roman"/>
                  <w:sz w:val="20"/>
                  <w:szCs w:val="20"/>
                </w:rPr>
                <w:t>10.8</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 xml:space="preserve">Third Amendment to Reimbursement Agreement by and among Equitable Holdings, Inc., the Subsidiary Account Parties (as defined therein) party thereto and Landesbank Hessen-Thüringen Girozentrale, acting through its New York Branch (incorporated by reference </w:t>
            </w:r>
            <w:r>
              <w:rPr>
                <w:rFonts w:eastAsia="Times New Roman"/>
                <w:color w:val="000000"/>
                <w:sz w:val="20"/>
                <w:szCs w:val="20"/>
              </w:rPr>
              <w:t>to Exhibit 10.8 to our Form 8-K filed on June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14" w:history="1">
              <w:r>
                <w:rPr>
                  <w:rStyle w:val="a3"/>
                  <w:rFonts w:eastAsia="Times New Roman"/>
                  <w:sz w:val="20"/>
                  <w:szCs w:val="20"/>
                </w:rPr>
                <w:t>10.9</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Amendment No. 2 to Reimbursement Agreement by and among Equitable Holdings, Inc., the Subsidiary Account Parties (as defined therein) party thereto and Commerzbank AG, New York Branch (incorporated by reference to Exhibit 10.9 to our Form 8-K filed on June</w:t>
            </w:r>
            <w:r>
              <w:rPr>
                <w:rFonts w:eastAsia="Times New Roman"/>
                <w:color w:val="000000"/>
                <w:sz w:val="20"/>
                <w:szCs w:val="20"/>
              </w:rPr>
              <w:t xml:space="preserve"> 29,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hyperlink r:id="rId15" w:history="1">
              <w:r>
                <w:rPr>
                  <w:rStyle w:val="a3"/>
                  <w:rFonts w:eastAsia="Times New Roman"/>
                  <w:sz w:val="20"/>
                  <w:szCs w:val="20"/>
                </w:rPr>
                <w:t>10.10</w:t>
              </w:r>
            </w:hyperlink>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Coinsurance and Modified Coinsurance Agreement, dated as of June 1, 2021, between Equitable Financial Life Insurance Company an</w:t>
            </w:r>
            <w:r>
              <w:rPr>
                <w:rFonts w:eastAsia="Times New Roman"/>
                <w:color w:val="000000"/>
                <w:sz w:val="20"/>
                <w:szCs w:val="20"/>
              </w:rPr>
              <w:t>d Corporate Solutions Life Reinsurance Company (redacted) (incorporated by reference to Exhibit 10.1 to the Current Report on Form 8-K filed by Equitable Financial Life Insurance Company on June 1, 2021).</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divId w:val="2120220742"/>
              <w:rPr>
                <w:rFonts w:eastAsia="Times New Roman"/>
              </w:rPr>
            </w:pPr>
            <w:hyperlink r:id="rId16"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Certification of the Registrant’s Chief Executive Officer pursuant to Section 302 of the Sarbanes-Oxley Act of 2002</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divId w:val="218903211"/>
              <w:rPr>
                <w:rFonts w:eastAsia="Times New Roman"/>
              </w:rPr>
            </w:pPr>
            <w:hyperlink r:id="rId17"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Certification of the Registran</w:t>
            </w:r>
            <w:r>
              <w:rPr>
                <w:rFonts w:eastAsia="Times New Roman"/>
                <w:color w:val="000000"/>
                <w:sz w:val="20"/>
                <w:szCs w:val="20"/>
              </w:rPr>
              <w:t>t’s Chief Financial Officer pursuant to Section 302 of the Sarbanes-Oxley Act of 2002</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divId w:val="1394700194"/>
              <w:rPr>
                <w:rFonts w:eastAsia="Times New Roman"/>
              </w:rPr>
            </w:pPr>
            <w:hyperlink r:id="rId18"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divId w:val="1173687848"/>
              <w:rPr>
                <w:rFonts w:eastAsia="Times New Roman"/>
              </w:rPr>
            </w:pPr>
            <w:hyperlink r:id="rId19" w:history="1">
              <w:r>
                <w:rPr>
                  <w:rStyle w:val="a3"/>
                  <w:rFonts w:eastAsia="Times New Roman"/>
                  <w:sz w:val="20"/>
                  <w:szCs w:val="20"/>
                </w:rPr>
                <w:t>32.2</w:t>
              </w:r>
            </w:hyperlink>
          </w:p>
        </w:tc>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906 of the Sarbanes-Oxley Act of 2002</w:t>
            </w:r>
          </w:p>
        </w:tc>
        <w:tc>
          <w:tcPr>
            <w:tcW w:w="0" w:type="auto"/>
            <w:vAlign w:val="center"/>
            <w:hideMark/>
          </w:tcPr>
          <w:p w:rsidR="00000000" w:rsidRDefault="00897B14">
            <w:pPr>
              <w:spacing w:after="100"/>
              <w:jc w:val="both"/>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w:t>
            </w:r>
            <w:r>
              <w:rPr>
                <w:rFonts w:eastAsia="Times New Roman"/>
                <w:color w:val="000000"/>
                <w:sz w:val="20"/>
                <w:szCs w:val="20"/>
              </w:rPr>
              <w:t>ument.</w:t>
            </w:r>
          </w:p>
        </w:tc>
        <w:tc>
          <w:tcPr>
            <w:tcW w:w="0" w:type="auto"/>
            <w:vAlign w:val="center"/>
            <w:hideMark/>
          </w:tcPr>
          <w:p w:rsidR="00000000" w:rsidRDefault="00897B14">
            <w:pPr>
              <w:spacing w:after="100"/>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Inline XBRL Taxonomy Extension Schema Document</w:t>
            </w:r>
          </w:p>
        </w:tc>
        <w:tc>
          <w:tcPr>
            <w:tcW w:w="0" w:type="auto"/>
            <w:vAlign w:val="center"/>
            <w:hideMark/>
          </w:tcPr>
          <w:p w:rsidR="00000000" w:rsidRDefault="00897B14">
            <w:pPr>
              <w:spacing w:after="100"/>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Inline XBRL Taxonomy Extension Calculation Linkbase Document</w:t>
            </w:r>
          </w:p>
        </w:tc>
        <w:tc>
          <w:tcPr>
            <w:tcW w:w="0" w:type="auto"/>
            <w:vAlign w:val="center"/>
            <w:hideMark/>
          </w:tcPr>
          <w:p w:rsidR="00000000" w:rsidRDefault="00897B14">
            <w:pPr>
              <w:spacing w:after="100"/>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Inline XBRL Taxonomy Extension Label Linkbase Document</w:t>
            </w:r>
          </w:p>
        </w:tc>
        <w:tc>
          <w:tcPr>
            <w:tcW w:w="0" w:type="auto"/>
            <w:vAlign w:val="center"/>
            <w:hideMark/>
          </w:tcPr>
          <w:p w:rsidR="00000000" w:rsidRDefault="00897B14">
            <w:pPr>
              <w:spacing w:after="100"/>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Inline XBRL Taxonomy Extension Presentation Linkbase Document</w:t>
            </w:r>
          </w:p>
        </w:tc>
        <w:tc>
          <w:tcPr>
            <w:tcW w:w="0" w:type="auto"/>
            <w:vAlign w:val="center"/>
            <w:hideMark/>
          </w:tcPr>
          <w:p w:rsidR="00000000" w:rsidRDefault="00897B14">
            <w:pPr>
              <w:spacing w:after="100"/>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Inline XBRL Taxonomy Extension Definition Linkbase Document</w:t>
            </w:r>
          </w:p>
        </w:tc>
        <w:tc>
          <w:tcPr>
            <w:tcW w:w="0" w:type="auto"/>
            <w:vAlign w:val="center"/>
            <w:hideMark/>
          </w:tcPr>
          <w:p w:rsidR="00000000" w:rsidRDefault="00897B14">
            <w:pPr>
              <w:spacing w:after="100"/>
              <w:rPr>
                <w:rFonts w:eastAsia="Times New Roman"/>
              </w:rPr>
            </w:pPr>
          </w:p>
        </w:tc>
      </w:tr>
      <w:tr w:rsidR="00000000">
        <w:trPr>
          <w:divId w:val="1438141202"/>
        </w:trPr>
        <w:tc>
          <w:tcPr>
            <w:tcW w:w="0" w:type="auto"/>
            <w:gridSpan w:val="3"/>
            <w:tcMar>
              <w:top w:w="30" w:type="dxa"/>
              <w:left w:w="20" w:type="dxa"/>
              <w:bottom w:w="30" w:type="dxa"/>
              <w:right w:w="20" w:type="dxa"/>
            </w:tcMar>
            <w:hideMark/>
          </w:tcPr>
          <w:p w:rsidR="00000000" w:rsidRDefault="00897B14">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897B1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Cover Page Interactive Data File (formatted in Inline XBRL and contained in Exhibits 101).</w:t>
            </w:r>
          </w:p>
        </w:tc>
        <w:tc>
          <w:tcPr>
            <w:tcW w:w="0" w:type="auto"/>
            <w:vAlign w:val="center"/>
            <w:hideMark/>
          </w:tcPr>
          <w:p w:rsidR="00000000" w:rsidRDefault="00897B14">
            <w:pPr>
              <w:spacing w:after="100"/>
              <w:rPr>
                <w:rFonts w:eastAsia="Times New Roman"/>
              </w:rPr>
            </w:pPr>
          </w:p>
        </w:tc>
      </w:tr>
    </w:tbl>
    <w:p w:rsidR="00000000" w:rsidRDefault="00897B14">
      <w:pPr>
        <w:ind w:hanging="360"/>
        <w:divId w:val="394166194"/>
        <w:rPr>
          <w:rFonts w:eastAsia="Times New Roman"/>
        </w:rPr>
      </w:pPr>
      <w:r>
        <w:rPr>
          <w:rFonts w:eastAsia="Times New Roman"/>
          <w:color w:val="000000"/>
          <w:sz w:val="18"/>
          <w:szCs w:val="18"/>
        </w:rPr>
        <w:t>______________</w:t>
      </w:r>
    </w:p>
    <w:p w:rsidR="00000000" w:rsidRDefault="00897B14">
      <w:pPr>
        <w:ind w:hanging="360"/>
        <w:divId w:val="7215114"/>
        <w:rPr>
          <w:rFonts w:eastAsia="Times New Roman"/>
        </w:rPr>
      </w:pPr>
      <w:r>
        <w:rPr>
          <w:rFonts w:eastAsia="Times New Roman"/>
          <w:color w:val="000000"/>
          <w:sz w:val="18"/>
          <w:szCs w:val="18"/>
        </w:rPr>
        <w:t>#    Filed herewith.</w:t>
      </w:r>
    </w:p>
    <w:p w:rsidR="00000000" w:rsidRDefault="00897B14">
      <w:pPr>
        <w:jc w:val="center"/>
        <w:divId w:val="1071194254"/>
        <w:rPr>
          <w:rFonts w:eastAsia="Times New Roman"/>
        </w:rPr>
      </w:pPr>
      <w:r>
        <w:rPr>
          <w:rFonts w:eastAsia="Times New Roman"/>
          <w:b/>
          <w:bCs/>
          <w:color w:val="000000"/>
          <w:sz w:val="20"/>
          <w:szCs w:val="20"/>
        </w:rPr>
        <w:t>GLOSSARY</w:t>
      </w:r>
    </w:p>
    <w:p w:rsidR="00000000" w:rsidRDefault="00897B14">
      <w:pPr>
        <w:divId w:val="10301375"/>
        <w:rPr>
          <w:rFonts w:eastAsia="Times New Roman"/>
        </w:rPr>
      </w:pPr>
      <w:r>
        <w:rPr>
          <w:rFonts w:eastAsia="Times New Roman"/>
          <w:b/>
          <w:bCs/>
          <w:color w:val="000000"/>
          <w:sz w:val="20"/>
          <w:szCs w:val="20"/>
        </w:rPr>
        <w:t>Selected Financial Terms</w:t>
      </w:r>
    </w:p>
    <w:p w:rsidR="00000000" w:rsidRDefault="00897B14">
      <w:pPr>
        <w:jc w:val="center"/>
        <w:divId w:val="1420709457"/>
        <w:rPr>
          <w:rFonts w:eastAsia="Times New Roman"/>
        </w:rPr>
      </w:pPr>
      <w:r>
        <w:rPr>
          <w:rFonts w:eastAsia="Times New Roman"/>
          <w:color w:val="000000"/>
          <w:sz w:val="20"/>
          <w:szCs w:val="20"/>
        </w:rPr>
        <w:t>120</w:t>
      </w:r>
    </w:p>
    <w:p w:rsidR="00000000" w:rsidRDefault="00897B14">
      <w:pPr>
        <w:rPr>
          <w:rFonts w:eastAsia="Times New Roman"/>
        </w:rPr>
      </w:pPr>
      <w:r>
        <w:rPr>
          <w:rFonts w:eastAsia="Times New Roman"/>
        </w:rPr>
        <w:pict>
          <v:rect id="_x0000_i1146" style="width:0;height:1.5pt" o:hralign="center" o:hrstd="t" o:hr="t" fillcolor="#a0a0a0" stroked="f"/>
        </w:pict>
      </w:r>
    </w:p>
    <w:p w:rsidR="00000000" w:rsidRDefault="00897B14">
      <w:pPr>
        <w:divId w:val="185294298"/>
        <w:rPr>
          <w:rFonts w:eastAsia="Times New Roman"/>
        </w:rPr>
      </w:pPr>
      <w:hyperlink w:anchor="i4720991a3d574ba2ab7d34b235a82556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76446282"/>
          <w:jc w:val="center"/>
        </w:trPr>
        <w:tc>
          <w:tcPr>
            <w:tcW w:w="50" w:type="pct"/>
            <w:vAlign w:val="center"/>
            <w:hideMark/>
          </w:tcPr>
          <w:p w:rsidR="00000000" w:rsidRDefault="00897B14">
            <w:pP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897B14">
            <w:pPr>
              <w:spacing w:after="100"/>
              <w:divId w:val="1690179472"/>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protection businesses. Total AUM reflects exclusions bet</w:t>
            </w:r>
            <w:r>
              <w:rPr>
                <w:rFonts w:eastAsia="Times New Roman"/>
                <w:color w:val="000000"/>
                <w:sz w:val="20"/>
                <w:szCs w:val="20"/>
              </w:rPr>
              <w:t>ween segments to avoid double counting.</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Calculated as the overall aggregate RBC ratio for the Company’s insurance subsidiaries including capital held for its life insurance and variable annuity liabilities and non-variable an</w:t>
            </w:r>
            <w:r>
              <w:rPr>
                <w:rFonts w:eastAsia="Times New Roman"/>
                <w:color w:val="000000"/>
                <w:sz w:val="20"/>
                <w:szCs w:val="20"/>
              </w:rPr>
              <w:t>nuity insurance liabilities.</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897B14">
            <w:pPr>
              <w:spacing w:after="100"/>
              <w:divId w:val="2085451482"/>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Represent amounts that are credited to a policyholder’</w:t>
            </w:r>
            <w:r>
              <w:rPr>
                <w:rFonts w:eastAsia="Times New Roman"/>
                <w:color w:val="000000"/>
                <w:sz w:val="20"/>
                <w:szCs w:val="20"/>
              </w:rPr>
              <w:t>s account balance that are higher than the expected crediting rates on similar contracts without such an inducement and that are an incentive to purchase a contract and also meet the accounting criteria to be deferred as an asset that is amortized over the</w:t>
            </w:r>
            <w:r>
              <w:rPr>
                <w:rFonts w:eastAsia="Times New Roman"/>
                <w:color w:val="000000"/>
                <w:sz w:val="20"/>
                <w:szCs w:val="20"/>
              </w:rPr>
              <w:t xml:space="preserve"> life of the contract.</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tax deduction under U.S. federal income tax law received by a corporation on the dividends it receives from other corporations in which it has an ownership stake.</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Revenue from fees and related items, including policy charges and fee income, premiums, investment management and service fees, and other income.</w:t>
            </w:r>
          </w:p>
        </w:tc>
      </w:tr>
      <w:tr w:rsidR="00000000">
        <w:trPr>
          <w:divId w:val="76446282"/>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76446282"/>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Gross Premiums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FYP and Renewal premium and deposits.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897B14">
            <w:pPr>
              <w:jc w:val="cente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Equals the aggregate value of Policyholders’ account balances and Future policy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Insurance policies purchased by insurers to limit the total loss they would experience from a</w:t>
            </w:r>
            <w:r>
              <w:rPr>
                <w:rFonts w:eastAsia="Times New Roman"/>
                <w:color w:val="000000"/>
                <w:sz w:val="20"/>
                <w:szCs w:val="20"/>
              </w:rPr>
              <w:t>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Rules to determine insurance company statutory capital requirements. It is based on rules published by the National Association of Insurance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Primarily consists of capital and surplus, and 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tax-deferred retirement savings plan sponsored by an employer. 401(k) refers to the section of the Internal Revenue Code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A tax-deferred retirement savings </w:t>
            </w:r>
            <w:r>
              <w:rPr>
                <w:rFonts w:eastAsia="Times New Roman"/>
                <w:color w:val="000000"/>
                <w:sz w:val="20"/>
                <w:szCs w:val="20"/>
              </w:rPr>
              <w:t>plan available to certain employees of public schools and certain tax-exempt organizations. 403(b) refers to the section of the Code pursuant to which these plans are established.</w:t>
            </w:r>
          </w:p>
        </w:tc>
      </w:tr>
    </w:tbl>
    <w:p w:rsidR="00000000" w:rsidRDefault="00897B14">
      <w:pPr>
        <w:jc w:val="center"/>
        <w:divId w:val="520121302"/>
        <w:rPr>
          <w:rFonts w:eastAsia="Times New Roman"/>
        </w:rPr>
      </w:pPr>
      <w:r>
        <w:rPr>
          <w:rFonts w:eastAsia="Times New Roman"/>
          <w:color w:val="000000"/>
          <w:sz w:val="20"/>
          <w:szCs w:val="20"/>
        </w:rPr>
        <w:t>121</w:t>
      </w:r>
    </w:p>
    <w:p w:rsidR="00000000" w:rsidRDefault="00897B14">
      <w:pPr>
        <w:rPr>
          <w:rFonts w:eastAsia="Times New Roman"/>
        </w:rPr>
      </w:pPr>
      <w:r>
        <w:rPr>
          <w:rFonts w:eastAsia="Times New Roman"/>
        </w:rPr>
        <w:pict>
          <v:rect id="_x0000_i1147" style="width:0;height:1.5pt" o:hralign="center" o:hrstd="t" o:hr="t" fillcolor="#a0a0a0" stroked="f"/>
        </w:pict>
      </w:r>
    </w:p>
    <w:p w:rsidR="00000000" w:rsidRDefault="00897B14">
      <w:pPr>
        <w:divId w:val="228466589"/>
        <w:rPr>
          <w:rFonts w:eastAsia="Times New Roman"/>
        </w:rPr>
      </w:pPr>
      <w:hyperlink w:anchor="i4720991a3d574ba2ab7d34b235a82556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897B14">
            <w:pP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Refers to individuals with $250,000 to $999,999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The person who receives annuity payments or the person whose life expectancy determines the amount of variable annuity payments upon annuitization of an annuity to be paid for life.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The process of converting an annuity investment </w:t>
            </w:r>
            <w:r>
              <w:rPr>
                <w:rFonts w:eastAsia="Times New Roman"/>
                <w:color w:val="000000"/>
                <w:sz w:val="20"/>
                <w:szCs w:val="20"/>
              </w:rPr>
              <w:t>into a series of periodic income payments, generally for life.</w:t>
            </w:r>
          </w:p>
        </w:tc>
      </w:tr>
    </w:tbl>
    <w:p w:rsidR="00000000" w:rsidRDefault="00897B1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jc w:val="center"/>
        </w:trPr>
        <w:tc>
          <w:tcPr>
            <w:tcW w:w="50" w:type="pct"/>
            <w:vAlign w:val="center"/>
            <w:hideMark/>
          </w:tcPr>
          <w:p w:rsidR="00000000" w:rsidRDefault="00897B14">
            <w:pPr>
              <w:jc w:val="cente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notional amount (not actual cash value) used to calculate the owner’</w:t>
            </w:r>
            <w:r>
              <w:rPr>
                <w:rFonts w:eastAsia="Times New Roman"/>
                <w:color w:val="000000"/>
                <w:sz w:val="20"/>
                <w:szCs w:val="20"/>
              </w:rPr>
              <w:t>s guaranteed benefits within an annuity contract. The death benefit and living benefit within the same contract may not have the same benefit base.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The amount an insurance company pays (minus any surrender charge) to the policyholder when the contract or policy is voluntarily terminated prematurely.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method of calculating the reduction of a variable annuity be</w:t>
            </w:r>
            <w:r>
              <w:rPr>
                <w:rFonts w:eastAsia="Times New Roman"/>
                <w:color w:val="000000"/>
                <w:sz w:val="20"/>
                <w:szCs w:val="20"/>
              </w:rPr>
              <w:t>nefit base after a withdrawal in which the benefit is reduced by one dollar for every dollar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Future policy benefits for the annuities business are comprised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w:t>
            </w:r>
            <w:r>
              <w:rPr>
                <w:rFonts w:eastAsia="Times New Roman"/>
                <w:color w:val="000000"/>
                <w:sz w:val="20"/>
                <w:szCs w:val="20"/>
              </w:rPr>
              <w:t>e business are comprised mainly of liabilities for traditional life and certain liabilities for universal and variable life insurance contracts (other than the Policyholders’ account balance).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The invested a</w:t>
            </w:r>
            <w:r>
              <w:rPr>
                <w:rFonts w:eastAsia="Times New Roman"/>
                <w:color w:val="000000"/>
                <w:sz w:val="20"/>
                <w:szCs w:val="20"/>
              </w:rPr>
              <w:t>ssets held in the General Account.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general reference to all forms of variable annuity guaranteed benefits, including gu</w:t>
            </w:r>
            <w:r>
              <w:rPr>
                <w:rFonts w:eastAsia="Times New Roman"/>
                <w:color w:val="000000"/>
                <w:sz w:val="20"/>
                <w:szCs w:val="20"/>
              </w:rPr>
              <w:t>aranteed minimum living benefits, or GMLBs (such as GMIBs, GMWBs and GMABs), and guaranteed minimum death benefits, or GMDBs (inclusive of return of premium death benefit guarantees).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the contract AV falls to zero.</w:t>
            </w:r>
          </w:p>
        </w:tc>
      </w:tr>
    </w:tbl>
    <w:p w:rsidR="00000000" w:rsidRDefault="00897B1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897B14">
            <w:pPr>
              <w:jc w:val="cente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benefit base, which could be greater than the underlying AV, upon the death of the annuitant.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Guara</w:t>
            </w:r>
            <w:r>
              <w:rPr>
                <w:rFonts w:eastAsia="Times New Roman"/>
                <w:color w:val="000000"/>
                <w:sz w:val="20"/>
                <w:szCs w:val="20"/>
              </w:rPr>
              <w:t>nteed minimum income benefits (“GMIB”)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w:t>
            </w:r>
            <w:r>
              <w:rPr>
                <w:rFonts w:eastAsia="Times New Roman"/>
                <w:color w:val="000000"/>
                <w:sz w:val="20"/>
                <w:szCs w:val="20"/>
              </w:rPr>
              <w:t>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Guaranteed minimum living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 optional benefit (available for an additional cost) where an annuitant</w:t>
            </w:r>
            <w:r>
              <w:rPr>
                <w:rFonts w:eastAsia="Times New Roman"/>
                <w:color w:val="000000"/>
                <w:sz w:val="20"/>
                <w:szCs w:val="20"/>
              </w:rPr>
              <w:t xml:space="preserve"> is entitled to withdraw a maximum amount of their benefit base each year, for which cumulative payments to the annuitant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Guaranteed Universal Life (“GUL”)</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Guaranteed withdrawal benefit for life (“GWBL”</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 account performance.</w:t>
            </w:r>
          </w:p>
        </w:tc>
      </w:tr>
    </w:tbl>
    <w:p w:rsidR="00000000" w:rsidRDefault="00897B14">
      <w:pPr>
        <w:jc w:val="center"/>
        <w:divId w:val="1499467111"/>
        <w:rPr>
          <w:rFonts w:eastAsia="Times New Roman"/>
        </w:rPr>
      </w:pPr>
      <w:r>
        <w:rPr>
          <w:rFonts w:eastAsia="Times New Roman"/>
          <w:color w:val="000000"/>
          <w:sz w:val="20"/>
          <w:szCs w:val="20"/>
        </w:rPr>
        <w:t>122</w:t>
      </w:r>
    </w:p>
    <w:p w:rsidR="00000000" w:rsidRDefault="00897B14">
      <w:pPr>
        <w:rPr>
          <w:rFonts w:eastAsia="Times New Roman"/>
        </w:rPr>
      </w:pPr>
      <w:r>
        <w:rPr>
          <w:rFonts w:eastAsia="Times New Roman"/>
        </w:rPr>
        <w:pict>
          <v:rect id="_x0000_i1148" style="width:0;height:1.5pt" o:hralign="center" o:hrstd="t" o:hr="t" fillcolor="#a0a0a0" stroked="f"/>
        </w:pict>
      </w:r>
    </w:p>
    <w:p w:rsidR="00000000" w:rsidRDefault="00897B14">
      <w:pPr>
        <w:divId w:val="563873718"/>
        <w:rPr>
          <w:rFonts w:eastAsia="Times New Roman"/>
        </w:rPr>
      </w:pPr>
      <w:hyperlink w:anchor="i4720991a3d574ba2ab7d34b235a82556_10"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8"/>
        <w:gridCol w:w="37"/>
        <w:gridCol w:w="69"/>
        <w:gridCol w:w="5197"/>
        <w:gridCol w:w="37"/>
      </w:tblGrid>
      <w:tr w:rsidR="00000000">
        <w:trPr>
          <w:jc w:val="center"/>
        </w:trPr>
        <w:tc>
          <w:tcPr>
            <w:tcW w:w="50" w:type="pct"/>
            <w:vAlign w:val="center"/>
            <w:hideMark/>
          </w:tcPr>
          <w:p w:rsidR="00000000" w:rsidRDefault="00897B14">
            <w:pP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Refers to individuals with $1,000,000 or more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A permanent life insurance offering built on a universal life insurance framework that uses an equity-linked approach for generating policy investment returns.</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Optional benefits (available at an additional cost) that guarantee t</w:t>
            </w:r>
            <w:r>
              <w:rPr>
                <w:rFonts w:eastAsia="Times New Roman"/>
                <w:color w:val="000000"/>
                <w:sz w:val="20"/>
                <w:szCs w:val="20"/>
              </w:rPr>
              <w:t>hat the policyholder will get back at least his original investment when the money is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fee charged by insurance companies to compensate for the risk they take by issuing life insurance and variable annuity contracts.</w:t>
            </w:r>
          </w:p>
        </w:tc>
      </w:tr>
    </w:tbl>
    <w:p w:rsidR="00000000" w:rsidRDefault="00897B1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897B14">
            <w:pPr>
              <w:jc w:val="cente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897B14">
            <w:pPr>
              <w:spacing w:after="100"/>
              <w:divId w:val="1184589596"/>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 we determine which are inf</w:t>
            </w:r>
            <w:r>
              <w:rPr>
                <w:rFonts w:eastAsia="Times New Roman"/>
                <w:color w:val="000000"/>
                <w:sz w:val="20"/>
                <w:szCs w:val="20"/>
              </w:rPr>
              <w:t>luenced by current market rates, subject to specified minimums.</w:t>
            </w:r>
          </w:p>
          <w:p w:rsidR="00000000" w:rsidRDefault="00897B14">
            <w:pPr>
              <w:spacing w:after="100"/>
              <w:divId w:val="1113331886"/>
              <w:rPr>
                <w:rFonts w:eastAsia="Times New Roman"/>
              </w:rPr>
            </w:pPr>
            <w:r>
              <w:rPr>
                <w:rFonts w:eastAsia="Times New Roman"/>
                <w:color w:val="000000"/>
                <w:sz w:val="12"/>
                <w:szCs w:val="12"/>
              </w:rPr>
              <w:t> </w:t>
            </w:r>
          </w:p>
          <w:p w:rsidR="00000000" w:rsidRDefault="00897B14">
            <w:pPr>
              <w:spacing w:after="100"/>
              <w:divId w:val="1497645810"/>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life insurance policies. Interest is credited to the policyholder’s account at interest rates we determine which are i</w:t>
            </w:r>
            <w:r>
              <w:rPr>
                <w:rFonts w:eastAsia="Times New Roman"/>
                <w:color w:val="000000"/>
                <w:sz w:val="20"/>
                <w:szCs w:val="20"/>
              </w:rPr>
              <w:t>nfluenced by current market rates, subject to specified minimums.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 xml:space="preserve">This death benefit pays the greater of the account value at the time of a claim following the owner’s death or the total contributions to </w:t>
            </w:r>
            <w:r>
              <w:rPr>
                <w:rFonts w:eastAsia="Times New Roman"/>
                <w:color w:val="000000"/>
                <w:sz w:val="20"/>
                <w:szCs w:val="20"/>
              </w:rPr>
              <w:t>the contract (subject to adjustment for withdrawals). The charge for this benefit is usually included in the M&amp;E fee that is deducted daily from the net assets in each variable investment option. We also refer to this death benefit as the Return of Princip</w:t>
            </w:r>
            <w:r>
              <w:rPr>
                <w:rFonts w:eastAsia="Times New Roman"/>
                <w:color w:val="000000"/>
                <w:sz w:val="20"/>
                <w:szCs w:val="20"/>
              </w:rPr>
              <w:t>al death benefit.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An optional feature or benefit that a policyholder can purchase at an additional cost.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Refers to the separate account investment assets of our insurance subsidiaries excluding the assets held in those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rsidR="00000000" w:rsidRDefault="00897B14">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897B14">
            <w:pPr>
              <w:jc w:val="center"/>
              <w:rPr>
                <w:rFonts w:eastAsia="Times New Roman"/>
              </w:rPr>
            </w:pPr>
          </w:p>
        </w:tc>
        <w:tc>
          <w:tcPr>
            <w:tcW w:w="1753"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3136"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Represents annualized surrenders and withdrawals as a percentage of average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Life insurance products that provide a death benefit in return for payment of specified annual policy charges that are generally rela</w:t>
            </w:r>
            <w:r>
              <w:rPr>
                <w:rFonts w:eastAsia="Times New Roman"/>
                <w:color w:val="000000"/>
                <w:sz w:val="20"/>
                <w:szCs w:val="20"/>
              </w:rPr>
              <w:t>ted to specific costs, which may change over time. To the extent that the policyholder chooses to pay more than the charges required in any given year to keep the policy in-force, the excess premium will be placed into the AV of the policy and credited wit</w:t>
            </w:r>
            <w:r>
              <w:rPr>
                <w:rFonts w:eastAsia="Times New Roman"/>
                <w:color w:val="000000"/>
                <w:sz w:val="20"/>
                <w:szCs w:val="20"/>
              </w:rPr>
              <w:t>h a stated interest rate on a monthly basis.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type of annuity that offers guaranteed periodic payments for a defined period of time or for life and gives purchasers the ability to invest in various markets though the underlying investment options, which may result in potentially higher, but variable</w:t>
            </w:r>
            <w:r>
              <w:rPr>
                <w:rFonts w:eastAsia="Times New Roman"/>
                <w:color w:val="000000"/>
                <w:sz w:val="20"/>
                <w:szCs w:val="20"/>
              </w:rPr>
              <w:t>, returns.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options, the policyholder bears the entire risk and retur</w:t>
            </w:r>
            <w:r>
              <w:rPr>
                <w:rFonts w:eastAsia="Times New Roman"/>
                <w:color w:val="000000"/>
                <w:sz w:val="20"/>
                <w:szCs w:val="20"/>
              </w:rPr>
              <w:t>ns of the investment results.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897B14">
      <w:pPr>
        <w:jc w:val="center"/>
        <w:rPr>
          <w:rFonts w:eastAsia="Times New Roman"/>
        </w:rPr>
      </w:pPr>
    </w:p>
    <w:p w:rsidR="00000000" w:rsidRDefault="00897B14">
      <w:pPr>
        <w:jc w:val="center"/>
        <w:divId w:val="1895700516"/>
        <w:rPr>
          <w:rFonts w:eastAsia="Times New Roman"/>
        </w:rPr>
      </w:pPr>
      <w:r>
        <w:rPr>
          <w:rFonts w:eastAsia="Times New Roman"/>
          <w:color w:val="000000"/>
          <w:sz w:val="20"/>
          <w:szCs w:val="20"/>
        </w:rPr>
        <w:t>123</w:t>
      </w:r>
    </w:p>
    <w:p w:rsidR="00000000" w:rsidRDefault="00897B14">
      <w:pPr>
        <w:rPr>
          <w:rFonts w:eastAsia="Times New Roman"/>
        </w:rPr>
      </w:pPr>
      <w:r>
        <w:rPr>
          <w:rFonts w:eastAsia="Times New Roman"/>
        </w:rPr>
        <w:pict>
          <v:rect id="_x0000_i1149" style="width:0;height:1.5pt" o:hralign="center" o:hrstd="t" o:hr="t" fillcolor="#a0a0a0" stroked="f"/>
        </w:pict>
      </w:r>
    </w:p>
    <w:p w:rsidR="00000000" w:rsidRDefault="00897B14">
      <w:pPr>
        <w:divId w:val="1340624581"/>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456949246"/>
        <w:rPr>
          <w:rFonts w:eastAsia="Times New Roman"/>
        </w:rPr>
      </w:pPr>
      <w:r>
        <w:rPr>
          <w:rFonts w:eastAsia="Times New Roman"/>
          <w:b/>
          <w:bCs/>
          <w:color w:val="000000"/>
          <w:sz w:val="20"/>
          <w:szCs w:val="20"/>
        </w:rPr>
        <w:t>ACRONYMS</w:t>
      </w:r>
    </w:p>
    <w:p w:rsidR="00000000" w:rsidRDefault="00897B14">
      <w:pPr>
        <w:ind w:hanging="360"/>
        <w:jc w:val="both"/>
        <w:textAlignment w:val="top"/>
        <w:divId w:val="565920534"/>
        <w:rPr>
          <w:rFonts w:eastAsia="Times New Roman"/>
        </w:rPr>
      </w:pPr>
      <w:r>
        <w:rPr>
          <w:rFonts w:eastAsia="Times New Roman"/>
          <w:color w:val="000000"/>
          <w:sz w:val="20"/>
          <w:szCs w:val="20"/>
        </w:rPr>
        <w:t>•“AB” or “AllianceBernstein” means AB Holding and ABLP</w:t>
      </w:r>
    </w:p>
    <w:p w:rsidR="00000000" w:rsidRDefault="00897B14">
      <w:pPr>
        <w:ind w:hanging="360"/>
        <w:jc w:val="both"/>
        <w:textAlignment w:val="top"/>
        <w:divId w:val="1091049969"/>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rsidR="00000000" w:rsidRDefault="00897B14">
      <w:pPr>
        <w:ind w:hanging="360"/>
        <w:jc w:val="both"/>
        <w:textAlignment w:val="top"/>
        <w:divId w:val="1293905302"/>
        <w:rPr>
          <w:rFonts w:eastAsia="Times New Roman"/>
        </w:rPr>
      </w:pPr>
      <w:r>
        <w:rPr>
          <w:rFonts w:eastAsia="Times New Roman"/>
          <w:color w:val="000000"/>
          <w:sz w:val="20"/>
          <w:szCs w:val="20"/>
        </w:rPr>
        <w:t>•“AB Holding Units” means units representing assignments of beneficial ownership of limited partnership interests in AB Holding</w:t>
      </w:r>
    </w:p>
    <w:p w:rsidR="00000000" w:rsidRDefault="00897B14">
      <w:pPr>
        <w:ind w:hanging="360"/>
        <w:jc w:val="both"/>
        <w:textAlignment w:val="top"/>
        <w:divId w:val="898901919"/>
        <w:rPr>
          <w:rFonts w:eastAsia="Times New Roman"/>
        </w:rPr>
      </w:pPr>
      <w:r>
        <w:rPr>
          <w:rFonts w:eastAsia="Times New Roman"/>
          <w:color w:val="000000"/>
          <w:sz w:val="20"/>
          <w:szCs w:val="20"/>
        </w:rPr>
        <w:t>•“AB Units” means units of limited partnership interests in</w:t>
      </w:r>
      <w:r>
        <w:rPr>
          <w:rFonts w:eastAsia="Times New Roman"/>
          <w:color w:val="000000"/>
          <w:sz w:val="20"/>
          <w:szCs w:val="20"/>
        </w:rPr>
        <w:t xml:space="preserve"> ABLP</w:t>
      </w:r>
    </w:p>
    <w:p w:rsidR="00000000" w:rsidRDefault="00897B14">
      <w:pPr>
        <w:ind w:hanging="360"/>
        <w:jc w:val="both"/>
        <w:textAlignment w:val="top"/>
        <w:divId w:val="516309479"/>
        <w:rPr>
          <w:rFonts w:eastAsia="Times New Roman"/>
        </w:rPr>
      </w:pPr>
      <w:r>
        <w:rPr>
          <w:rFonts w:eastAsia="Times New Roman"/>
          <w:color w:val="000000"/>
          <w:sz w:val="20"/>
          <w:szCs w:val="20"/>
        </w:rPr>
        <w:t>•“ABLP” means AllianceBernstein L.P., a Delaware limited partnership and the operating partnership for the AB business</w:t>
      </w:r>
    </w:p>
    <w:p w:rsidR="00000000" w:rsidRDefault="00897B14">
      <w:pPr>
        <w:textAlignment w:val="top"/>
        <w:divId w:val="1302342949"/>
        <w:rPr>
          <w:rFonts w:eastAsia="Times New Roman"/>
        </w:rPr>
      </w:pPr>
      <w:r>
        <w:rPr>
          <w:rFonts w:eastAsia="Times New Roman"/>
          <w:color w:val="000000"/>
          <w:sz w:val="20"/>
          <w:szCs w:val="20"/>
        </w:rPr>
        <w:t>•“AFS” means available-for-sale</w:t>
      </w:r>
    </w:p>
    <w:p w:rsidR="00000000" w:rsidRDefault="00897B14">
      <w:pPr>
        <w:ind w:hanging="360"/>
        <w:textAlignment w:val="top"/>
        <w:divId w:val="2023431324"/>
        <w:rPr>
          <w:rFonts w:eastAsia="Times New Roman"/>
        </w:rPr>
      </w:pPr>
      <w:r>
        <w:rPr>
          <w:rFonts w:eastAsia="Times New Roman"/>
          <w:color w:val="000000"/>
          <w:sz w:val="20"/>
          <w:szCs w:val="20"/>
        </w:rPr>
        <w:t>•“AOCI” means accumulated other comprehensive income</w:t>
      </w:r>
    </w:p>
    <w:p w:rsidR="00000000" w:rsidRDefault="00897B14">
      <w:pPr>
        <w:ind w:hanging="360"/>
        <w:textAlignment w:val="top"/>
        <w:divId w:val="693307701"/>
        <w:rPr>
          <w:rFonts w:eastAsia="Times New Roman"/>
        </w:rPr>
      </w:pPr>
      <w:r>
        <w:rPr>
          <w:rFonts w:eastAsia="Times New Roman"/>
          <w:color w:val="000000"/>
          <w:sz w:val="20"/>
          <w:szCs w:val="20"/>
        </w:rPr>
        <w:t>•“ASC” means Accounting Standards Codification</w:t>
      </w:r>
    </w:p>
    <w:p w:rsidR="00000000" w:rsidRDefault="00897B14">
      <w:pPr>
        <w:ind w:hanging="360"/>
        <w:textAlignment w:val="top"/>
        <w:divId w:val="771900253"/>
        <w:rPr>
          <w:rFonts w:eastAsia="Times New Roman"/>
        </w:rPr>
      </w:pPr>
      <w:r>
        <w:rPr>
          <w:rFonts w:eastAsia="Times New Roman"/>
          <w:color w:val="000000"/>
          <w:sz w:val="20"/>
          <w:szCs w:val="20"/>
        </w:rPr>
        <w:t>•“ASR” means accelerated share repurchase</w:t>
      </w:r>
    </w:p>
    <w:p w:rsidR="00000000" w:rsidRDefault="00897B14">
      <w:pPr>
        <w:ind w:firstLine="360"/>
        <w:textAlignment w:val="top"/>
        <w:divId w:val="1651329858"/>
        <w:rPr>
          <w:rFonts w:eastAsia="Times New Roman"/>
        </w:rPr>
      </w:pPr>
      <w:r>
        <w:rPr>
          <w:rFonts w:eastAsia="Times New Roman"/>
          <w:color w:val="000000"/>
          <w:sz w:val="20"/>
          <w:szCs w:val="20"/>
        </w:rPr>
        <w:t>•“ASU” means Accounting Standards Update</w:t>
      </w:r>
    </w:p>
    <w:p w:rsidR="00000000" w:rsidRDefault="00897B14">
      <w:pPr>
        <w:ind w:hanging="360"/>
        <w:jc w:val="both"/>
        <w:textAlignment w:val="top"/>
        <w:divId w:val="931670527"/>
        <w:rPr>
          <w:rFonts w:eastAsia="Times New Roman"/>
        </w:rPr>
      </w:pPr>
      <w:r>
        <w:rPr>
          <w:rFonts w:eastAsia="Times New Roman"/>
          <w:color w:val="000000"/>
          <w:sz w:val="20"/>
          <w:szCs w:val="20"/>
        </w:rPr>
        <w:t xml:space="preserve">•“AUM” means assets under management </w:t>
      </w:r>
    </w:p>
    <w:p w:rsidR="00000000" w:rsidRDefault="00897B14">
      <w:pPr>
        <w:ind w:hanging="360"/>
        <w:jc w:val="both"/>
        <w:textAlignment w:val="top"/>
        <w:divId w:val="1026440357"/>
        <w:rPr>
          <w:rFonts w:eastAsia="Times New Roman"/>
        </w:rPr>
      </w:pPr>
      <w:r>
        <w:rPr>
          <w:rFonts w:eastAsia="Times New Roman"/>
          <w:color w:val="000000"/>
          <w:sz w:val="20"/>
          <w:szCs w:val="20"/>
        </w:rPr>
        <w:t>•“AUA” means assets under administration</w:t>
      </w:r>
    </w:p>
    <w:p w:rsidR="00000000" w:rsidRDefault="00897B14">
      <w:pPr>
        <w:textAlignment w:val="top"/>
        <w:divId w:val="787815655"/>
        <w:rPr>
          <w:rFonts w:eastAsia="Times New Roman"/>
        </w:rPr>
      </w:pPr>
      <w:r>
        <w:rPr>
          <w:rFonts w:eastAsia="Times New Roman"/>
          <w:color w:val="000000"/>
          <w:sz w:val="20"/>
          <w:szCs w:val="20"/>
        </w:rPr>
        <w:t>•“AV” means Account Value</w:t>
      </w:r>
    </w:p>
    <w:p w:rsidR="00000000" w:rsidRDefault="00897B14">
      <w:pPr>
        <w:ind w:hanging="360"/>
        <w:jc w:val="both"/>
        <w:textAlignment w:val="top"/>
        <w:divId w:val="1205944494"/>
        <w:rPr>
          <w:rFonts w:eastAsia="Times New Roman"/>
        </w:rPr>
      </w:pPr>
      <w:r>
        <w:rPr>
          <w:rFonts w:eastAsia="Times New Roman"/>
          <w:color w:val="000000"/>
          <w:sz w:val="20"/>
          <w:szCs w:val="20"/>
        </w:rPr>
        <w:t>•“AXA” means AXA S.A., a société anonyme organized under the laws o</w:t>
      </w:r>
      <w:r>
        <w:rPr>
          <w:rFonts w:eastAsia="Times New Roman"/>
          <w:color w:val="000000"/>
          <w:sz w:val="20"/>
          <w:szCs w:val="20"/>
        </w:rPr>
        <w:t>f France, and formerly our controlling stockholder</w:t>
      </w:r>
    </w:p>
    <w:p w:rsidR="00000000" w:rsidRDefault="00897B14">
      <w:pPr>
        <w:ind w:hanging="360"/>
        <w:textAlignment w:val="top"/>
        <w:divId w:val="2030141400"/>
        <w:rPr>
          <w:rFonts w:eastAsia="Times New Roman"/>
        </w:rPr>
      </w:pPr>
      <w:r>
        <w:rPr>
          <w:rFonts w:eastAsia="Times New Roman"/>
          <w:color w:val="000000"/>
          <w:sz w:val="20"/>
          <w:szCs w:val="20"/>
        </w:rPr>
        <w:t xml:space="preserve">•“BPs” means basis points </w:t>
      </w:r>
    </w:p>
    <w:p w:rsidR="00000000" w:rsidRDefault="00897B14">
      <w:pPr>
        <w:ind w:hanging="360"/>
        <w:textAlignment w:val="top"/>
        <w:divId w:val="685715830"/>
        <w:rPr>
          <w:rFonts w:eastAsia="Times New Roman"/>
        </w:rPr>
      </w:pPr>
      <w:r>
        <w:rPr>
          <w:rFonts w:eastAsia="Times New Roman"/>
          <w:color w:val="000000"/>
          <w:sz w:val="20"/>
          <w:szCs w:val="20"/>
        </w:rPr>
        <w:t>•“CDS” means credit default swaps</w:t>
      </w:r>
    </w:p>
    <w:p w:rsidR="00000000" w:rsidRDefault="00897B14">
      <w:pPr>
        <w:ind w:hanging="360"/>
        <w:textAlignment w:val="top"/>
        <w:divId w:val="13457621"/>
        <w:rPr>
          <w:rFonts w:eastAsia="Times New Roman"/>
        </w:rPr>
      </w:pPr>
      <w:r>
        <w:rPr>
          <w:rFonts w:eastAsia="Times New Roman"/>
          <w:color w:val="000000"/>
          <w:sz w:val="20"/>
          <w:szCs w:val="20"/>
        </w:rPr>
        <w:t>•“CLO” means collateralized loan obligation</w:t>
      </w:r>
    </w:p>
    <w:p w:rsidR="00000000" w:rsidRDefault="00897B14">
      <w:pPr>
        <w:ind w:hanging="360"/>
        <w:textAlignment w:val="top"/>
        <w:divId w:val="28066295"/>
        <w:rPr>
          <w:rFonts w:eastAsia="Times New Roman"/>
        </w:rPr>
      </w:pPr>
      <w:r>
        <w:rPr>
          <w:rFonts w:eastAsia="Times New Roman"/>
          <w:color w:val="000000"/>
          <w:sz w:val="20"/>
          <w:szCs w:val="20"/>
        </w:rPr>
        <w:t>•“COI” means cost of insurance</w:t>
      </w:r>
    </w:p>
    <w:p w:rsidR="00000000" w:rsidRDefault="00897B14">
      <w:pPr>
        <w:textAlignment w:val="top"/>
        <w:divId w:val="875629763"/>
        <w:rPr>
          <w:rFonts w:eastAsia="Times New Roman"/>
        </w:rPr>
      </w:pPr>
      <w:r>
        <w:rPr>
          <w:rFonts w:eastAsia="Times New Roman"/>
          <w:color w:val="000000"/>
          <w:sz w:val="20"/>
          <w:szCs w:val="20"/>
        </w:rPr>
        <w:t xml:space="preserve">•“COLI” means corporate owned life insurance </w:t>
      </w:r>
    </w:p>
    <w:p w:rsidR="00000000" w:rsidRDefault="00897B14">
      <w:pPr>
        <w:ind w:hanging="360"/>
        <w:textAlignment w:val="top"/>
        <w:divId w:val="730228139"/>
        <w:rPr>
          <w:rFonts w:eastAsia="Times New Roman"/>
        </w:rPr>
      </w:pPr>
      <w:r>
        <w:rPr>
          <w:rFonts w:eastAsia="Times New Roman"/>
          <w:color w:val="000000"/>
          <w:sz w:val="20"/>
          <w:szCs w:val="20"/>
        </w:rPr>
        <w:t>•“Company” means Equita</w:t>
      </w:r>
      <w:r>
        <w:rPr>
          <w:rFonts w:eastAsia="Times New Roman"/>
          <w:color w:val="000000"/>
          <w:sz w:val="20"/>
          <w:szCs w:val="20"/>
        </w:rPr>
        <w:t>ble Holdings, Inc. with its consolidated subsidiaries</w:t>
      </w:r>
    </w:p>
    <w:p w:rsidR="00000000" w:rsidRDefault="00897B14">
      <w:pPr>
        <w:ind w:hanging="360"/>
        <w:jc w:val="both"/>
        <w:textAlignment w:val="top"/>
        <w:divId w:val="1891111477"/>
        <w:rPr>
          <w:rFonts w:eastAsia="Times New Roman"/>
        </w:rPr>
      </w:pPr>
      <w:r>
        <w:rPr>
          <w:rFonts w:eastAsia="Times New Roman"/>
          <w:color w:val="000000"/>
          <w:sz w:val="20"/>
          <w:szCs w:val="20"/>
        </w:rPr>
        <w:t>•“CS Life” means Corporate Solutions Life Reinsurance Company, a Delaware corporation and a wholly-owned direct subsidiary of Holdings</w:t>
      </w:r>
    </w:p>
    <w:p w:rsidR="00000000" w:rsidRDefault="00897B14">
      <w:pPr>
        <w:ind w:hanging="360"/>
        <w:jc w:val="both"/>
        <w:textAlignment w:val="top"/>
        <w:divId w:val="262104826"/>
        <w:rPr>
          <w:rFonts w:eastAsia="Times New Roman"/>
        </w:rPr>
      </w:pPr>
      <w:r>
        <w:rPr>
          <w:rFonts w:eastAsia="Times New Roman"/>
          <w:color w:val="000000"/>
          <w:sz w:val="20"/>
          <w:szCs w:val="20"/>
        </w:rPr>
        <w:t xml:space="preserve">•“CS Life RE” means CS Life RE Company, an Arizona corporation and </w:t>
      </w:r>
      <w:r>
        <w:rPr>
          <w:rFonts w:eastAsia="Times New Roman"/>
          <w:color w:val="000000"/>
          <w:sz w:val="20"/>
          <w:szCs w:val="20"/>
        </w:rPr>
        <w:t>a wholly-owned indirect subsidiary of Holdings</w:t>
      </w:r>
    </w:p>
    <w:p w:rsidR="00000000" w:rsidRDefault="00897B14">
      <w:pPr>
        <w:ind w:firstLine="360"/>
        <w:textAlignment w:val="top"/>
        <w:divId w:val="411439132"/>
        <w:rPr>
          <w:rFonts w:eastAsia="Times New Roman"/>
        </w:rPr>
      </w:pPr>
      <w:r>
        <w:rPr>
          <w:rFonts w:eastAsia="Times New Roman"/>
          <w:color w:val="000000"/>
          <w:sz w:val="20"/>
          <w:szCs w:val="20"/>
        </w:rPr>
        <w:t>•“CSA” means credit support annex</w:t>
      </w:r>
    </w:p>
    <w:p w:rsidR="00000000" w:rsidRDefault="00897B14">
      <w:pPr>
        <w:ind w:hanging="360"/>
        <w:textAlignment w:val="top"/>
        <w:divId w:val="99882608"/>
        <w:rPr>
          <w:rFonts w:eastAsia="Times New Roman"/>
        </w:rPr>
      </w:pPr>
      <w:r>
        <w:rPr>
          <w:rFonts w:eastAsia="Times New Roman"/>
          <w:color w:val="000000"/>
          <w:sz w:val="20"/>
          <w:szCs w:val="20"/>
        </w:rPr>
        <w:t>•“CTE” means conditional tail expectation</w:t>
      </w:r>
    </w:p>
    <w:p w:rsidR="00000000" w:rsidRDefault="00897B14">
      <w:pPr>
        <w:textAlignment w:val="top"/>
        <w:divId w:val="1613124645"/>
        <w:rPr>
          <w:rFonts w:eastAsia="Times New Roman"/>
        </w:rPr>
      </w:pPr>
      <w:r>
        <w:rPr>
          <w:rFonts w:eastAsia="Times New Roman"/>
          <w:color w:val="000000"/>
          <w:sz w:val="20"/>
          <w:szCs w:val="20"/>
        </w:rPr>
        <w:t>•“DAC” means deferred policy acquisition costs</w:t>
      </w:r>
    </w:p>
    <w:p w:rsidR="00000000" w:rsidRDefault="00897B14">
      <w:pPr>
        <w:textAlignment w:val="top"/>
        <w:divId w:val="600456440"/>
        <w:rPr>
          <w:rFonts w:eastAsia="Times New Roman"/>
        </w:rPr>
      </w:pPr>
      <w:r>
        <w:rPr>
          <w:rFonts w:eastAsia="Times New Roman"/>
          <w:color w:val="000000"/>
          <w:sz w:val="20"/>
          <w:szCs w:val="20"/>
        </w:rPr>
        <w:t xml:space="preserve">•“DI” means disability income </w:t>
      </w:r>
    </w:p>
    <w:p w:rsidR="00000000" w:rsidRDefault="00897B14">
      <w:pPr>
        <w:ind w:firstLine="360"/>
        <w:textAlignment w:val="top"/>
        <w:divId w:val="276104203"/>
        <w:rPr>
          <w:rFonts w:eastAsia="Times New Roman"/>
        </w:rPr>
      </w:pPr>
      <w:r>
        <w:rPr>
          <w:rFonts w:eastAsia="Times New Roman"/>
          <w:color w:val="000000"/>
          <w:sz w:val="20"/>
          <w:szCs w:val="20"/>
        </w:rPr>
        <w:t>•“DOL” means U.S. Department of Labor</w:t>
      </w:r>
    </w:p>
    <w:p w:rsidR="00000000" w:rsidRDefault="00897B14">
      <w:pPr>
        <w:ind w:hanging="360"/>
        <w:jc w:val="both"/>
        <w:textAlignment w:val="top"/>
        <w:divId w:val="662314641"/>
        <w:rPr>
          <w:rFonts w:eastAsia="Times New Roman"/>
        </w:rPr>
      </w:pPr>
      <w:r>
        <w:rPr>
          <w:rFonts w:eastAsia="Times New Roman"/>
          <w:color w:val="000000"/>
          <w:sz w:val="20"/>
          <w:szCs w:val="20"/>
        </w:rPr>
        <w:t xml:space="preserve">•“DSC” </w:t>
      </w:r>
      <w:r>
        <w:rPr>
          <w:rFonts w:eastAsia="Times New Roman"/>
          <w:color w:val="000000"/>
          <w:sz w:val="20"/>
          <w:szCs w:val="20"/>
        </w:rPr>
        <w:t>means debt service coverage</w:t>
      </w:r>
    </w:p>
    <w:p w:rsidR="00000000" w:rsidRDefault="00897B14">
      <w:pPr>
        <w:ind w:hanging="360"/>
        <w:textAlignment w:val="top"/>
        <w:divId w:val="835993237"/>
        <w:rPr>
          <w:rFonts w:eastAsia="Times New Roman"/>
        </w:rPr>
      </w:pPr>
      <w:r>
        <w:rPr>
          <w:rFonts w:eastAsia="Times New Roman"/>
          <w:color w:val="000000"/>
          <w:sz w:val="20"/>
          <w:szCs w:val="20"/>
        </w:rPr>
        <w:t>•“DSI” means deferred sales inducement</w:t>
      </w:r>
    </w:p>
    <w:p w:rsidR="00000000" w:rsidRDefault="00897B14">
      <w:pPr>
        <w:ind w:hanging="360"/>
        <w:textAlignment w:val="top"/>
        <w:divId w:val="1963921522"/>
        <w:rPr>
          <w:rFonts w:eastAsia="Times New Roman"/>
        </w:rPr>
      </w:pPr>
      <w:r>
        <w:rPr>
          <w:rFonts w:eastAsia="Times New Roman"/>
          <w:color w:val="000000"/>
          <w:sz w:val="20"/>
          <w:szCs w:val="20"/>
        </w:rPr>
        <w:t>•“EAFE” means European, Australasia, and Far East</w:t>
      </w:r>
    </w:p>
    <w:p w:rsidR="00000000" w:rsidRDefault="00897B14">
      <w:pPr>
        <w:ind w:hanging="360"/>
        <w:jc w:val="both"/>
        <w:textAlignment w:val="top"/>
        <w:divId w:val="27491960"/>
        <w:rPr>
          <w:rFonts w:eastAsia="Times New Roman"/>
        </w:rPr>
      </w:pPr>
      <w:r>
        <w:rPr>
          <w:rFonts w:eastAsia="Times New Roman"/>
          <w:color w:val="000000"/>
          <w:sz w:val="20"/>
          <w:szCs w:val="20"/>
        </w:rPr>
        <w:t>•“EFS” means Equitable Financial Services, LLC, a Delaware corporation and a wholly-owned direct subsidiary of Holdings</w:t>
      </w:r>
    </w:p>
    <w:p w:rsidR="00000000" w:rsidRDefault="00897B14">
      <w:pPr>
        <w:textAlignment w:val="top"/>
        <w:divId w:val="1944609417"/>
        <w:rPr>
          <w:rFonts w:eastAsia="Times New Roman"/>
        </w:rPr>
      </w:pPr>
      <w:r>
        <w:rPr>
          <w:rFonts w:eastAsia="Times New Roman"/>
          <w:color w:val="000000"/>
          <w:sz w:val="20"/>
          <w:szCs w:val="20"/>
        </w:rPr>
        <w:t>•“EPS” means earnin</w:t>
      </w:r>
      <w:r>
        <w:rPr>
          <w:rFonts w:eastAsia="Times New Roman"/>
          <w:color w:val="000000"/>
          <w:sz w:val="20"/>
          <w:szCs w:val="20"/>
        </w:rPr>
        <w:t>gs per share</w:t>
      </w:r>
    </w:p>
    <w:p w:rsidR="00000000" w:rsidRDefault="00897B14">
      <w:pPr>
        <w:ind w:hanging="360"/>
        <w:jc w:val="both"/>
        <w:textAlignment w:val="top"/>
        <w:divId w:val="954410874"/>
        <w:rPr>
          <w:rFonts w:eastAsia="Times New Roman"/>
        </w:rPr>
      </w:pPr>
      <w:r>
        <w:rPr>
          <w:rFonts w:eastAsia="Times New Roman"/>
          <w:color w:val="000000"/>
          <w:sz w:val="20"/>
          <w:szCs w:val="20"/>
        </w:rPr>
        <w:t xml:space="preserve">•“Equitable Advisors” </w:t>
      </w:r>
      <w:r>
        <w:rPr>
          <w:rFonts w:eastAsia="Times New Roman"/>
          <w:color w:val="000000"/>
          <w:sz w:val="20"/>
          <w:szCs w:val="20"/>
        </w:rPr>
        <w:t>means Equitable Advisors, LLC, a Delaware limited liability company, our retail broker/dealer for our retirement and protection businesses and a wholly-owned indirect subsidiary of Holdings</w:t>
      </w:r>
    </w:p>
    <w:p w:rsidR="00000000" w:rsidRDefault="00897B14">
      <w:pPr>
        <w:ind w:hanging="360"/>
        <w:jc w:val="both"/>
        <w:textAlignment w:val="top"/>
        <w:divId w:val="2087605223"/>
        <w:rPr>
          <w:rFonts w:eastAsia="Times New Roman"/>
        </w:rPr>
      </w:pPr>
      <w:r>
        <w:rPr>
          <w:rFonts w:eastAsia="Times New Roman"/>
          <w:color w:val="000000"/>
          <w:sz w:val="20"/>
          <w:szCs w:val="20"/>
        </w:rPr>
        <w:t>•“Equitable America” means Equitable Financial Life Insurance Comp</w:t>
      </w:r>
      <w:r>
        <w:rPr>
          <w:rFonts w:eastAsia="Times New Roman"/>
          <w:color w:val="000000"/>
          <w:sz w:val="20"/>
          <w:szCs w:val="20"/>
        </w:rPr>
        <w:t>any of America (f/k/a MONY Life Insurance Company of America), an Arizona corporation and a wholly-owned indirect subsidiary of Holdings</w:t>
      </w:r>
    </w:p>
    <w:p w:rsidR="00000000" w:rsidRDefault="00897B14">
      <w:pPr>
        <w:ind w:hanging="360"/>
        <w:jc w:val="both"/>
        <w:textAlignment w:val="top"/>
        <w:divId w:val="1391074586"/>
        <w:rPr>
          <w:rFonts w:eastAsia="Times New Roman"/>
        </w:rPr>
      </w:pPr>
      <w:r>
        <w:rPr>
          <w:rFonts w:eastAsia="Times New Roman"/>
          <w:color w:val="000000"/>
          <w:sz w:val="20"/>
          <w:szCs w:val="20"/>
        </w:rPr>
        <w:t>•“Equitable Financial” means Equitable Financial Life Insurance Company, a New York corporation, a life insurance compa</w:t>
      </w:r>
      <w:r>
        <w:rPr>
          <w:rFonts w:eastAsia="Times New Roman"/>
          <w:color w:val="000000"/>
          <w:sz w:val="20"/>
          <w:szCs w:val="20"/>
        </w:rPr>
        <w:t>ny and a wholly-owned subsidiary of EFS</w:t>
      </w:r>
    </w:p>
    <w:p w:rsidR="00000000" w:rsidRDefault="00897B14">
      <w:pPr>
        <w:ind w:hanging="360"/>
        <w:jc w:val="both"/>
        <w:textAlignment w:val="top"/>
        <w:divId w:val="2070372786"/>
        <w:rPr>
          <w:rFonts w:eastAsia="Times New Roman"/>
        </w:rPr>
      </w:pPr>
      <w:r>
        <w:rPr>
          <w:rFonts w:eastAsia="Times New Roman"/>
          <w:color w:val="000000"/>
          <w:sz w:val="20"/>
          <w:szCs w:val="20"/>
        </w:rPr>
        <w:t>•“EQ AZ Life Re” means EQ AZ Life Re Company, an Arizona corporation and a wholly-owned indirect subsidiary of Holdings.</w:t>
      </w:r>
    </w:p>
    <w:p w:rsidR="00000000" w:rsidRDefault="00897B14">
      <w:pPr>
        <w:ind w:hanging="360"/>
        <w:textAlignment w:val="top"/>
        <w:divId w:val="364909050"/>
        <w:rPr>
          <w:rFonts w:eastAsia="Times New Roman"/>
        </w:rPr>
      </w:pPr>
      <w:r>
        <w:rPr>
          <w:rFonts w:eastAsia="Times New Roman"/>
          <w:color w:val="000000"/>
          <w:sz w:val="20"/>
          <w:szCs w:val="20"/>
        </w:rPr>
        <w:t>•“ERISA” means Employee Retirement Income Security Act of 1974</w:t>
      </w:r>
    </w:p>
    <w:p w:rsidR="00000000" w:rsidRDefault="00897B14">
      <w:pPr>
        <w:ind w:hanging="360"/>
        <w:jc w:val="both"/>
        <w:textAlignment w:val="top"/>
        <w:divId w:val="938608667"/>
        <w:rPr>
          <w:rFonts w:eastAsia="Times New Roman"/>
        </w:rPr>
      </w:pPr>
      <w:r>
        <w:rPr>
          <w:rFonts w:eastAsia="Times New Roman"/>
          <w:color w:val="000000"/>
          <w:sz w:val="20"/>
          <w:szCs w:val="20"/>
        </w:rPr>
        <w:t>•“ESG” means environmental, soci</w:t>
      </w:r>
      <w:r>
        <w:rPr>
          <w:rFonts w:eastAsia="Times New Roman"/>
          <w:color w:val="000000"/>
          <w:sz w:val="20"/>
          <w:szCs w:val="20"/>
        </w:rPr>
        <w:t>al and governance</w:t>
      </w:r>
    </w:p>
    <w:p w:rsidR="00000000" w:rsidRDefault="00897B14">
      <w:pPr>
        <w:ind w:firstLine="360"/>
        <w:textAlignment w:val="top"/>
        <w:divId w:val="2059934908"/>
        <w:rPr>
          <w:rFonts w:eastAsia="Times New Roman"/>
        </w:rPr>
      </w:pPr>
      <w:r>
        <w:rPr>
          <w:rFonts w:eastAsia="Times New Roman"/>
          <w:color w:val="000000"/>
          <w:sz w:val="20"/>
          <w:szCs w:val="20"/>
        </w:rPr>
        <w:t>•“ETF” means exchange traded funds</w:t>
      </w:r>
    </w:p>
    <w:p w:rsidR="00000000" w:rsidRDefault="00897B14">
      <w:pPr>
        <w:ind w:firstLine="360"/>
        <w:jc w:val="both"/>
        <w:textAlignment w:val="top"/>
        <w:divId w:val="1454516594"/>
        <w:rPr>
          <w:rFonts w:eastAsia="Times New Roman"/>
        </w:rPr>
      </w:pPr>
      <w:r>
        <w:rPr>
          <w:rFonts w:eastAsia="Times New Roman"/>
          <w:color w:val="000000"/>
          <w:sz w:val="20"/>
          <w:szCs w:val="20"/>
        </w:rPr>
        <w:t>•“ETR” means effective tax rate</w:t>
      </w:r>
    </w:p>
    <w:p w:rsidR="00000000" w:rsidRDefault="00897B14">
      <w:pPr>
        <w:ind w:hanging="360"/>
        <w:textAlignment w:val="top"/>
        <w:divId w:val="476603977"/>
        <w:rPr>
          <w:rFonts w:eastAsia="Times New Roman"/>
        </w:rPr>
      </w:pPr>
      <w:r>
        <w:rPr>
          <w:rFonts w:eastAsia="Times New Roman"/>
          <w:color w:val="000000"/>
          <w:sz w:val="20"/>
          <w:szCs w:val="20"/>
        </w:rPr>
        <w:t>•“Exchange Act” means Securities Exchange Act of 1934, as amended</w:t>
      </w:r>
    </w:p>
    <w:p w:rsidR="00000000" w:rsidRDefault="00897B14">
      <w:pPr>
        <w:ind w:hanging="360"/>
        <w:textAlignment w:val="top"/>
        <w:divId w:val="328557453"/>
        <w:rPr>
          <w:rFonts w:eastAsia="Times New Roman"/>
        </w:rPr>
      </w:pPr>
      <w:r>
        <w:rPr>
          <w:rFonts w:eastAsia="Times New Roman"/>
          <w:color w:val="000000"/>
          <w:sz w:val="20"/>
          <w:szCs w:val="20"/>
        </w:rPr>
        <w:t>•“FABN” means Funding Agreement Backed Notes Program</w:t>
      </w:r>
      <w:r>
        <w:rPr>
          <w:rFonts w:eastAsia="Times New Roman"/>
          <w:color w:val="000000"/>
          <w:sz w:val="18"/>
          <w:szCs w:val="18"/>
        </w:rPr>
        <w:t xml:space="preserve"> </w:t>
      </w:r>
    </w:p>
    <w:p w:rsidR="00000000" w:rsidRDefault="00897B14">
      <w:pPr>
        <w:ind w:hanging="360"/>
        <w:textAlignment w:val="top"/>
        <w:divId w:val="1157572255"/>
        <w:rPr>
          <w:rFonts w:eastAsia="Times New Roman"/>
        </w:rPr>
      </w:pPr>
      <w:r>
        <w:rPr>
          <w:rFonts w:eastAsia="Times New Roman"/>
          <w:color w:val="000000"/>
          <w:sz w:val="20"/>
          <w:szCs w:val="20"/>
        </w:rPr>
        <w:t>•“FASB” means Financial Accounting Standards Board</w:t>
      </w:r>
    </w:p>
    <w:p w:rsidR="00000000" w:rsidRDefault="00897B14">
      <w:pPr>
        <w:ind w:firstLine="360"/>
        <w:textAlignment w:val="top"/>
        <w:divId w:val="724522246"/>
        <w:rPr>
          <w:rFonts w:eastAsia="Times New Roman"/>
        </w:rPr>
      </w:pPr>
      <w:r>
        <w:rPr>
          <w:rFonts w:eastAsia="Times New Roman"/>
          <w:color w:val="000000"/>
          <w:sz w:val="20"/>
          <w:szCs w:val="20"/>
        </w:rPr>
        <w:t>•“FHLB” means Federal Home Loan Bank</w:t>
      </w:r>
    </w:p>
    <w:p w:rsidR="00000000" w:rsidRDefault="00897B14">
      <w:pPr>
        <w:ind w:hanging="360"/>
        <w:jc w:val="both"/>
        <w:textAlignment w:val="top"/>
        <w:divId w:val="1850362430"/>
        <w:rPr>
          <w:rFonts w:eastAsia="Times New Roman"/>
        </w:rPr>
      </w:pPr>
      <w:r>
        <w:rPr>
          <w:rFonts w:eastAsia="Times New Roman"/>
          <w:color w:val="000000"/>
          <w:sz w:val="20"/>
          <w:szCs w:val="20"/>
        </w:rPr>
        <w:t>•“FYP” means first year premium and deposits</w:t>
      </w:r>
    </w:p>
    <w:p w:rsidR="00000000" w:rsidRDefault="00897B14">
      <w:pPr>
        <w:ind w:hanging="360"/>
        <w:jc w:val="both"/>
        <w:textAlignment w:val="top"/>
        <w:divId w:val="989558238"/>
        <w:rPr>
          <w:rFonts w:eastAsia="Times New Roman"/>
        </w:rPr>
      </w:pPr>
      <w:r>
        <w:rPr>
          <w:rFonts w:eastAsia="Times New Roman"/>
          <w:color w:val="000000"/>
          <w:sz w:val="20"/>
          <w:szCs w:val="20"/>
        </w:rPr>
        <w:t>•“General Partner” means AllianceBernstein Corporation, a Delaware corporation and the general partner of AB Holding and ABLP</w:t>
      </w:r>
    </w:p>
    <w:p w:rsidR="00000000" w:rsidRDefault="00897B14">
      <w:pPr>
        <w:textAlignment w:val="top"/>
        <w:divId w:val="2110537436"/>
        <w:rPr>
          <w:rFonts w:eastAsia="Times New Roman"/>
        </w:rPr>
      </w:pPr>
      <w:r>
        <w:rPr>
          <w:rFonts w:eastAsia="Times New Roman"/>
          <w:color w:val="000000"/>
          <w:sz w:val="20"/>
          <w:szCs w:val="20"/>
        </w:rPr>
        <w:t>•“GUL” means guaranteed universal life</w:t>
      </w:r>
    </w:p>
    <w:p w:rsidR="00000000" w:rsidRDefault="00897B14">
      <w:pPr>
        <w:textAlignment w:val="top"/>
        <w:divId w:val="478771043"/>
        <w:rPr>
          <w:rFonts w:eastAsia="Times New Roman"/>
        </w:rPr>
      </w:pPr>
      <w:r>
        <w:rPr>
          <w:rFonts w:eastAsia="Times New Roman"/>
          <w:color w:val="000000"/>
          <w:sz w:val="20"/>
          <w:szCs w:val="20"/>
        </w:rPr>
        <w:t>•“HFS” me</w:t>
      </w:r>
      <w:r>
        <w:rPr>
          <w:rFonts w:eastAsia="Times New Roman"/>
          <w:color w:val="000000"/>
          <w:sz w:val="20"/>
          <w:szCs w:val="20"/>
        </w:rPr>
        <w:t>ans held-for-sale</w:t>
      </w:r>
    </w:p>
    <w:p w:rsidR="00000000" w:rsidRDefault="00897B14">
      <w:pPr>
        <w:textAlignment w:val="top"/>
        <w:divId w:val="1336884777"/>
        <w:rPr>
          <w:rFonts w:eastAsia="Times New Roman"/>
        </w:rPr>
      </w:pPr>
      <w:r>
        <w:rPr>
          <w:rFonts w:eastAsia="Times New Roman"/>
          <w:color w:val="000000"/>
          <w:sz w:val="20"/>
          <w:szCs w:val="20"/>
        </w:rPr>
        <w:t xml:space="preserve">•“Holdings” means Equitable Holdings, Inc. </w:t>
      </w:r>
    </w:p>
    <w:p w:rsidR="00000000" w:rsidRDefault="00897B14">
      <w:pPr>
        <w:textAlignment w:val="top"/>
        <w:divId w:val="1235435554"/>
        <w:rPr>
          <w:rFonts w:eastAsia="Times New Roman"/>
        </w:rPr>
      </w:pPr>
      <w:r>
        <w:rPr>
          <w:rFonts w:eastAsia="Times New Roman"/>
          <w:color w:val="000000"/>
          <w:sz w:val="20"/>
          <w:szCs w:val="20"/>
        </w:rPr>
        <w:t>•“HTM” means held-to-maturity</w:t>
      </w:r>
    </w:p>
    <w:p w:rsidR="00000000" w:rsidRDefault="00897B14">
      <w:pPr>
        <w:textAlignment w:val="top"/>
        <w:divId w:val="35587437"/>
        <w:rPr>
          <w:rFonts w:eastAsia="Times New Roman"/>
        </w:rPr>
      </w:pPr>
      <w:r>
        <w:rPr>
          <w:rFonts w:eastAsia="Times New Roman"/>
          <w:color w:val="000000"/>
          <w:sz w:val="20"/>
          <w:szCs w:val="20"/>
        </w:rPr>
        <w:t>•“IPO” means initial public offering</w:t>
      </w:r>
    </w:p>
    <w:p w:rsidR="00000000" w:rsidRDefault="00897B14">
      <w:pPr>
        <w:ind w:hanging="360"/>
        <w:textAlignment w:val="top"/>
        <w:divId w:val="739407057"/>
        <w:rPr>
          <w:rFonts w:eastAsia="Times New Roman"/>
        </w:rPr>
      </w:pPr>
      <w:r>
        <w:rPr>
          <w:rFonts w:eastAsia="Times New Roman"/>
          <w:color w:val="000000"/>
          <w:sz w:val="20"/>
          <w:szCs w:val="20"/>
        </w:rPr>
        <w:t xml:space="preserve">•“ISDA Master Agreement” </w:t>
      </w:r>
      <w:r>
        <w:rPr>
          <w:rFonts w:eastAsia="Times New Roman"/>
          <w:color w:val="000000"/>
          <w:sz w:val="20"/>
          <w:szCs w:val="20"/>
        </w:rPr>
        <w:t xml:space="preserve">means International Swaps and Derivatives Association Master Agreement </w:t>
      </w:r>
    </w:p>
    <w:p w:rsidR="00000000" w:rsidRDefault="00897B14">
      <w:pPr>
        <w:ind w:firstLine="90"/>
        <w:textAlignment w:val="top"/>
        <w:divId w:val="787427803"/>
        <w:rPr>
          <w:rFonts w:eastAsia="Times New Roman"/>
        </w:rPr>
      </w:pPr>
      <w:r>
        <w:rPr>
          <w:rFonts w:eastAsia="Times New Roman"/>
          <w:color w:val="000000"/>
          <w:sz w:val="20"/>
          <w:szCs w:val="20"/>
        </w:rPr>
        <w:t>•“IUL” means indexed universal life</w:t>
      </w:r>
    </w:p>
    <w:p w:rsidR="00000000" w:rsidRDefault="00897B14">
      <w:pPr>
        <w:ind w:firstLine="90"/>
        <w:textAlignment w:val="top"/>
        <w:divId w:val="756366188"/>
        <w:rPr>
          <w:rFonts w:eastAsia="Times New Roman"/>
        </w:rPr>
      </w:pPr>
      <w:r>
        <w:rPr>
          <w:rFonts w:eastAsia="Times New Roman"/>
          <w:color w:val="000000"/>
          <w:sz w:val="20"/>
          <w:szCs w:val="20"/>
        </w:rPr>
        <w:t xml:space="preserve">•“IUS” means Investments Under Surveillance </w:t>
      </w:r>
    </w:p>
    <w:p w:rsidR="00000000" w:rsidRDefault="00897B14">
      <w:pPr>
        <w:ind w:firstLine="90"/>
        <w:textAlignment w:val="top"/>
        <w:divId w:val="791703445"/>
        <w:rPr>
          <w:rFonts w:eastAsia="Times New Roman"/>
        </w:rPr>
      </w:pPr>
      <w:r>
        <w:rPr>
          <w:rFonts w:eastAsia="Times New Roman"/>
          <w:color w:val="000000"/>
          <w:sz w:val="20"/>
          <w:szCs w:val="20"/>
        </w:rPr>
        <w:t>•“LIBOR” means London Interbank Offered Rate</w:t>
      </w:r>
    </w:p>
    <w:p w:rsidR="00000000" w:rsidRDefault="00897B14">
      <w:pPr>
        <w:ind w:firstLine="90"/>
        <w:jc w:val="both"/>
        <w:textAlignment w:val="top"/>
        <w:divId w:val="1568227547"/>
        <w:rPr>
          <w:rFonts w:eastAsia="Times New Roman"/>
        </w:rPr>
      </w:pPr>
      <w:r>
        <w:rPr>
          <w:rFonts w:eastAsia="Times New Roman"/>
          <w:color w:val="000000"/>
          <w:sz w:val="20"/>
          <w:szCs w:val="20"/>
        </w:rPr>
        <w:t>•“LTV” means loan-to-value</w:t>
      </w:r>
    </w:p>
    <w:p w:rsidR="00000000" w:rsidRDefault="00897B14">
      <w:pPr>
        <w:jc w:val="center"/>
        <w:divId w:val="294793490"/>
        <w:rPr>
          <w:rFonts w:eastAsia="Times New Roman"/>
        </w:rPr>
      </w:pPr>
      <w:r>
        <w:rPr>
          <w:rFonts w:eastAsia="Times New Roman"/>
          <w:color w:val="000000"/>
          <w:sz w:val="20"/>
          <w:szCs w:val="20"/>
        </w:rPr>
        <w:t>124</w:t>
      </w:r>
    </w:p>
    <w:p w:rsidR="00000000" w:rsidRDefault="00897B14">
      <w:pPr>
        <w:rPr>
          <w:rFonts w:eastAsia="Times New Roman"/>
        </w:rPr>
      </w:pPr>
      <w:r>
        <w:rPr>
          <w:rFonts w:eastAsia="Times New Roman"/>
        </w:rPr>
        <w:pict>
          <v:rect id="_x0000_i1150" style="width:0;height:1.5pt" o:hralign="center" o:hrstd="t" o:hr="t" fillcolor="#a0a0a0" stroked="f"/>
        </w:pict>
      </w:r>
    </w:p>
    <w:p w:rsidR="00000000" w:rsidRDefault="00897B14">
      <w:pPr>
        <w:divId w:val="1061639876"/>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ind w:hanging="360"/>
        <w:textAlignment w:val="top"/>
        <w:divId w:val="505244555"/>
        <w:rPr>
          <w:rFonts w:eastAsia="Times New Roman"/>
        </w:rPr>
      </w:pPr>
      <w:r>
        <w:rPr>
          <w:rFonts w:eastAsia="Times New Roman"/>
          <w:color w:val="000000"/>
          <w:sz w:val="20"/>
          <w:szCs w:val="20"/>
        </w:rPr>
        <w:t>•“MD&amp;A” means Management’s Discussion and Analysis of Financial Condition and Results of Operations</w:t>
      </w:r>
    </w:p>
    <w:p w:rsidR="00000000" w:rsidRDefault="00897B14">
      <w:pPr>
        <w:ind w:hanging="360"/>
        <w:textAlignment w:val="top"/>
        <w:divId w:val="1508714237"/>
        <w:rPr>
          <w:rFonts w:eastAsia="Times New Roman"/>
        </w:rPr>
      </w:pPr>
      <w:r>
        <w:rPr>
          <w:rFonts w:eastAsia="Times New Roman"/>
          <w:color w:val="000000"/>
          <w:sz w:val="20"/>
          <w:szCs w:val="20"/>
        </w:rPr>
        <w:t>•“MLICA” means MONY Life Insurance Company of the Americas, Ltd</w:t>
      </w:r>
    </w:p>
    <w:p w:rsidR="00000000" w:rsidRDefault="00897B14">
      <w:pPr>
        <w:textAlignment w:val="top"/>
        <w:divId w:val="1553619039"/>
        <w:rPr>
          <w:rFonts w:eastAsia="Times New Roman"/>
        </w:rPr>
      </w:pPr>
      <w:r>
        <w:rPr>
          <w:rFonts w:eastAsia="Times New Roman"/>
          <w:color w:val="000000"/>
          <w:sz w:val="20"/>
          <w:szCs w:val="20"/>
        </w:rPr>
        <w:t>•“MRB</w:t>
      </w:r>
      <w:r>
        <w:rPr>
          <w:rFonts w:eastAsia="Times New Roman"/>
          <w:color w:val="000000"/>
          <w:sz w:val="20"/>
          <w:szCs w:val="20"/>
        </w:rPr>
        <w:t>s” means market risk benefits</w:t>
      </w:r>
    </w:p>
    <w:p w:rsidR="00000000" w:rsidRDefault="00897B14">
      <w:pPr>
        <w:textAlignment w:val="top"/>
        <w:divId w:val="1315599167"/>
        <w:rPr>
          <w:rFonts w:eastAsia="Times New Roman"/>
        </w:rPr>
      </w:pPr>
      <w:r>
        <w:rPr>
          <w:rFonts w:eastAsia="Times New Roman"/>
          <w:color w:val="000000"/>
          <w:sz w:val="20"/>
          <w:szCs w:val="20"/>
        </w:rPr>
        <w:t>•“MSO” means</w:t>
      </w:r>
      <w:r>
        <w:rPr>
          <w:rFonts w:eastAsia="Times New Roman"/>
          <w:i/>
          <w:iCs/>
          <w:color w:val="000000"/>
          <w:sz w:val="20"/>
          <w:szCs w:val="20"/>
        </w:rPr>
        <w:t xml:space="preserve"> </w:t>
      </w:r>
      <w:r>
        <w:rPr>
          <w:rFonts w:eastAsia="Times New Roman"/>
          <w:color w:val="000000"/>
          <w:sz w:val="20"/>
          <w:szCs w:val="20"/>
        </w:rPr>
        <w:t>Market Stabilizer Option</w:t>
      </w:r>
    </w:p>
    <w:p w:rsidR="00000000" w:rsidRDefault="00897B14">
      <w:pPr>
        <w:textAlignment w:val="top"/>
        <w:divId w:val="1555392017"/>
        <w:rPr>
          <w:rFonts w:eastAsia="Times New Roman"/>
        </w:rPr>
      </w:pPr>
      <w:r>
        <w:rPr>
          <w:rFonts w:eastAsia="Times New Roman"/>
          <w:color w:val="000000"/>
          <w:sz w:val="20"/>
          <w:szCs w:val="20"/>
        </w:rPr>
        <w:t>•“MTA” means Master Transaction Agreement</w:t>
      </w:r>
    </w:p>
    <w:p w:rsidR="00000000" w:rsidRDefault="00897B14">
      <w:pPr>
        <w:ind w:hanging="360"/>
        <w:textAlignment w:val="top"/>
        <w:divId w:val="1168014144"/>
        <w:rPr>
          <w:rFonts w:eastAsia="Times New Roman"/>
        </w:rPr>
      </w:pPr>
      <w:r>
        <w:rPr>
          <w:rFonts w:eastAsia="Times New Roman"/>
          <w:color w:val="000000"/>
          <w:sz w:val="20"/>
          <w:szCs w:val="20"/>
        </w:rPr>
        <w:t>•“NAIC” means National Association of Insurance Commissioners</w:t>
      </w:r>
    </w:p>
    <w:p w:rsidR="00000000" w:rsidRDefault="00897B14">
      <w:pPr>
        <w:textAlignment w:val="top"/>
        <w:divId w:val="90393026"/>
        <w:rPr>
          <w:rFonts w:eastAsia="Times New Roman"/>
        </w:rPr>
      </w:pPr>
      <w:r>
        <w:rPr>
          <w:rFonts w:eastAsia="Times New Roman"/>
          <w:color w:val="000000"/>
          <w:sz w:val="20"/>
          <w:szCs w:val="20"/>
        </w:rPr>
        <w:t>•“NAR” means net amount at risk</w:t>
      </w:r>
    </w:p>
    <w:p w:rsidR="00000000" w:rsidRDefault="00897B14">
      <w:pPr>
        <w:textAlignment w:val="top"/>
        <w:divId w:val="1101758175"/>
        <w:rPr>
          <w:rFonts w:eastAsia="Times New Roman"/>
        </w:rPr>
      </w:pPr>
      <w:r>
        <w:rPr>
          <w:rFonts w:eastAsia="Times New Roman"/>
          <w:color w:val="000000"/>
          <w:sz w:val="20"/>
          <w:szCs w:val="20"/>
        </w:rPr>
        <w:t>•“NAV” means net asset value</w:t>
      </w:r>
    </w:p>
    <w:p w:rsidR="00000000" w:rsidRDefault="00897B14">
      <w:pPr>
        <w:textAlignment w:val="top"/>
        <w:divId w:val="1622878014"/>
        <w:rPr>
          <w:rFonts w:eastAsia="Times New Roman"/>
        </w:rPr>
      </w:pPr>
      <w:r>
        <w:rPr>
          <w:rFonts w:eastAsia="Times New Roman"/>
          <w:color w:val="000000"/>
          <w:sz w:val="20"/>
          <w:szCs w:val="20"/>
        </w:rPr>
        <w:t xml:space="preserve">•“NLG” </w:t>
      </w:r>
      <w:r>
        <w:rPr>
          <w:rFonts w:eastAsia="Times New Roman"/>
          <w:color w:val="000000"/>
          <w:sz w:val="20"/>
          <w:szCs w:val="20"/>
        </w:rPr>
        <w:t>means no-lapse guarantee</w:t>
      </w:r>
    </w:p>
    <w:p w:rsidR="00000000" w:rsidRDefault="00897B14">
      <w:pPr>
        <w:ind w:hanging="360"/>
        <w:textAlignment w:val="top"/>
        <w:divId w:val="294411430"/>
        <w:rPr>
          <w:rFonts w:eastAsia="Times New Roman"/>
        </w:rPr>
      </w:pPr>
      <w:r>
        <w:rPr>
          <w:rFonts w:eastAsia="Times New Roman"/>
          <w:color w:val="000000"/>
          <w:sz w:val="20"/>
          <w:szCs w:val="20"/>
        </w:rPr>
        <w:t>•“NYDFS” means New York State Department of Financial Services</w:t>
      </w:r>
    </w:p>
    <w:p w:rsidR="00000000" w:rsidRDefault="00897B14">
      <w:pPr>
        <w:ind w:firstLine="360"/>
        <w:textAlignment w:val="top"/>
        <w:divId w:val="1609778738"/>
        <w:rPr>
          <w:rFonts w:eastAsia="Times New Roman"/>
        </w:rPr>
      </w:pPr>
      <w:r>
        <w:rPr>
          <w:rFonts w:eastAsia="Times New Roman"/>
          <w:color w:val="000000"/>
          <w:sz w:val="20"/>
          <w:szCs w:val="20"/>
        </w:rPr>
        <w:t>•“OCI” means other comprehensive income</w:t>
      </w:r>
    </w:p>
    <w:p w:rsidR="00000000" w:rsidRDefault="00897B14">
      <w:pPr>
        <w:ind w:firstLine="360"/>
        <w:textAlignment w:val="top"/>
        <w:divId w:val="244270120"/>
        <w:rPr>
          <w:rFonts w:eastAsia="Times New Roman"/>
        </w:rPr>
      </w:pPr>
      <w:r>
        <w:rPr>
          <w:rFonts w:eastAsia="Times New Roman"/>
          <w:color w:val="000000"/>
          <w:sz w:val="20"/>
          <w:szCs w:val="20"/>
        </w:rPr>
        <w:t>•“OTC” means over-the-counter</w:t>
      </w:r>
    </w:p>
    <w:p w:rsidR="00000000" w:rsidRDefault="00897B14">
      <w:pPr>
        <w:ind w:firstLine="360"/>
        <w:textAlignment w:val="top"/>
        <w:divId w:val="1105272489"/>
        <w:rPr>
          <w:rFonts w:eastAsia="Times New Roman"/>
        </w:rPr>
      </w:pPr>
      <w:r>
        <w:rPr>
          <w:rFonts w:eastAsia="Times New Roman"/>
          <w:color w:val="000000"/>
          <w:sz w:val="20"/>
          <w:szCs w:val="20"/>
        </w:rPr>
        <w:t>•“PFBL” means profits followed by losses</w:t>
      </w:r>
    </w:p>
    <w:p w:rsidR="00000000" w:rsidRDefault="00897B14">
      <w:pPr>
        <w:textAlignment w:val="top"/>
        <w:divId w:val="1391686718"/>
        <w:rPr>
          <w:rFonts w:eastAsia="Times New Roman"/>
        </w:rPr>
      </w:pPr>
      <w:r>
        <w:rPr>
          <w:rFonts w:eastAsia="Times New Roman"/>
          <w:color w:val="000000"/>
          <w:sz w:val="20"/>
          <w:szCs w:val="20"/>
        </w:rPr>
        <w:t>•“REIT” means real estate investment trusts</w:t>
      </w:r>
    </w:p>
    <w:p w:rsidR="00000000" w:rsidRDefault="00897B14">
      <w:pPr>
        <w:ind w:hanging="360"/>
        <w:jc w:val="both"/>
        <w:textAlignment w:val="top"/>
        <w:divId w:val="246353949"/>
        <w:rPr>
          <w:rFonts w:eastAsia="Times New Roman"/>
        </w:rPr>
      </w:pPr>
      <w:r>
        <w:rPr>
          <w:rFonts w:eastAsia="Times New Roman"/>
          <w:color w:val="000000"/>
          <w:sz w:val="20"/>
          <w:szCs w:val="20"/>
        </w:rPr>
        <w:t>•“SCB LLC” me</w:t>
      </w:r>
      <w:r>
        <w:rPr>
          <w:rFonts w:eastAsia="Times New Roman"/>
          <w:color w:val="000000"/>
          <w:sz w:val="20"/>
          <w:szCs w:val="20"/>
        </w:rPr>
        <w:t>ans Sanford C. Bernstein &amp; Co., LLC, a registered investment adviser and broker-dealer.</w:t>
      </w:r>
    </w:p>
    <w:p w:rsidR="00000000" w:rsidRDefault="00897B14">
      <w:pPr>
        <w:ind w:hanging="360"/>
        <w:textAlignment w:val="top"/>
        <w:divId w:val="618682397"/>
        <w:rPr>
          <w:rFonts w:eastAsia="Times New Roman"/>
        </w:rPr>
      </w:pPr>
      <w:r>
        <w:rPr>
          <w:rFonts w:eastAsia="Times New Roman"/>
          <w:color w:val="000000"/>
          <w:sz w:val="20"/>
          <w:szCs w:val="20"/>
        </w:rPr>
        <w:t>•“SCS” means Structured Capital Strategies</w:t>
      </w:r>
    </w:p>
    <w:p w:rsidR="00000000" w:rsidRDefault="00897B14">
      <w:pPr>
        <w:ind w:hanging="360"/>
        <w:jc w:val="both"/>
        <w:textAlignment w:val="top"/>
        <w:divId w:val="1771076460"/>
        <w:rPr>
          <w:rFonts w:eastAsia="Times New Roman"/>
        </w:rPr>
      </w:pPr>
      <w:r>
        <w:rPr>
          <w:rFonts w:eastAsia="Times New Roman"/>
          <w:color w:val="000000"/>
          <w:sz w:val="20"/>
          <w:szCs w:val="20"/>
        </w:rPr>
        <w:t>•“SEC” means U.S. Securities and Exchange Commission</w:t>
      </w:r>
    </w:p>
    <w:p w:rsidR="00000000" w:rsidRDefault="00897B14">
      <w:pPr>
        <w:ind w:hanging="360"/>
        <w:textAlignment w:val="top"/>
        <w:divId w:val="77944669"/>
        <w:rPr>
          <w:rFonts w:eastAsia="Times New Roman"/>
        </w:rPr>
      </w:pPr>
      <w:r>
        <w:rPr>
          <w:rFonts w:eastAsia="Times New Roman"/>
          <w:color w:val="000000"/>
          <w:sz w:val="20"/>
          <w:szCs w:val="20"/>
        </w:rPr>
        <w:t xml:space="preserve">•“Series A Preferred Stock” means Holdings’ </w:t>
      </w:r>
      <w:r>
        <w:rPr>
          <w:rFonts w:eastAsia="Times New Roman"/>
          <w:color w:val="000000"/>
          <w:sz w:val="20"/>
          <w:szCs w:val="20"/>
        </w:rPr>
        <w:t>Series A Fixed Rate Noncumulative Perpetual Preferred Stock</w:t>
      </w:r>
    </w:p>
    <w:p w:rsidR="00000000" w:rsidRDefault="00897B14">
      <w:pPr>
        <w:ind w:hanging="360"/>
        <w:textAlignment w:val="top"/>
        <w:divId w:val="568809137"/>
        <w:rPr>
          <w:rFonts w:eastAsia="Times New Roman"/>
        </w:rPr>
      </w:pPr>
      <w:r>
        <w:rPr>
          <w:rFonts w:eastAsia="Times New Roman"/>
          <w:color w:val="000000"/>
          <w:sz w:val="20"/>
          <w:szCs w:val="20"/>
        </w:rPr>
        <w:t>•“Series B Preferred Stock” means Holdings’ Series B Fixed Rate Reset Noncumulative Perpetual Preferred Stock</w:t>
      </w:r>
    </w:p>
    <w:p w:rsidR="00000000" w:rsidRDefault="00897B14">
      <w:pPr>
        <w:ind w:hanging="360"/>
        <w:textAlignment w:val="top"/>
        <w:divId w:val="1498613110"/>
        <w:rPr>
          <w:rFonts w:eastAsia="Times New Roman"/>
        </w:rPr>
      </w:pPr>
      <w:r>
        <w:rPr>
          <w:rFonts w:eastAsia="Times New Roman"/>
          <w:color w:val="000000"/>
          <w:sz w:val="20"/>
          <w:szCs w:val="20"/>
        </w:rPr>
        <w:t>•“Series C Preferred Stock” means Holdings’ Series C Fixed Rate Reset Noncumulative Pe</w:t>
      </w:r>
      <w:r>
        <w:rPr>
          <w:rFonts w:eastAsia="Times New Roman"/>
          <w:color w:val="000000"/>
          <w:sz w:val="20"/>
          <w:szCs w:val="20"/>
        </w:rPr>
        <w:t>rpetual Preferred Stock</w:t>
      </w:r>
    </w:p>
    <w:p w:rsidR="00000000" w:rsidRDefault="00897B14">
      <w:pPr>
        <w:ind w:hanging="360"/>
        <w:jc w:val="both"/>
        <w:textAlignment w:val="top"/>
        <w:divId w:val="144277436"/>
        <w:rPr>
          <w:rFonts w:eastAsia="Times New Roman"/>
        </w:rPr>
      </w:pPr>
      <w:r>
        <w:rPr>
          <w:rFonts w:eastAsia="Times New Roman"/>
          <w:color w:val="000000"/>
          <w:sz w:val="20"/>
          <w:szCs w:val="20"/>
        </w:rPr>
        <w:t>•“SIO” means structured investment option</w:t>
      </w:r>
    </w:p>
    <w:p w:rsidR="00000000" w:rsidRDefault="00897B14">
      <w:pPr>
        <w:ind w:hanging="360"/>
        <w:textAlignment w:val="top"/>
        <w:divId w:val="265115887"/>
        <w:rPr>
          <w:rFonts w:eastAsia="Times New Roman"/>
        </w:rPr>
      </w:pPr>
      <w:r>
        <w:rPr>
          <w:rFonts w:eastAsia="Times New Roman"/>
          <w:color w:val="000000"/>
          <w:sz w:val="20"/>
          <w:szCs w:val="20"/>
        </w:rPr>
        <w:t xml:space="preserve">•“SPE” means special purpose entity </w:t>
      </w:r>
    </w:p>
    <w:p w:rsidR="00000000" w:rsidRDefault="00897B14">
      <w:pPr>
        <w:ind w:firstLine="360"/>
        <w:textAlignment w:val="top"/>
        <w:divId w:val="1557472467"/>
        <w:rPr>
          <w:rFonts w:eastAsia="Times New Roman"/>
        </w:rPr>
      </w:pPr>
      <w:r>
        <w:rPr>
          <w:rFonts w:eastAsia="Times New Roman"/>
          <w:color w:val="000000"/>
          <w:sz w:val="20"/>
          <w:szCs w:val="20"/>
        </w:rPr>
        <w:t>•“SVO” means Securities Valuation Office</w:t>
      </w:r>
    </w:p>
    <w:p w:rsidR="00000000" w:rsidRDefault="00897B14">
      <w:pPr>
        <w:textAlignment w:val="top"/>
        <w:divId w:val="1265073971"/>
        <w:rPr>
          <w:rFonts w:eastAsia="Times New Roman"/>
        </w:rPr>
      </w:pPr>
      <w:r>
        <w:rPr>
          <w:rFonts w:eastAsia="Times New Roman"/>
          <w:color w:val="000000"/>
          <w:sz w:val="20"/>
          <w:szCs w:val="20"/>
        </w:rPr>
        <w:t>•“TDRs” means troubled debt restructurings</w:t>
      </w:r>
    </w:p>
    <w:p w:rsidR="00000000" w:rsidRDefault="00897B14">
      <w:pPr>
        <w:ind w:hanging="360"/>
        <w:textAlignment w:val="top"/>
        <w:divId w:val="1770739470"/>
        <w:rPr>
          <w:rFonts w:eastAsia="Times New Roman"/>
        </w:rPr>
      </w:pPr>
      <w:r>
        <w:rPr>
          <w:rFonts w:eastAsia="Times New Roman"/>
          <w:color w:val="000000"/>
          <w:sz w:val="20"/>
          <w:szCs w:val="20"/>
        </w:rPr>
        <w:t>•“TIPS” means treasury inflation-protected securities</w:t>
      </w:r>
    </w:p>
    <w:p w:rsidR="00000000" w:rsidRDefault="00897B14">
      <w:pPr>
        <w:ind w:hanging="360"/>
        <w:textAlignment w:val="top"/>
        <w:divId w:val="1518500437"/>
        <w:rPr>
          <w:rFonts w:eastAsia="Times New Roman"/>
        </w:rPr>
      </w:pPr>
      <w:r>
        <w:rPr>
          <w:rFonts w:eastAsia="Times New Roman"/>
          <w:color w:val="000000"/>
          <w:sz w:val="20"/>
          <w:szCs w:val="20"/>
        </w:rPr>
        <w:t>•“U.S. GAAP” me</w:t>
      </w:r>
      <w:r>
        <w:rPr>
          <w:rFonts w:eastAsia="Times New Roman"/>
          <w:color w:val="000000"/>
          <w:sz w:val="20"/>
          <w:szCs w:val="20"/>
        </w:rPr>
        <w:t>ans accounting principles generally accepted in the United States of America</w:t>
      </w:r>
    </w:p>
    <w:p w:rsidR="00000000" w:rsidRDefault="00897B14">
      <w:pPr>
        <w:ind w:hanging="360"/>
        <w:jc w:val="both"/>
        <w:textAlignment w:val="top"/>
        <w:divId w:val="1098217028"/>
        <w:rPr>
          <w:rFonts w:eastAsia="Times New Roman"/>
        </w:rPr>
      </w:pPr>
      <w:r>
        <w:rPr>
          <w:rFonts w:eastAsia="Times New Roman"/>
          <w:color w:val="000000"/>
          <w:sz w:val="20"/>
          <w:szCs w:val="20"/>
        </w:rPr>
        <w:t>•“UL” means universal life</w:t>
      </w:r>
    </w:p>
    <w:p w:rsidR="00000000" w:rsidRDefault="00897B14">
      <w:pPr>
        <w:ind w:hanging="360"/>
        <w:textAlignment w:val="top"/>
        <w:divId w:val="1280646900"/>
        <w:rPr>
          <w:rFonts w:eastAsia="Times New Roman"/>
        </w:rPr>
      </w:pPr>
      <w:r>
        <w:rPr>
          <w:rFonts w:eastAsia="Times New Roman"/>
          <w:color w:val="000000"/>
          <w:sz w:val="20"/>
          <w:szCs w:val="20"/>
        </w:rPr>
        <w:t>•“ULSG” means universal life products with secondary guarantee</w:t>
      </w:r>
    </w:p>
    <w:p w:rsidR="00000000" w:rsidRDefault="00897B14">
      <w:pPr>
        <w:ind w:hanging="360"/>
        <w:textAlignment w:val="top"/>
        <w:divId w:val="1988782396"/>
        <w:rPr>
          <w:rFonts w:eastAsia="Times New Roman"/>
        </w:rPr>
      </w:pPr>
      <w:r>
        <w:rPr>
          <w:rFonts w:eastAsia="Times New Roman"/>
          <w:color w:val="000000"/>
          <w:sz w:val="20"/>
          <w:szCs w:val="20"/>
        </w:rPr>
        <w:t>•“USFL” means U.S. Financial Life Insurance Company</w:t>
      </w:r>
    </w:p>
    <w:p w:rsidR="00000000" w:rsidRDefault="00897B14">
      <w:pPr>
        <w:ind w:hanging="360"/>
        <w:textAlignment w:val="top"/>
        <w:divId w:val="1462072845"/>
        <w:rPr>
          <w:rFonts w:eastAsia="Times New Roman"/>
        </w:rPr>
      </w:pPr>
      <w:r>
        <w:rPr>
          <w:rFonts w:eastAsia="Times New Roman"/>
          <w:color w:val="000000"/>
          <w:sz w:val="20"/>
          <w:szCs w:val="20"/>
        </w:rPr>
        <w:t>•“Venerable” means Venerable Holdings</w:t>
      </w:r>
      <w:r>
        <w:rPr>
          <w:rFonts w:eastAsia="Times New Roman"/>
          <w:color w:val="000000"/>
          <w:sz w:val="20"/>
          <w:szCs w:val="20"/>
        </w:rPr>
        <w:t>, Inc.</w:t>
      </w:r>
    </w:p>
    <w:p w:rsidR="00000000" w:rsidRDefault="00897B14">
      <w:pPr>
        <w:ind w:hanging="360"/>
        <w:textAlignment w:val="top"/>
        <w:divId w:val="1777556558"/>
        <w:rPr>
          <w:rFonts w:eastAsia="Times New Roman"/>
        </w:rPr>
      </w:pPr>
      <w:r>
        <w:rPr>
          <w:rFonts w:eastAsia="Times New Roman"/>
          <w:color w:val="000000"/>
          <w:sz w:val="20"/>
          <w:szCs w:val="20"/>
        </w:rPr>
        <w:t>•“VIAC” means Venerable Insurance and Annuity Company</w:t>
      </w:r>
    </w:p>
    <w:p w:rsidR="00000000" w:rsidRDefault="00897B14">
      <w:pPr>
        <w:textAlignment w:val="top"/>
        <w:divId w:val="1189488678"/>
        <w:rPr>
          <w:rFonts w:eastAsia="Times New Roman"/>
        </w:rPr>
      </w:pPr>
      <w:r>
        <w:rPr>
          <w:rFonts w:eastAsia="Times New Roman"/>
          <w:color w:val="000000"/>
          <w:sz w:val="20"/>
          <w:szCs w:val="20"/>
        </w:rPr>
        <w:t>•“VIE” means variable interest entity</w:t>
      </w:r>
    </w:p>
    <w:p w:rsidR="00000000" w:rsidRDefault="00897B14">
      <w:pPr>
        <w:textAlignment w:val="top"/>
        <w:divId w:val="1535926602"/>
        <w:rPr>
          <w:rFonts w:eastAsia="Times New Roman"/>
        </w:rPr>
      </w:pPr>
      <w:r>
        <w:rPr>
          <w:rFonts w:eastAsia="Times New Roman"/>
          <w:color w:val="000000"/>
          <w:sz w:val="20"/>
          <w:szCs w:val="20"/>
        </w:rPr>
        <w:t>•“VISL” means variable interest-sensitive life</w:t>
      </w:r>
    </w:p>
    <w:p w:rsidR="00000000" w:rsidRDefault="00897B14">
      <w:pPr>
        <w:textAlignment w:val="top"/>
        <w:divId w:val="147135347"/>
        <w:rPr>
          <w:rFonts w:eastAsia="Times New Roman"/>
        </w:rPr>
      </w:pPr>
      <w:r>
        <w:rPr>
          <w:rFonts w:eastAsia="Times New Roman"/>
          <w:color w:val="000000"/>
          <w:sz w:val="20"/>
          <w:szCs w:val="20"/>
        </w:rPr>
        <w:t>•“VOE” means voting interest entity</w:t>
      </w:r>
    </w:p>
    <w:p w:rsidR="00000000" w:rsidRDefault="00897B14">
      <w:pPr>
        <w:ind w:hanging="360"/>
        <w:textAlignment w:val="top"/>
        <w:divId w:val="253369894"/>
        <w:rPr>
          <w:rFonts w:eastAsia="Times New Roman"/>
        </w:rPr>
      </w:pPr>
      <w:r>
        <w:rPr>
          <w:rFonts w:eastAsia="Times New Roman"/>
          <w:color w:val="000000"/>
          <w:sz w:val="20"/>
          <w:szCs w:val="20"/>
        </w:rPr>
        <w:t>•“VUL” means variable universal life</w:t>
      </w:r>
    </w:p>
    <w:p w:rsidR="00000000" w:rsidRDefault="00897B14">
      <w:pPr>
        <w:jc w:val="center"/>
        <w:divId w:val="1060708517"/>
        <w:rPr>
          <w:rFonts w:eastAsia="Times New Roman"/>
        </w:rPr>
      </w:pPr>
      <w:r>
        <w:rPr>
          <w:rFonts w:eastAsia="Times New Roman"/>
          <w:color w:val="000000"/>
          <w:sz w:val="20"/>
          <w:szCs w:val="20"/>
        </w:rPr>
        <w:t>125</w:t>
      </w:r>
    </w:p>
    <w:p w:rsidR="00000000" w:rsidRDefault="00897B14">
      <w:pPr>
        <w:rPr>
          <w:rFonts w:eastAsia="Times New Roman"/>
        </w:rPr>
      </w:pPr>
      <w:r>
        <w:rPr>
          <w:rFonts w:eastAsia="Times New Roman"/>
        </w:rPr>
        <w:pict>
          <v:rect id="_x0000_i1151" style="width:0;height:1.5pt" o:hralign="center" o:hrstd="t" o:hr="t" fillcolor="#a0a0a0" stroked="f"/>
        </w:pict>
      </w:r>
    </w:p>
    <w:p w:rsidR="00000000" w:rsidRDefault="00897B14">
      <w:pPr>
        <w:divId w:val="718629062"/>
        <w:rPr>
          <w:rFonts w:eastAsia="Times New Roman"/>
        </w:rPr>
      </w:pPr>
      <w:hyperlink w:anchor="i4720991a3d574ba2ab7d34b235a82556_10" w:history="1">
        <w:r>
          <w:rPr>
            <w:rStyle w:val="a3"/>
            <w:rFonts w:eastAsia="Times New Roman"/>
            <w:b/>
            <w:bCs/>
            <w:sz w:val="20"/>
            <w:szCs w:val="20"/>
          </w:rPr>
          <w:t>Table of Contents</w:t>
        </w:r>
      </w:hyperlink>
    </w:p>
    <w:p w:rsidR="00000000" w:rsidRDefault="00897B14">
      <w:pPr>
        <w:jc w:val="center"/>
        <w:divId w:val="97600687"/>
        <w:rPr>
          <w:rFonts w:eastAsia="Times New Roman"/>
        </w:rPr>
      </w:pPr>
      <w:r>
        <w:rPr>
          <w:rFonts w:eastAsia="Times New Roman"/>
          <w:b/>
          <w:bCs/>
          <w:color w:val="000000"/>
          <w:sz w:val="20"/>
          <w:szCs w:val="20"/>
        </w:rPr>
        <w:t>SIGNATURES</w:t>
      </w:r>
    </w:p>
    <w:p w:rsidR="00000000" w:rsidRDefault="00897B14">
      <w:pPr>
        <w:ind w:firstLine="360"/>
        <w:divId w:val="430976795"/>
        <w:rPr>
          <w:rFonts w:eastAsia="Times New Roman"/>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p>
    <w:tbl>
      <w:tblPr>
        <w:tblW w:w="4824" w:type="pct"/>
        <w:tblCellMar>
          <w:top w:w="15" w:type="dxa"/>
          <w:left w:w="15" w:type="dxa"/>
          <w:bottom w:w="15" w:type="dxa"/>
          <w:right w:w="15" w:type="dxa"/>
        </w:tblCellMar>
        <w:tblLook w:val="04A0" w:firstRow="1" w:lastRow="0" w:firstColumn="1" w:lastColumn="0" w:noHBand="0" w:noVBand="1"/>
      </w:tblPr>
      <w:tblGrid>
        <w:gridCol w:w="54"/>
        <w:gridCol w:w="2521"/>
        <w:gridCol w:w="36"/>
        <w:gridCol w:w="78"/>
        <w:gridCol w:w="244"/>
        <w:gridCol w:w="37"/>
        <w:gridCol w:w="87"/>
        <w:gridCol w:w="479"/>
        <w:gridCol w:w="36"/>
        <w:gridCol w:w="36"/>
        <w:gridCol w:w="4370"/>
        <w:gridCol w:w="36"/>
      </w:tblGrid>
      <w:tr w:rsidR="00000000">
        <w:trPr>
          <w:divId w:val="511341228"/>
        </w:trPr>
        <w:tc>
          <w:tcPr>
            <w:tcW w:w="50" w:type="pct"/>
            <w:vAlign w:val="center"/>
            <w:hideMark/>
          </w:tcPr>
          <w:p w:rsidR="00000000" w:rsidRDefault="00897B14">
            <w:pPr>
              <w:ind w:firstLine="360"/>
              <w:rPr>
                <w:rFonts w:eastAsia="Times New Roman"/>
              </w:rPr>
            </w:pPr>
          </w:p>
        </w:tc>
        <w:tc>
          <w:tcPr>
            <w:tcW w:w="158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157"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8"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c>
          <w:tcPr>
            <w:tcW w:w="50" w:type="pct"/>
            <w:vAlign w:val="center"/>
            <w:hideMark/>
          </w:tcPr>
          <w:p w:rsidR="00000000" w:rsidRDefault="00897B14">
            <w:pPr>
              <w:spacing w:after="100"/>
              <w:rPr>
                <w:rFonts w:eastAsia="Times New Roman"/>
                <w:sz w:val="20"/>
                <w:szCs w:val="20"/>
              </w:rPr>
            </w:pPr>
          </w:p>
        </w:tc>
        <w:tc>
          <w:tcPr>
            <w:tcW w:w="2755" w:type="pct"/>
            <w:vAlign w:val="center"/>
            <w:hideMark/>
          </w:tcPr>
          <w:p w:rsidR="00000000" w:rsidRDefault="00897B14">
            <w:pPr>
              <w:spacing w:after="100"/>
              <w:rPr>
                <w:rFonts w:eastAsia="Times New Roman"/>
                <w:sz w:val="20"/>
                <w:szCs w:val="20"/>
              </w:rPr>
            </w:pPr>
          </w:p>
        </w:tc>
        <w:tc>
          <w:tcPr>
            <w:tcW w:w="5" w:type="pct"/>
            <w:vAlign w:val="center"/>
            <w:hideMark/>
          </w:tcPr>
          <w:p w:rsidR="00000000" w:rsidRDefault="00897B14">
            <w:pPr>
              <w:spacing w:after="100"/>
              <w:rPr>
                <w:rFonts w:eastAsia="Times New Roman"/>
                <w:sz w:val="20"/>
                <w:szCs w:val="20"/>
              </w:rPr>
            </w:pPr>
          </w:p>
        </w:tc>
      </w:tr>
      <w:tr w:rsidR="00000000">
        <w:trPr>
          <w:divId w:val="511341228"/>
        </w:trPr>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Date: August 5, 2021</w:t>
            </w:r>
          </w:p>
        </w:tc>
        <w:tc>
          <w:tcPr>
            <w:tcW w:w="0" w:type="auto"/>
            <w:gridSpan w:val="9"/>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EQUITABLE HOLDINGS, INC.</w:t>
            </w:r>
          </w:p>
        </w:tc>
      </w:tr>
      <w:tr w:rsidR="00000000">
        <w:trPr>
          <w:divId w:val="511341228"/>
          <w:trHeight w:val="30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1134122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897B14">
            <w:pPr>
              <w:spacing w:after="100"/>
              <w:jc w:val="both"/>
              <w:rPr>
                <w:rFonts w:eastAsia="Times New Roman"/>
              </w:rPr>
            </w:pPr>
            <w:r>
              <w:rPr>
                <w:rFonts w:eastAsia="Times New Roman"/>
                <w:color w:val="000000"/>
                <w:sz w:val="20"/>
                <w:szCs w:val="20"/>
              </w:rPr>
              <w:t>By:</w:t>
            </w:r>
          </w:p>
        </w:tc>
        <w:tc>
          <w:tcPr>
            <w:tcW w:w="0" w:type="auto"/>
            <w:gridSpan w:val="6"/>
            <w:tcMar>
              <w:top w:w="30" w:type="dxa"/>
              <w:left w:w="20" w:type="dxa"/>
              <w:bottom w:w="30" w:type="dxa"/>
              <w:right w:w="20" w:type="dxa"/>
            </w:tcMar>
            <w:vAlign w:val="bottom"/>
            <w:hideMark/>
          </w:tcPr>
          <w:p w:rsidR="00000000" w:rsidRDefault="00897B14">
            <w:pPr>
              <w:spacing w:after="100"/>
              <w:jc w:val="both"/>
              <w:rPr>
                <w:rFonts w:eastAsia="Times New Roman"/>
              </w:rPr>
            </w:pPr>
            <w:r>
              <w:rPr>
                <w:rFonts w:eastAsia="Times New Roman"/>
                <w:color w:val="000000"/>
                <w:sz w:val="20"/>
                <w:szCs w:val="20"/>
              </w:rPr>
              <w:t>/s/ Robin M. Raju</w:t>
            </w:r>
          </w:p>
        </w:tc>
      </w:tr>
      <w:tr w:rsidR="00000000">
        <w:trPr>
          <w:divId w:val="511341228"/>
        </w:trPr>
        <w:tc>
          <w:tcPr>
            <w:tcW w:w="0" w:type="auto"/>
            <w:gridSpan w:val="3"/>
            <w:tcMar>
              <w:top w:w="0" w:type="dxa"/>
              <w:left w:w="20" w:type="dxa"/>
              <w:bottom w:w="0" w:type="dxa"/>
              <w:right w:w="20" w:type="dxa"/>
            </w:tcMar>
            <w:vAlign w:val="center"/>
            <w:hideMark/>
          </w:tcPr>
          <w:p w:rsidR="00000000" w:rsidRDefault="00897B14">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20"/>
                <w:szCs w:val="20"/>
              </w:rPr>
              <w:t>Robin M. Raju</w:t>
            </w:r>
          </w:p>
        </w:tc>
      </w:tr>
      <w:tr w:rsidR="00000000">
        <w:trPr>
          <w:divId w:val="511341228"/>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hideMark/>
          </w:tcPr>
          <w:p w:rsidR="00000000" w:rsidRDefault="00897B14">
            <w:pPr>
              <w:spacing w:after="100"/>
              <w:rPr>
                <w:rFonts w:eastAsia="Times New Roman"/>
              </w:rPr>
            </w:pPr>
            <w:r>
              <w:rPr>
                <w:rFonts w:eastAsia="Times New Roman"/>
                <w:color w:val="000000"/>
                <w:sz w:val="20"/>
                <w:szCs w:val="20"/>
              </w:rPr>
              <w:t>Senior Executive Vice President and Chief Financial Officer</w:t>
            </w:r>
            <w:r>
              <w:rPr>
                <w:rFonts w:eastAsia="Times New Roman"/>
                <w:color w:val="000000"/>
                <w:sz w:val="20"/>
                <w:szCs w:val="20"/>
              </w:rPr>
              <w:br/>
              <w:t>(Principal Financial Officer)</w:t>
            </w:r>
          </w:p>
        </w:tc>
      </w:tr>
      <w:tr w:rsidR="00000000">
        <w:trPr>
          <w:divId w:val="511341228"/>
          <w:trHeight w:val="300"/>
        </w:trPr>
        <w:tc>
          <w:tcPr>
            <w:tcW w:w="0" w:type="auto"/>
            <w:gridSpan w:val="3"/>
            <w:tcMar>
              <w:top w:w="0" w:type="dxa"/>
              <w:left w:w="20" w:type="dxa"/>
              <w:bottom w:w="0" w:type="dxa"/>
              <w:right w:w="20" w:type="dxa"/>
            </w:tcMar>
            <w:vAlign w:val="center"/>
            <w:hideMark/>
          </w:tcPr>
          <w:p w:rsidR="00000000" w:rsidRDefault="00897B1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897B14">
            <w:pPr>
              <w:spacing w:after="100"/>
              <w:rPr>
                <w:rFonts w:eastAsia="Times New Roman"/>
                <w:sz w:val="20"/>
                <w:szCs w:val="20"/>
              </w:rPr>
            </w:pPr>
          </w:p>
        </w:tc>
      </w:tr>
      <w:tr w:rsidR="00000000">
        <w:trPr>
          <w:divId w:val="511341228"/>
        </w:trPr>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Date: August 5, 2021</w:t>
            </w: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897B14">
            <w:pPr>
              <w:spacing w:after="100"/>
              <w:jc w:val="both"/>
              <w:rPr>
                <w:rFonts w:eastAsia="Times New Roman"/>
              </w:rPr>
            </w:pPr>
            <w:r>
              <w:rPr>
                <w:rFonts w:eastAsia="Times New Roman"/>
                <w:color w:val="000000"/>
                <w:sz w:val="20"/>
                <w:szCs w:val="20"/>
              </w:rPr>
              <w:t>/s/ William Eckert</w:t>
            </w:r>
          </w:p>
        </w:tc>
      </w:tr>
      <w:tr w:rsidR="00000000">
        <w:trPr>
          <w:divId w:val="511341228"/>
        </w:trPr>
        <w:tc>
          <w:tcPr>
            <w:tcW w:w="0" w:type="auto"/>
            <w:gridSpan w:val="3"/>
            <w:tcMar>
              <w:top w:w="0" w:type="dxa"/>
              <w:left w:w="20" w:type="dxa"/>
              <w:bottom w:w="0" w:type="dxa"/>
              <w:right w:w="20" w:type="dxa"/>
            </w:tcMar>
            <w:vAlign w:val="center"/>
            <w:hideMark/>
          </w:tcPr>
          <w:p w:rsidR="00000000" w:rsidRDefault="00897B14">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Name: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897B14">
            <w:pPr>
              <w:spacing w:after="100"/>
              <w:jc w:val="both"/>
              <w:rPr>
                <w:rFonts w:eastAsia="Times New Roman"/>
              </w:rPr>
            </w:pPr>
            <w:r>
              <w:rPr>
                <w:rFonts w:eastAsia="Times New Roman"/>
                <w:color w:val="000000"/>
                <w:sz w:val="20"/>
                <w:szCs w:val="20"/>
              </w:rPr>
              <w:t>William Eckert</w:t>
            </w:r>
          </w:p>
        </w:tc>
      </w:tr>
      <w:tr w:rsidR="00000000">
        <w:trPr>
          <w:divId w:val="511341228"/>
        </w:trPr>
        <w:tc>
          <w:tcPr>
            <w:tcW w:w="0" w:type="auto"/>
            <w:gridSpan w:val="3"/>
            <w:tcMar>
              <w:top w:w="0" w:type="dxa"/>
              <w:left w:w="20" w:type="dxa"/>
              <w:bottom w:w="0" w:type="dxa"/>
              <w:right w:w="20" w:type="dxa"/>
            </w:tcMar>
            <w:vAlign w:val="center"/>
            <w:hideMark/>
          </w:tcPr>
          <w:p w:rsidR="00000000" w:rsidRDefault="00897B14">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897B14">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897B14">
            <w:pPr>
              <w:spacing w:after="100"/>
              <w:jc w:val="both"/>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rsidR="00000000" w:rsidRDefault="00897B14">
            <w:pPr>
              <w:spacing w:after="100"/>
              <w:jc w:val="both"/>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p>
        </w:tc>
      </w:tr>
    </w:tbl>
    <w:p w:rsidR="00000000" w:rsidRDefault="00897B14">
      <w:pPr>
        <w:divId w:val="1777943086"/>
        <w:rPr>
          <w:rFonts w:eastAsia="Times New Roman"/>
        </w:rPr>
      </w:pPr>
    </w:p>
    <w:p w:rsidR="00897B14" w:rsidRDefault="00897B14">
      <w:pPr>
        <w:jc w:val="center"/>
        <w:divId w:val="2073769269"/>
        <w:rPr>
          <w:rFonts w:eastAsia="Times New Roman"/>
        </w:rPr>
      </w:pPr>
      <w:r>
        <w:rPr>
          <w:rFonts w:eastAsia="Times New Roman"/>
          <w:color w:val="000000"/>
          <w:sz w:val="20"/>
          <w:szCs w:val="20"/>
        </w:rPr>
        <w:t>126</w:t>
      </w:r>
    </w:p>
    <w:sectPr w:rsidR="00897B1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7B14"/>
    <w:rsid w:val="00897B14"/>
  </w:rsids>
  <m:mathPr>
    <m:mathFont m:val="Cambria Math"/>
    <m:brkBin m:val="before"/>
    <m:brkBinSub m:val="--"/>
    <m:smallFrac m:val="0"/>
    <m:dispDef/>
    <m:lMargin m:val="0"/>
    <m:rMargin m:val="0"/>
    <m:defJc m:val="centerGroup"/>
    <m:wrapIndent m:val="1440"/>
    <m:intLim m:val="subSup"/>
    <m:naryLim m:val="undOvr"/>
  </m:mathPr>
  <w:attachedSchema w:val="http://fasb.org/srt/2021-01-31"/>
  <w:attachedSchema w:val="http://xbrl.sec.gov/stpr/2021"/>
  <w:attachedSchema w:val="http://www.w3.org/1999/xlink"/>
  <w:attachedSchema w:val="http://www.equitable.com/20210630"/>
  <w:attachedSchema w:val="http://www.xbrl.org/2003/iso4217"/>
  <w:attachedSchema w:val="http://xbrl.sec.gov/dei/2021"/>
  <w:attachedSchema w:val="http://www.xbrl.org/2003/instance"/>
  <w:attachedSchema w:val="http://xbrl.org/2006/xbrldi"/>
  <w:attachedSchema w:val="http://fasb.org/us-gaap/2021-01-31"/>
  <w:attachedSchema w:val="http://www.sec.gov/inlineXBRL/transformation/2015-08-31"/>
  <w:attachedSchema w:val="http://www.xbrl.org/2003/linkbase"/>
  <w:attachedSchema w:val="http://www.xbrl.org/inlineXBRL/transformation/2015-02-26"/>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505">
      <w:marLeft w:val="0"/>
      <w:marRight w:val="0"/>
      <w:marTop w:val="0"/>
      <w:marBottom w:val="180"/>
      <w:divBdr>
        <w:top w:val="none" w:sz="0" w:space="0" w:color="auto"/>
        <w:left w:val="none" w:sz="0" w:space="0" w:color="auto"/>
        <w:bottom w:val="none" w:sz="0" w:space="0" w:color="auto"/>
        <w:right w:val="none" w:sz="0" w:space="0" w:color="auto"/>
      </w:divBdr>
    </w:div>
    <w:div w:id="5641920">
      <w:marLeft w:val="0"/>
      <w:marRight w:val="0"/>
      <w:marTop w:val="0"/>
      <w:marBottom w:val="0"/>
      <w:divBdr>
        <w:top w:val="none" w:sz="0" w:space="0" w:color="auto"/>
        <w:left w:val="none" w:sz="0" w:space="0" w:color="auto"/>
        <w:bottom w:val="none" w:sz="0" w:space="0" w:color="auto"/>
        <w:right w:val="none" w:sz="0" w:space="0" w:color="auto"/>
      </w:divBdr>
      <w:divsChild>
        <w:div w:id="1103575965">
          <w:marLeft w:val="0"/>
          <w:marRight w:val="0"/>
          <w:marTop w:val="0"/>
          <w:marBottom w:val="0"/>
          <w:divBdr>
            <w:top w:val="none" w:sz="0" w:space="0" w:color="auto"/>
            <w:left w:val="none" w:sz="0" w:space="0" w:color="auto"/>
            <w:bottom w:val="none" w:sz="0" w:space="0" w:color="auto"/>
            <w:right w:val="none" w:sz="0" w:space="0" w:color="auto"/>
          </w:divBdr>
        </w:div>
      </w:divsChild>
    </w:div>
    <w:div w:id="7215114">
      <w:marLeft w:val="0"/>
      <w:marRight w:val="0"/>
      <w:marTop w:val="0"/>
      <w:marBottom w:val="0"/>
      <w:divBdr>
        <w:top w:val="none" w:sz="0" w:space="0" w:color="auto"/>
        <w:left w:val="none" w:sz="0" w:space="0" w:color="auto"/>
        <w:bottom w:val="none" w:sz="0" w:space="0" w:color="auto"/>
        <w:right w:val="none" w:sz="0" w:space="0" w:color="auto"/>
      </w:divBdr>
    </w:div>
    <w:div w:id="7678370">
      <w:marLeft w:val="0"/>
      <w:marRight w:val="0"/>
      <w:marTop w:val="180"/>
      <w:marBottom w:val="180"/>
      <w:divBdr>
        <w:top w:val="none" w:sz="0" w:space="0" w:color="auto"/>
        <w:left w:val="none" w:sz="0" w:space="0" w:color="auto"/>
        <w:bottom w:val="none" w:sz="0" w:space="0" w:color="auto"/>
        <w:right w:val="none" w:sz="0" w:space="0" w:color="auto"/>
      </w:divBdr>
    </w:div>
    <w:div w:id="7759423">
      <w:marLeft w:val="0"/>
      <w:marRight w:val="0"/>
      <w:marTop w:val="100"/>
      <w:marBottom w:val="240"/>
      <w:divBdr>
        <w:top w:val="none" w:sz="0" w:space="0" w:color="auto"/>
        <w:left w:val="none" w:sz="0" w:space="0" w:color="auto"/>
        <w:bottom w:val="none" w:sz="0" w:space="0" w:color="auto"/>
        <w:right w:val="none" w:sz="0" w:space="0" w:color="auto"/>
      </w:divBdr>
    </w:div>
    <w:div w:id="8069254">
      <w:marLeft w:val="0"/>
      <w:marRight w:val="0"/>
      <w:marTop w:val="120"/>
      <w:marBottom w:val="180"/>
      <w:divBdr>
        <w:top w:val="none" w:sz="0" w:space="0" w:color="auto"/>
        <w:left w:val="none" w:sz="0" w:space="0" w:color="auto"/>
        <w:bottom w:val="none" w:sz="0" w:space="0" w:color="auto"/>
        <w:right w:val="none" w:sz="0" w:space="0" w:color="auto"/>
      </w:divBdr>
    </w:div>
    <w:div w:id="9651978">
      <w:marLeft w:val="0"/>
      <w:marRight w:val="0"/>
      <w:marTop w:val="0"/>
      <w:marBottom w:val="240"/>
      <w:divBdr>
        <w:top w:val="none" w:sz="0" w:space="0" w:color="auto"/>
        <w:left w:val="none" w:sz="0" w:space="0" w:color="auto"/>
        <w:bottom w:val="none" w:sz="0" w:space="0" w:color="auto"/>
        <w:right w:val="none" w:sz="0" w:space="0" w:color="auto"/>
      </w:divBdr>
    </w:div>
    <w:div w:id="9993221">
      <w:marLeft w:val="0"/>
      <w:marRight w:val="0"/>
      <w:marTop w:val="0"/>
      <w:marBottom w:val="180"/>
      <w:divBdr>
        <w:top w:val="none" w:sz="0" w:space="0" w:color="auto"/>
        <w:left w:val="none" w:sz="0" w:space="0" w:color="auto"/>
        <w:bottom w:val="none" w:sz="0" w:space="0" w:color="auto"/>
        <w:right w:val="none" w:sz="0" w:space="0" w:color="auto"/>
      </w:divBdr>
    </w:div>
    <w:div w:id="10112617">
      <w:marLeft w:val="0"/>
      <w:marRight w:val="0"/>
      <w:marTop w:val="0"/>
      <w:marBottom w:val="180"/>
      <w:divBdr>
        <w:top w:val="none" w:sz="0" w:space="0" w:color="auto"/>
        <w:left w:val="none" w:sz="0" w:space="0" w:color="auto"/>
        <w:bottom w:val="none" w:sz="0" w:space="0" w:color="auto"/>
        <w:right w:val="none" w:sz="0" w:space="0" w:color="auto"/>
      </w:divBdr>
    </w:div>
    <w:div w:id="10301375">
      <w:marLeft w:val="0"/>
      <w:marRight w:val="0"/>
      <w:marTop w:val="180"/>
      <w:marBottom w:val="180"/>
      <w:divBdr>
        <w:top w:val="none" w:sz="0" w:space="0" w:color="auto"/>
        <w:left w:val="none" w:sz="0" w:space="0" w:color="auto"/>
        <w:bottom w:val="none" w:sz="0" w:space="0" w:color="auto"/>
        <w:right w:val="none" w:sz="0" w:space="0" w:color="auto"/>
      </w:divBdr>
    </w:div>
    <w:div w:id="14616977">
      <w:marLeft w:val="0"/>
      <w:marRight w:val="0"/>
      <w:marTop w:val="120"/>
      <w:marBottom w:val="120"/>
      <w:divBdr>
        <w:top w:val="none" w:sz="0" w:space="0" w:color="auto"/>
        <w:left w:val="none" w:sz="0" w:space="0" w:color="auto"/>
        <w:bottom w:val="none" w:sz="0" w:space="0" w:color="auto"/>
        <w:right w:val="none" w:sz="0" w:space="0" w:color="auto"/>
      </w:divBdr>
    </w:div>
    <w:div w:id="14775863">
      <w:marLeft w:val="0"/>
      <w:marRight w:val="0"/>
      <w:marTop w:val="0"/>
      <w:marBottom w:val="0"/>
      <w:divBdr>
        <w:top w:val="none" w:sz="0" w:space="0" w:color="auto"/>
        <w:left w:val="none" w:sz="0" w:space="0" w:color="auto"/>
        <w:bottom w:val="none" w:sz="0" w:space="0" w:color="auto"/>
        <w:right w:val="none" w:sz="0" w:space="0" w:color="auto"/>
      </w:divBdr>
      <w:divsChild>
        <w:div w:id="1030959076">
          <w:marLeft w:val="0"/>
          <w:marRight w:val="0"/>
          <w:marTop w:val="0"/>
          <w:marBottom w:val="0"/>
          <w:divBdr>
            <w:top w:val="none" w:sz="0" w:space="0" w:color="auto"/>
            <w:left w:val="none" w:sz="0" w:space="0" w:color="auto"/>
            <w:bottom w:val="none" w:sz="0" w:space="0" w:color="auto"/>
            <w:right w:val="none" w:sz="0" w:space="0" w:color="auto"/>
          </w:divBdr>
        </w:div>
        <w:div w:id="1498420796">
          <w:marLeft w:val="0"/>
          <w:marRight w:val="0"/>
          <w:marTop w:val="0"/>
          <w:marBottom w:val="0"/>
          <w:divBdr>
            <w:top w:val="none" w:sz="0" w:space="0" w:color="auto"/>
            <w:left w:val="none" w:sz="0" w:space="0" w:color="auto"/>
            <w:bottom w:val="none" w:sz="0" w:space="0" w:color="auto"/>
            <w:right w:val="none" w:sz="0" w:space="0" w:color="auto"/>
          </w:divBdr>
        </w:div>
      </w:divsChild>
    </w:div>
    <w:div w:id="18045688">
      <w:marLeft w:val="0"/>
      <w:marRight w:val="0"/>
      <w:marTop w:val="0"/>
      <w:marBottom w:val="180"/>
      <w:divBdr>
        <w:top w:val="none" w:sz="0" w:space="0" w:color="auto"/>
        <w:left w:val="none" w:sz="0" w:space="0" w:color="auto"/>
        <w:bottom w:val="none" w:sz="0" w:space="0" w:color="auto"/>
        <w:right w:val="none" w:sz="0" w:space="0" w:color="auto"/>
      </w:divBdr>
    </w:div>
    <w:div w:id="20785082">
      <w:marLeft w:val="0"/>
      <w:marRight w:val="0"/>
      <w:marTop w:val="180"/>
      <w:marBottom w:val="180"/>
      <w:divBdr>
        <w:top w:val="none" w:sz="0" w:space="0" w:color="auto"/>
        <w:left w:val="none" w:sz="0" w:space="0" w:color="auto"/>
        <w:bottom w:val="none" w:sz="0" w:space="0" w:color="auto"/>
        <w:right w:val="none" w:sz="0" w:space="0" w:color="auto"/>
      </w:divBdr>
    </w:div>
    <w:div w:id="21395247">
      <w:marLeft w:val="0"/>
      <w:marRight w:val="0"/>
      <w:marTop w:val="0"/>
      <w:marBottom w:val="0"/>
      <w:divBdr>
        <w:top w:val="none" w:sz="0" w:space="0" w:color="auto"/>
        <w:left w:val="none" w:sz="0" w:space="0" w:color="auto"/>
        <w:bottom w:val="none" w:sz="0" w:space="0" w:color="auto"/>
        <w:right w:val="none" w:sz="0" w:space="0" w:color="auto"/>
      </w:divBdr>
      <w:divsChild>
        <w:div w:id="675352797">
          <w:marLeft w:val="0"/>
          <w:marRight w:val="0"/>
          <w:marTop w:val="0"/>
          <w:marBottom w:val="0"/>
          <w:divBdr>
            <w:top w:val="none" w:sz="0" w:space="0" w:color="auto"/>
            <w:left w:val="none" w:sz="0" w:space="0" w:color="auto"/>
            <w:bottom w:val="none" w:sz="0" w:space="0" w:color="auto"/>
            <w:right w:val="none" w:sz="0" w:space="0" w:color="auto"/>
          </w:divBdr>
        </w:div>
      </w:divsChild>
    </w:div>
    <w:div w:id="22445659">
      <w:marLeft w:val="0"/>
      <w:marRight w:val="0"/>
      <w:marTop w:val="0"/>
      <w:marBottom w:val="0"/>
      <w:divBdr>
        <w:top w:val="none" w:sz="0" w:space="0" w:color="auto"/>
        <w:left w:val="none" w:sz="0" w:space="0" w:color="auto"/>
        <w:bottom w:val="none" w:sz="0" w:space="0" w:color="auto"/>
        <w:right w:val="none" w:sz="0" w:space="0" w:color="auto"/>
      </w:divBdr>
    </w:div>
    <w:div w:id="24406359">
      <w:marLeft w:val="0"/>
      <w:marRight w:val="0"/>
      <w:marTop w:val="0"/>
      <w:marBottom w:val="180"/>
      <w:divBdr>
        <w:top w:val="none" w:sz="0" w:space="0" w:color="auto"/>
        <w:left w:val="none" w:sz="0" w:space="0" w:color="auto"/>
        <w:bottom w:val="none" w:sz="0" w:space="0" w:color="auto"/>
        <w:right w:val="none" w:sz="0" w:space="0" w:color="auto"/>
      </w:divBdr>
    </w:div>
    <w:div w:id="26033445">
      <w:marLeft w:val="0"/>
      <w:marRight w:val="0"/>
      <w:marTop w:val="0"/>
      <w:marBottom w:val="240"/>
      <w:divBdr>
        <w:top w:val="none" w:sz="0" w:space="0" w:color="auto"/>
        <w:left w:val="none" w:sz="0" w:space="0" w:color="auto"/>
        <w:bottom w:val="none" w:sz="0" w:space="0" w:color="auto"/>
        <w:right w:val="none" w:sz="0" w:space="0" w:color="auto"/>
      </w:divBdr>
    </w:div>
    <w:div w:id="29382389">
      <w:marLeft w:val="0"/>
      <w:marRight w:val="0"/>
      <w:marTop w:val="0"/>
      <w:marBottom w:val="240"/>
      <w:divBdr>
        <w:top w:val="none" w:sz="0" w:space="0" w:color="auto"/>
        <w:left w:val="none" w:sz="0" w:space="0" w:color="auto"/>
        <w:bottom w:val="none" w:sz="0" w:space="0" w:color="auto"/>
        <w:right w:val="none" w:sz="0" w:space="0" w:color="auto"/>
      </w:divBdr>
    </w:div>
    <w:div w:id="30082812">
      <w:marLeft w:val="0"/>
      <w:marRight w:val="0"/>
      <w:marTop w:val="0"/>
      <w:marBottom w:val="180"/>
      <w:divBdr>
        <w:top w:val="none" w:sz="0" w:space="0" w:color="auto"/>
        <w:left w:val="none" w:sz="0" w:space="0" w:color="auto"/>
        <w:bottom w:val="none" w:sz="0" w:space="0" w:color="auto"/>
        <w:right w:val="none" w:sz="0" w:space="0" w:color="auto"/>
      </w:divBdr>
    </w:div>
    <w:div w:id="31997194">
      <w:marLeft w:val="0"/>
      <w:marRight w:val="0"/>
      <w:marTop w:val="0"/>
      <w:marBottom w:val="240"/>
      <w:divBdr>
        <w:top w:val="none" w:sz="0" w:space="0" w:color="auto"/>
        <w:left w:val="none" w:sz="0" w:space="0" w:color="auto"/>
        <w:bottom w:val="none" w:sz="0" w:space="0" w:color="auto"/>
        <w:right w:val="none" w:sz="0" w:space="0" w:color="auto"/>
      </w:divBdr>
    </w:div>
    <w:div w:id="35854476">
      <w:marLeft w:val="0"/>
      <w:marRight w:val="0"/>
      <w:marTop w:val="0"/>
      <w:marBottom w:val="180"/>
      <w:divBdr>
        <w:top w:val="none" w:sz="0" w:space="0" w:color="auto"/>
        <w:left w:val="none" w:sz="0" w:space="0" w:color="auto"/>
        <w:bottom w:val="none" w:sz="0" w:space="0" w:color="auto"/>
        <w:right w:val="none" w:sz="0" w:space="0" w:color="auto"/>
      </w:divBdr>
    </w:div>
    <w:div w:id="36440877">
      <w:marLeft w:val="0"/>
      <w:marRight w:val="0"/>
      <w:marTop w:val="0"/>
      <w:marBottom w:val="240"/>
      <w:divBdr>
        <w:top w:val="none" w:sz="0" w:space="0" w:color="auto"/>
        <w:left w:val="none" w:sz="0" w:space="0" w:color="auto"/>
        <w:bottom w:val="none" w:sz="0" w:space="0" w:color="auto"/>
        <w:right w:val="none" w:sz="0" w:space="0" w:color="auto"/>
      </w:divBdr>
    </w:div>
    <w:div w:id="36664855">
      <w:marLeft w:val="0"/>
      <w:marRight w:val="0"/>
      <w:marTop w:val="120"/>
      <w:marBottom w:val="120"/>
      <w:divBdr>
        <w:top w:val="none" w:sz="0" w:space="0" w:color="auto"/>
        <w:left w:val="none" w:sz="0" w:space="0" w:color="auto"/>
        <w:bottom w:val="none" w:sz="0" w:space="0" w:color="auto"/>
        <w:right w:val="none" w:sz="0" w:space="0" w:color="auto"/>
      </w:divBdr>
    </w:div>
    <w:div w:id="39211839">
      <w:marLeft w:val="0"/>
      <w:marRight w:val="0"/>
      <w:marTop w:val="0"/>
      <w:marBottom w:val="180"/>
      <w:divBdr>
        <w:top w:val="none" w:sz="0" w:space="0" w:color="auto"/>
        <w:left w:val="none" w:sz="0" w:space="0" w:color="auto"/>
        <w:bottom w:val="none" w:sz="0" w:space="0" w:color="auto"/>
        <w:right w:val="none" w:sz="0" w:space="0" w:color="auto"/>
      </w:divBdr>
    </w:div>
    <w:div w:id="40373854">
      <w:marLeft w:val="0"/>
      <w:marRight w:val="0"/>
      <w:marTop w:val="0"/>
      <w:marBottom w:val="180"/>
      <w:divBdr>
        <w:top w:val="none" w:sz="0" w:space="0" w:color="auto"/>
        <w:left w:val="none" w:sz="0" w:space="0" w:color="auto"/>
        <w:bottom w:val="none" w:sz="0" w:space="0" w:color="auto"/>
        <w:right w:val="none" w:sz="0" w:space="0" w:color="auto"/>
      </w:divBdr>
    </w:div>
    <w:div w:id="41171806">
      <w:marLeft w:val="0"/>
      <w:marRight w:val="0"/>
      <w:marTop w:val="0"/>
      <w:marBottom w:val="0"/>
      <w:divBdr>
        <w:top w:val="none" w:sz="0" w:space="0" w:color="auto"/>
        <w:left w:val="none" w:sz="0" w:space="0" w:color="auto"/>
        <w:bottom w:val="none" w:sz="0" w:space="0" w:color="auto"/>
        <w:right w:val="none" w:sz="0" w:space="0" w:color="auto"/>
      </w:divBdr>
    </w:div>
    <w:div w:id="42144369">
      <w:marLeft w:val="0"/>
      <w:marRight w:val="0"/>
      <w:marTop w:val="0"/>
      <w:marBottom w:val="60"/>
      <w:divBdr>
        <w:top w:val="none" w:sz="0" w:space="0" w:color="auto"/>
        <w:left w:val="none" w:sz="0" w:space="0" w:color="auto"/>
        <w:bottom w:val="none" w:sz="0" w:space="0" w:color="auto"/>
        <w:right w:val="none" w:sz="0" w:space="0" w:color="auto"/>
      </w:divBdr>
    </w:div>
    <w:div w:id="43144412">
      <w:marLeft w:val="0"/>
      <w:marRight w:val="0"/>
      <w:marTop w:val="0"/>
      <w:marBottom w:val="240"/>
      <w:divBdr>
        <w:top w:val="none" w:sz="0" w:space="0" w:color="auto"/>
        <w:left w:val="none" w:sz="0" w:space="0" w:color="auto"/>
        <w:bottom w:val="none" w:sz="0" w:space="0" w:color="auto"/>
        <w:right w:val="none" w:sz="0" w:space="0" w:color="auto"/>
      </w:divBdr>
    </w:div>
    <w:div w:id="43917373">
      <w:marLeft w:val="0"/>
      <w:marRight w:val="0"/>
      <w:marTop w:val="0"/>
      <w:marBottom w:val="240"/>
      <w:divBdr>
        <w:top w:val="none" w:sz="0" w:space="0" w:color="auto"/>
        <w:left w:val="none" w:sz="0" w:space="0" w:color="auto"/>
        <w:bottom w:val="none" w:sz="0" w:space="0" w:color="auto"/>
        <w:right w:val="none" w:sz="0" w:space="0" w:color="auto"/>
      </w:divBdr>
    </w:div>
    <w:div w:id="44793187">
      <w:marLeft w:val="0"/>
      <w:marRight w:val="0"/>
      <w:marTop w:val="0"/>
      <w:marBottom w:val="0"/>
      <w:divBdr>
        <w:top w:val="none" w:sz="0" w:space="0" w:color="auto"/>
        <w:left w:val="none" w:sz="0" w:space="0" w:color="auto"/>
        <w:bottom w:val="none" w:sz="0" w:space="0" w:color="auto"/>
        <w:right w:val="none" w:sz="0" w:space="0" w:color="auto"/>
      </w:divBdr>
    </w:div>
    <w:div w:id="44912028">
      <w:marLeft w:val="0"/>
      <w:marRight w:val="0"/>
      <w:marTop w:val="180"/>
      <w:marBottom w:val="180"/>
      <w:divBdr>
        <w:top w:val="none" w:sz="0" w:space="0" w:color="auto"/>
        <w:left w:val="none" w:sz="0" w:space="0" w:color="auto"/>
        <w:bottom w:val="none" w:sz="0" w:space="0" w:color="auto"/>
        <w:right w:val="none" w:sz="0" w:space="0" w:color="auto"/>
      </w:divBdr>
    </w:div>
    <w:div w:id="47463406">
      <w:marLeft w:val="0"/>
      <w:marRight w:val="0"/>
      <w:marTop w:val="0"/>
      <w:marBottom w:val="240"/>
      <w:divBdr>
        <w:top w:val="none" w:sz="0" w:space="0" w:color="auto"/>
        <w:left w:val="none" w:sz="0" w:space="0" w:color="auto"/>
        <w:bottom w:val="none" w:sz="0" w:space="0" w:color="auto"/>
        <w:right w:val="none" w:sz="0" w:space="0" w:color="auto"/>
      </w:divBdr>
    </w:div>
    <w:div w:id="48892343">
      <w:marLeft w:val="0"/>
      <w:marRight w:val="0"/>
      <w:marTop w:val="100"/>
      <w:marBottom w:val="0"/>
      <w:divBdr>
        <w:top w:val="none" w:sz="0" w:space="0" w:color="auto"/>
        <w:left w:val="none" w:sz="0" w:space="0" w:color="auto"/>
        <w:bottom w:val="none" w:sz="0" w:space="0" w:color="auto"/>
        <w:right w:val="none" w:sz="0" w:space="0" w:color="auto"/>
      </w:divBdr>
    </w:div>
    <w:div w:id="52900118">
      <w:marLeft w:val="0"/>
      <w:marRight w:val="0"/>
      <w:marTop w:val="0"/>
      <w:marBottom w:val="0"/>
      <w:divBdr>
        <w:top w:val="none" w:sz="0" w:space="0" w:color="auto"/>
        <w:left w:val="none" w:sz="0" w:space="0" w:color="auto"/>
        <w:bottom w:val="none" w:sz="0" w:space="0" w:color="auto"/>
        <w:right w:val="none" w:sz="0" w:space="0" w:color="auto"/>
      </w:divBdr>
      <w:divsChild>
        <w:div w:id="313218511">
          <w:marLeft w:val="0"/>
          <w:marRight w:val="0"/>
          <w:marTop w:val="0"/>
          <w:marBottom w:val="0"/>
          <w:divBdr>
            <w:top w:val="none" w:sz="0" w:space="0" w:color="auto"/>
            <w:left w:val="none" w:sz="0" w:space="0" w:color="auto"/>
            <w:bottom w:val="none" w:sz="0" w:space="0" w:color="auto"/>
            <w:right w:val="none" w:sz="0" w:space="0" w:color="auto"/>
          </w:divBdr>
        </w:div>
      </w:divsChild>
    </w:div>
    <w:div w:id="52966110">
      <w:marLeft w:val="0"/>
      <w:marRight w:val="0"/>
      <w:marTop w:val="180"/>
      <w:marBottom w:val="180"/>
      <w:divBdr>
        <w:top w:val="none" w:sz="0" w:space="0" w:color="auto"/>
        <w:left w:val="none" w:sz="0" w:space="0" w:color="auto"/>
        <w:bottom w:val="none" w:sz="0" w:space="0" w:color="auto"/>
        <w:right w:val="none" w:sz="0" w:space="0" w:color="auto"/>
      </w:divBdr>
    </w:div>
    <w:div w:id="56053185">
      <w:marLeft w:val="0"/>
      <w:marRight w:val="0"/>
      <w:marTop w:val="120"/>
      <w:marBottom w:val="120"/>
      <w:divBdr>
        <w:top w:val="none" w:sz="0" w:space="0" w:color="auto"/>
        <w:left w:val="none" w:sz="0" w:space="0" w:color="auto"/>
        <w:bottom w:val="none" w:sz="0" w:space="0" w:color="auto"/>
        <w:right w:val="none" w:sz="0" w:space="0" w:color="auto"/>
      </w:divBdr>
    </w:div>
    <w:div w:id="56589323">
      <w:marLeft w:val="0"/>
      <w:marRight w:val="0"/>
      <w:marTop w:val="0"/>
      <w:marBottom w:val="0"/>
      <w:divBdr>
        <w:top w:val="none" w:sz="0" w:space="0" w:color="auto"/>
        <w:left w:val="none" w:sz="0" w:space="0" w:color="auto"/>
        <w:bottom w:val="none" w:sz="0" w:space="0" w:color="auto"/>
        <w:right w:val="none" w:sz="0" w:space="0" w:color="auto"/>
      </w:divBdr>
    </w:div>
    <w:div w:id="56826303">
      <w:marLeft w:val="0"/>
      <w:marRight w:val="0"/>
      <w:marTop w:val="0"/>
      <w:marBottom w:val="240"/>
      <w:divBdr>
        <w:top w:val="none" w:sz="0" w:space="0" w:color="auto"/>
        <w:left w:val="none" w:sz="0" w:space="0" w:color="auto"/>
        <w:bottom w:val="none" w:sz="0" w:space="0" w:color="auto"/>
        <w:right w:val="none" w:sz="0" w:space="0" w:color="auto"/>
      </w:divBdr>
    </w:div>
    <w:div w:id="57827044">
      <w:marLeft w:val="0"/>
      <w:marRight w:val="0"/>
      <w:marTop w:val="0"/>
      <w:marBottom w:val="0"/>
      <w:divBdr>
        <w:top w:val="none" w:sz="0" w:space="0" w:color="auto"/>
        <w:left w:val="none" w:sz="0" w:space="0" w:color="auto"/>
        <w:bottom w:val="none" w:sz="0" w:space="0" w:color="auto"/>
        <w:right w:val="none" w:sz="0" w:space="0" w:color="auto"/>
      </w:divBdr>
      <w:divsChild>
        <w:div w:id="1092580767">
          <w:marLeft w:val="0"/>
          <w:marRight w:val="0"/>
          <w:marTop w:val="0"/>
          <w:marBottom w:val="0"/>
          <w:divBdr>
            <w:top w:val="none" w:sz="0" w:space="0" w:color="auto"/>
            <w:left w:val="none" w:sz="0" w:space="0" w:color="auto"/>
            <w:bottom w:val="none" w:sz="0" w:space="0" w:color="auto"/>
            <w:right w:val="none" w:sz="0" w:space="0" w:color="auto"/>
          </w:divBdr>
        </w:div>
      </w:divsChild>
    </w:div>
    <w:div w:id="62988180">
      <w:marLeft w:val="0"/>
      <w:marRight w:val="0"/>
      <w:marTop w:val="0"/>
      <w:marBottom w:val="0"/>
      <w:divBdr>
        <w:top w:val="none" w:sz="0" w:space="0" w:color="auto"/>
        <w:left w:val="none" w:sz="0" w:space="0" w:color="auto"/>
        <w:bottom w:val="none" w:sz="0" w:space="0" w:color="auto"/>
        <w:right w:val="none" w:sz="0" w:space="0" w:color="auto"/>
      </w:divBdr>
      <w:divsChild>
        <w:div w:id="58868557">
          <w:marLeft w:val="0"/>
          <w:marRight w:val="0"/>
          <w:marTop w:val="0"/>
          <w:marBottom w:val="0"/>
          <w:divBdr>
            <w:top w:val="none" w:sz="0" w:space="0" w:color="auto"/>
            <w:left w:val="none" w:sz="0" w:space="0" w:color="auto"/>
            <w:bottom w:val="none" w:sz="0" w:space="0" w:color="auto"/>
            <w:right w:val="none" w:sz="0" w:space="0" w:color="auto"/>
          </w:divBdr>
        </w:div>
        <w:div w:id="2086174656">
          <w:marLeft w:val="0"/>
          <w:marRight w:val="0"/>
          <w:marTop w:val="0"/>
          <w:marBottom w:val="0"/>
          <w:divBdr>
            <w:top w:val="none" w:sz="0" w:space="0" w:color="auto"/>
            <w:left w:val="none" w:sz="0" w:space="0" w:color="auto"/>
            <w:bottom w:val="none" w:sz="0" w:space="0" w:color="auto"/>
            <w:right w:val="none" w:sz="0" w:space="0" w:color="auto"/>
          </w:divBdr>
        </w:div>
      </w:divsChild>
    </w:div>
    <w:div w:id="69229969">
      <w:marLeft w:val="0"/>
      <w:marRight w:val="0"/>
      <w:marTop w:val="0"/>
      <w:marBottom w:val="0"/>
      <w:divBdr>
        <w:top w:val="none" w:sz="0" w:space="0" w:color="auto"/>
        <w:left w:val="none" w:sz="0" w:space="0" w:color="auto"/>
        <w:bottom w:val="none" w:sz="0" w:space="0" w:color="auto"/>
        <w:right w:val="none" w:sz="0" w:space="0" w:color="auto"/>
      </w:divBdr>
    </w:div>
    <w:div w:id="69349278">
      <w:marLeft w:val="0"/>
      <w:marRight w:val="0"/>
      <w:marTop w:val="0"/>
      <w:marBottom w:val="0"/>
      <w:divBdr>
        <w:top w:val="none" w:sz="0" w:space="0" w:color="auto"/>
        <w:left w:val="none" w:sz="0" w:space="0" w:color="auto"/>
        <w:bottom w:val="none" w:sz="0" w:space="0" w:color="auto"/>
        <w:right w:val="none" w:sz="0" w:space="0" w:color="auto"/>
      </w:divBdr>
      <w:divsChild>
        <w:div w:id="1423258531">
          <w:marLeft w:val="0"/>
          <w:marRight w:val="0"/>
          <w:marTop w:val="0"/>
          <w:marBottom w:val="0"/>
          <w:divBdr>
            <w:top w:val="none" w:sz="0" w:space="0" w:color="auto"/>
            <w:left w:val="none" w:sz="0" w:space="0" w:color="auto"/>
            <w:bottom w:val="none" w:sz="0" w:space="0" w:color="auto"/>
            <w:right w:val="none" w:sz="0" w:space="0" w:color="auto"/>
          </w:divBdr>
        </w:div>
      </w:divsChild>
    </w:div>
    <w:div w:id="73207440">
      <w:marLeft w:val="0"/>
      <w:marRight w:val="0"/>
      <w:marTop w:val="0"/>
      <w:marBottom w:val="0"/>
      <w:divBdr>
        <w:top w:val="none" w:sz="0" w:space="0" w:color="auto"/>
        <w:left w:val="none" w:sz="0" w:space="0" w:color="auto"/>
        <w:bottom w:val="none" w:sz="0" w:space="0" w:color="auto"/>
        <w:right w:val="none" w:sz="0" w:space="0" w:color="auto"/>
      </w:divBdr>
      <w:divsChild>
        <w:div w:id="1044906582">
          <w:marLeft w:val="0"/>
          <w:marRight w:val="0"/>
          <w:marTop w:val="0"/>
          <w:marBottom w:val="0"/>
          <w:divBdr>
            <w:top w:val="none" w:sz="0" w:space="0" w:color="auto"/>
            <w:left w:val="none" w:sz="0" w:space="0" w:color="auto"/>
            <w:bottom w:val="none" w:sz="0" w:space="0" w:color="auto"/>
            <w:right w:val="none" w:sz="0" w:space="0" w:color="auto"/>
          </w:divBdr>
        </w:div>
        <w:div w:id="490952713">
          <w:marLeft w:val="0"/>
          <w:marRight w:val="0"/>
          <w:marTop w:val="0"/>
          <w:marBottom w:val="0"/>
          <w:divBdr>
            <w:top w:val="none" w:sz="0" w:space="0" w:color="auto"/>
            <w:left w:val="none" w:sz="0" w:space="0" w:color="auto"/>
            <w:bottom w:val="none" w:sz="0" w:space="0" w:color="auto"/>
            <w:right w:val="none" w:sz="0" w:space="0" w:color="auto"/>
          </w:divBdr>
        </w:div>
      </w:divsChild>
    </w:div>
    <w:div w:id="75521166">
      <w:marLeft w:val="0"/>
      <w:marRight w:val="0"/>
      <w:marTop w:val="0"/>
      <w:marBottom w:val="0"/>
      <w:divBdr>
        <w:top w:val="none" w:sz="0" w:space="0" w:color="auto"/>
        <w:left w:val="none" w:sz="0" w:space="0" w:color="auto"/>
        <w:bottom w:val="none" w:sz="0" w:space="0" w:color="auto"/>
        <w:right w:val="none" w:sz="0" w:space="0" w:color="auto"/>
      </w:divBdr>
    </w:div>
    <w:div w:id="76446282">
      <w:marLeft w:val="0"/>
      <w:marRight w:val="0"/>
      <w:marTop w:val="100"/>
      <w:marBottom w:val="0"/>
      <w:divBdr>
        <w:top w:val="none" w:sz="0" w:space="0" w:color="auto"/>
        <w:left w:val="none" w:sz="0" w:space="0" w:color="auto"/>
        <w:bottom w:val="none" w:sz="0" w:space="0" w:color="auto"/>
        <w:right w:val="none" w:sz="0" w:space="0" w:color="auto"/>
      </w:divBdr>
      <w:divsChild>
        <w:div w:id="1690179472">
          <w:marLeft w:val="0"/>
          <w:marRight w:val="0"/>
          <w:marTop w:val="0"/>
          <w:marBottom w:val="0"/>
          <w:divBdr>
            <w:top w:val="none" w:sz="0" w:space="0" w:color="auto"/>
            <w:left w:val="none" w:sz="0" w:space="0" w:color="auto"/>
            <w:bottom w:val="none" w:sz="0" w:space="0" w:color="auto"/>
            <w:right w:val="none" w:sz="0" w:space="0" w:color="auto"/>
          </w:divBdr>
        </w:div>
        <w:div w:id="2085451482">
          <w:marLeft w:val="0"/>
          <w:marRight w:val="0"/>
          <w:marTop w:val="0"/>
          <w:marBottom w:val="0"/>
          <w:divBdr>
            <w:top w:val="none" w:sz="0" w:space="0" w:color="auto"/>
            <w:left w:val="none" w:sz="0" w:space="0" w:color="auto"/>
            <w:bottom w:val="none" w:sz="0" w:space="0" w:color="auto"/>
            <w:right w:val="none" w:sz="0" w:space="0" w:color="auto"/>
          </w:divBdr>
        </w:div>
      </w:divsChild>
    </w:div>
    <w:div w:id="77095868">
      <w:marLeft w:val="0"/>
      <w:marRight w:val="0"/>
      <w:marTop w:val="180"/>
      <w:marBottom w:val="180"/>
      <w:divBdr>
        <w:top w:val="none" w:sz="0" w:space="0" w:color="auto"/>
        <w:left w:val="none" w:sz="0" w:space="0" w:color="auto"/>
        <w:bottom w:val="none" w:sz="0" w:space="0" w:color="auto"/>
        <w:right w:val="none" w:sz="0" w:space="0" w:color="auto"/>
      </w:divBdr>
    </w:div>
    <w:div w:id="77948639">
      <w:marLeft w:val="0"/>
      <w:marRight w:val="0"/>
      <w:marTop w:val="0"/>
      <w:marBottom w:val="180"/>
      <w:divBdr>
        <w:top w:val="none" w:sz="0" w:space="0" w:color="auto"/>
        <w:left w:val="none" w:sz="0" w:space="0" w:color="auto"/>
        <w:bottom w:val="none" w:sz="0" w:space="0" w:color="auto"/>
        <w:right w:val="none" w:sz="0" w:space="0" w:color="auto"/>
      </w:divBdr>
    </w:div>
    <w:div w:id="79908665">
      <w:marLeft w:val="0"/>
      <w:marRight w:val="0"/>
      <w:marTop w:val="0"/>
      <w:marBottom w:val="180"/>
      <w:divBdr>
        <w:top w:val="none" w:sz="0" w:space="0" w:color="auto"/>
        <w:left w:val="none" w:sz="0" w:space="0" w:color="auto"/>
        <w:bottom w:val="none" w:sz="0" w:space="0" w:color="auto"/>
        <w:right w:val="none" w:sz="0" w:space="0" w:color="auto"/>
      </w:divBdr>
    </w:div>
    <w:div w:id="81873959">
      <w:marLeft w:val="0"/>
      <w:marRight w:val="0"/>
      <w:marTop w:val="180"/>
      <w:marBottom w:val="180"/>
      <w:divBdr>
        <w:top w:val="none" w:sz="0" w:space="0" w:color="auto"/>
        <w:left w:val="none" w:sz="0" w:space="0" w:color="auto"/>
        <w:bottom w:val="none" w:sz="0" w:space="0" w:color="auto"/>
        <w:right w:val="none" w:sz="0" w:space="0" w:color="auto"/>
      </w:divBdr>
    </w:div>
    <w:div w:id="81949799">
      <w:marLeft w:val="0"/>
      <w:marRight w:val="0"/>
      <w:marTop w:val="0"/>
      <w:marBottom w:val="0"/>
      <w:divBdr>
        <w:top w:val="none" w:sz="0" w:space="0" w:color="auto"/>
        <w:left w:val="none" w:sz="0" w:space="0" w:color="auto"/>
        <w:bottom w:val="none" w:sz="0" w:space="0" w:color="auto"/>
        <w:right w:val="none" w:sz="0" w:space="0" w:color="auto"/>
      </w:divBdr>
      <w:divsChild>
        <w:div w:id="492526128">
          <w:marLeft w:val="0"/>
          <w:marRight w:val="0"/>
          <w:marTop w:val="0"/>
          <w:marBottom w:val="0"/>
          <w:divBdr>
            <w:top w:val="none" w:sz="0" w:space="0" w:color="auto"/>
            <w:left w:val="none" w:sz="0" w:space="0" w:color="auto"/>
            <w:bottom w:val="none" w:sz="0" w:space="0" w:color="auto"/>
            <w:right w:val="none" w:sz="0" w:space="0" w:color="auto"/>
          </w:divBdr>
        </w:div>
      </w:divsChild>
    </w:div>
    <w:div w:id="83572404">
      <w:marLeft w:val="0"/>
      <w:marRight w:val="0"/>
      <w:marTop w:val="120"/>
      <w:marBottom w:val="240"/>
      <w:divBdr>
        <w:top w:val="none" w:sz="0" w:space="0" w:color="auto"/>
        <w:left w:val="none" w:sz="0" w:space="0" w:color="auto"/>
        <w:bottom w:val="none" w:sz="0" w:space="0" w:color="auto"/>
        <w:right w:val="none" w:sz="0" w:space="0" w:color="auto"/>
      </w:divBdr>
    </w:div>
    <w:div w:id="85656158">
      <w:marLeft w:val="0"/>
      <w:marRight w:val="0"/>
      <w:marTop w:val="0"/>
      <w:marBottom w:val="180"/>
      <w:divBdr>
        <w:top w:val="none" w:sz="0" w:space="0" w:color="auto"/>
        <w:left w:val="none" w:sz="0" w:space="0" w:color="auto"/>
        <w:bottom w:val="none" w:sz="0" w:space="0" w:color="auto"/>
        <w:right w:val="none" w:sz="0" w:space="0" w:color="auto"/>
      </w:divBdr>
    </w:div>
    <w:div w:id="86318321">
      <w:marLeft w:val="0"/>
      <w:marRight w:val="0"/>
      <w:marTop w:val="0"/>
      <w:marBottom w:val="240"/>
      <w:divBdr>
        <w:top w:val="none" w:sz="0" w:space="0" w:color="auto"/>
        <w:left w:val="none" w:sz="0" w:space="0" w:color="auto"/>
        <w:bottom w:val="none" w:sz="0" w:space="0" w:color="auto"/>
        <w:right w:val="none" w:sz="0" w:space="0" w:color="auto"/>
      </w:divBdr>
    </w:div>
    <w:div w:id="86775523">
      <w:marLeft w:val="0"/>
      <w:marRight w:val="0"/>
      <w:marTop w:val="120"/>
      <w:marBottom w:val="120"/>
      <w:divBdr>
        <w:top w:val="none" w:sz="0" w:space="0" w:color="auto"/>
        <w:left w:val="none" w:sz="0" w:space="0" w:color="auto"/>
        <w:bottom w:val="none" w:sz="0" w:space="0" w:color="auto"/>
        <w:right w:val="none" w:sz="0" w:space="0" w:color="auto"/>
      </w:divBdr>
    </w:div>
    <w:div w:id="86923938">
      <w:marLeft w:val="0"/>
      <w:marRight w:val="0"/>
      <w:marTop w:val="0"/>
      <w:marBottom w:val="240"/>
      <w:divBdr>
        <w:top w:val="none" w:sz="0" w:space="0" w:color="auto"/>
        <w:left w:val="none" w:sz="0" w:space="0" w:color="auto"/>
        <w:bottom w:val="none" w:sz="0" w:space="0" w:color="auto"/>
        <w:right w:val="none" w:sz="0" w:space="0" w:color="auto"/>
      </w:divBdr>
    </w:div>
    <w:div w:id="88701921">
      <w:marLeft w:val="0"/>
      <w:marRight w:val="0"/>
      <w:marTop w:val="180"/>
      <w:marBottom w:val="180"/>
      <w:divBdr>
        <w:top w:val="none" w:sz="0" w:space="0" w:color="auto"/>
        <w:left w:val="none" w:sz="0" w:space="0" w:color="auto"/>
        <w:bottom w:val="none" w:sz="0" w:space="0" w:color="auto"/>
        <w:right w:val="none" w:sz="0" w:space="0" w:color="auto"/>
      </w:divBdr>
    </w:div>
    <w:div w:id="90584862">
      <w:marLeft w:val="0"/>
      <w:marRight w:val="0"/>
      <w:marTop w:val="120"/>
      <w:marBottom w:val="180"/>
      <w:divBdr>
        <w:top w:val="none" w:sz="0" w:space="0" w:color="auto"/>
        <w:left w:val="none" w:sz="0" w:space="0" w:color="auto"/>
        <w:bottom w:val="none" w:sz="0" w:space="0" w:color="auto"/>
        <w:right w:val="none" w:sz="0" w:space="0" w:color="auto"/>
      </w:divBdr>
    </w:div>
    <w:div w:id="90971865">
      <w:marLeft w:val="0"/>
      <w:marRight w:val="0"/>
      <w:marTop w:val="180"/>
      <w:marBottom w:val="180"/>
      <w:divBdr>
        <w:top w:val="none" w:sz="0" w:space="0" w:color="auto"/>
        <w:left w:val="none" w:sz="0" w:space="0" w:color="auto"/>
        <w:bottom w:val="none" w:sz="0" w:space="0" w:color="auto"/>
        <w:right w:val="none" w:sz="0" w:space="0" w:color="auto"/>
      </w:divBdr>
    </w:div>
    <w:div w:id="91046959">
      <w:marLeft w:val="0"/>
      <w:marRight w:val="0"/>
      <w:marTop w:val="0"/>
      <w:marBottom w:val="0"/>
      <w:divBdr>
        <w:top w:val="none" w:sz="0" w:space="0" w:color="auto"/>
        <w:left w:val="none" w:sz="0" w:space="0" w:color="auto"/>
        <w:bottom w:val="none" w:sz="0" w:space="0" w:color="auto"/>
        <w:right w:val="none" w:sz="0" w:space="0" w:color="auto"/>
      </w:divBdr>
      <w:divsChild>
        <w:div w:id="545800593">
          <w:marLeft w:val="0"/>
          <w:marRight w:val="0"/>
          <w:marTop w:val="0"/>
          <w:marBottom w:val="0"/>
          <w:divBdr>
            <w:top w:val="none" w:sz="0" w:space="0" w:color="auto"/>
            <w:left w:val="none" w:sz="0" w:space="0" w:color="auto"/>
            <w:bottom w:val="none" w:sz="0" w:space="0" w:color="auto"/>
            <w:right w:val="none" w:sz="0" w:space="0" w:color="auto"/>
          </w:divBdr>
        </w:div>
      </w:divsChild>
    </w:div>
    <w:div w:id="91097081">
      <w:marLeft w:val="0"/>
      <w:marRight w:val="0"/>
      <w:marTop w:val="100"/>
      <w:marBottom w:val="0"/>
      <w:divBdr>
        <w:top w:val="none" w:sz="0" w:space="0" w:color="auto"/>
        <w:left w:val="none" w:sz="0" w:space="0" w:color="auto"/>
        <w:bottom w:val="none" w:sz="0" w:space="0" w:color="auto"/>
        <w:right w:val="none" w:sz="0" w:space="0" w:color="auto"/>
      </w:divBdr>
      <w:divsChild>
        <w:div w:id="554661477">
          <w:marLeft w:val="0"/>
          <w:marRight w:val="0"/>
          <w:marTop w:val="0"/>
          <w:marBottom w:val="0"/>
          <w:divBdr>
            <w:top w:val="none" w:sz="0" w:space="0" w:color="auto"/>
            <w:left w:val="none" w:sz="0" w:space="0" w:color="auto"/>
            <w:bottom w:val="none" w:sz="0" w:space="0" w:color="auto"/>
            <w:right w:val="none" w:sz="0" w:space="0" w:color="auto"/>
          </w:divBdr>
        </w:div>
        <w:div w:id="619191231">
          <w:marLeft w:val="0"/>
          <w:marRight w:val="0"/>
          <w:marTop w:val="0"/>
          <w:marBottom w:val="0"/>
          <w:divBdr>
            <w:top w:val="none" w:sz="0" w:space="0" w:color="auto"/>
            <w:left w:val="none" w:sz="0" w:space="0" w:color="auto"/>
            <w:bottom w:val="none" w:sz="0" w:space="0" w:color="auto"/>
            <w:right w:val="none" w:sz="0" w:space="0" w:color="auto"/>
          </w:divBdr>
        </w:div>
        <w:div w:id="148375443">
          <w:marLeft w:val="0"/>
          <w:marRight w:val="0"/>
          <w:marTop w:val="0"/>
          <w:marBottom w:val="0"/>
          <w:divBdr>
            <w:top w:val="none" w:sz="0" w:space="0" w:color="auto"/>
            <w:left w:val="none" w:sz="0" w:space="0" w:color="auto"/>
            <w:bottom w:val="none" w:sz="0" w:space="0" w:color="auto"/>
            <w:right w:val="none" w:sz="0" w:space="0" w:color="auto"/>
          </w:divBdr>
        </w:div>
        <w:div w:id="361706799">
          <w:marLeft w:val="0"/>
          <w:marRight w:val="0"/>
          <w:marTop w:val="0"/>
          <w:marBottom w:val="0"/>
          <w:divBdr>
            <w:top w:val="none" w:sz="0" w:space="0" w:color="auto"/>
            <w:left w:val="none" w:sz="0" w:space="0" w:color="auto"/>
            <w:bottom w:val="none" w:sz="0" w:space="0" w:color="auto"/>
            <w:right w:val="none" w:sz="0" w:space="0" w:color="auto"/>
          </w:divBdr>
        </w:div>
      </w:divsChild>
    </w:div>
    <w:div w:id="91242583">
      <w:marLeft w:val="0"/>
      <w:marRight w:val="0"/>
      <w:marTop w:val="0"/>
      <w:marBottom w:val="0"/>
      <w:divBdr>
        <w:top w:val="none" w:sz="0" w:space="0" w:color="auto"/>
        <w:left w:val="none" w:sz="0" w:space="0" w:color="auto"/>
        <w:bottom w:val="none" w:sz="0" w:space="0" w:color="auto"/>
        <w:right w:val="none" w:sz="0" w:space="0" w:color="auto"/>
      </w:divBdr>
    </w:div>
    <w:div w:id="94450637">
      <w:marLeft w:val="0"/>
      <w:marRight w:val="0"/>
      <w:marTop w:val="100"/>
      <w:marBottom w:val="0"/>
      <w:divBdr>
        <w:top w:val="none" w:sz="0" w:space="0" w:color="auto"/>
        <w:left w:val="none" w:sz="0" w:space="0" w:color="auto"/>
        <w:bottom w:val="none" w:sz="0" w:space="0" w:color="auto"/>
        <w:right w:val="none" w:sz="0" w:space="0" w:color="auto"/>
      </w:divBdr>
    </w:div>
    <w:div w:id="95252107">
      <w:marLeft w:val="0"/>
      <w:marRight w:val="0"/>
      <w:marTop w:val="0"/>
      <w:marBottom w:val="240"/>
      <w:divBdr>
        <w:top w:val="none" w:sz="0" w:space="0" w:color="auto"/>
        <w:left w:val="none" w:sz="0" w:space="0" w:color="auto"/>
        <w:bottom w:val="none" w:sz="0" w:space="0" w:color="auto"/>
        <w:right w:val="none" w:sz="0" w:space="0" w:color="auto"/>
      </w:divBdr>
    </w:div>
    <w:div w:id="96566668">
      <w:marLeft w:val="0"/>
      <w:marRight w:val="0"/>
      <w:marTop w:val="0"/>
      <w:marBottom w:val="180"/>
      <w:divBdr>
        <w:top w:val="none" w:sz="0" w:space="0" w:color="auto"/>
        <w:left w:val="none" w:sz="0" w:space="0" w:color="auto"/>
        <w:bottom w:val="none" w:sz="0" w:space="0" w:color="auto"/>
        <w:right w:val="none" w:sz="0" w:space="0" w:color="auto"/>
      </w:divBdr>
    </w:div>
    <w:div w:id="97600687">
      <w:marLeft w:val="0"/>
      <w:marRight w:val="0"/>
      <w:marTop w:val="0"/>
      <w:marBottom w:val="180"/>
      <w:divBdr>
        <w:top w:val="none" w:sz="0" w:space="0" w:color="auto"/>
        <w:left w:val="none" w:sz="0" w:space="0" w:color="auto"/>
        <w:bottom w:val="none" w:sz="0" w:space="0" w:color="auto"/>
        <w:right w:val="none" w:sz="0" w:space="0" w:color="auto"/>
      </w:divBdr>
    </w:div>
    <w:div w:id="100683254">
      <w:marLeft w:val="0"/>
      <w:marRight w:val="0"/>
      <w:marTop w:val="0"/>
      <w:marBottom w:val="180"/>
      <w:divBdr>
        <w:top w:val="none" w:sz="0" w:space="0" w:color="auto"/>
        <w:left w:val="none" w:sz="0" w:space="0" w:color="auto"/>
        <w:bottom w:val="none" w:sz="0" w:space="0" w:color="auto"/>
        <w:right w:val="none" w:sz="0" w:space="0" w:color="auto"/>
      </w:divBdr>
    </w:div>
    <w:div w:id="102117404">
      <w:marLeft w:val="0"/>
      <w:marRight w:val="0"/>
      <w:marTop w:val="0"/>
      <w:marBottom w:val="180"/>
      <w:divBdr>
        <w:top w:val="none" w:sz="0" w:space="0" w:color="auto"/>
        <w:left w:val="none" w:sz="0" w:space="0" w:color="auto"/>
        <w:bottom w:val="none" w:sz="0" w:space="0" w:color="auto"/>
        <w:right w:val="none" w:sz="0" w:space="0" w:color="auto"/>
      </w:divBdr>
    </w:div>
    <w:div w:id="102767024">
      <w:marLeft w:val="0"/>
      <w:marRight w:val="0"/>
      <w:marTop w:val="0"/>
      <w:marBottom w:val="0"/>
      <w:divBdr>
        <w:top w:val="none" w:sz="0" w:space="0" w:color="auto"/>
        <w:left w:val="none" w:sz="0" w:space="0" w:color="auto"/>
        <w:bottom w:val="none" w:sz="0" w:space="0" w:color="auto"/>
        <w:right w:val="none" w:sz="0" w:space="0" w:color="auto"/>
      </w:divBdr>
    </w:div>
    <w:div w:id="104813373">
      <w:marLeft w:val="0"/>
      <w:marRight w:val="0"/>
      <w:marTop w:val="0"/>
      <w:marBottom w:val="240"/>
      <w:divBdr>
        <w:top w:val="none" w:sz="0" w:space="0" w:color="auto"/>
        <w:left w:val="none" w:sz="0" w:space="0" w:color="auto"/>
        <w:bottom w:val="none" w:sz="0" w:space="0" w:color="auto"/>
        <w:right w:val="none" w:sz="0" w:space="0" w:color="auto"/>
      </w:divBdr>
    </w:div>
    <w:div w:id="109203547">
      <w:marLeft w:val="0"/>
      <w:marRight w:val="0"/>
      <w:marTop w:val="0"/>
      <w:marBottom w:val="180"/>
      <w:divBdr>
        <w:top w:val="none" w:sz="0" w:space="0" w:color="auto"/>
        <w:left w:val="none" w:sz="0" w:space="0" w:color="auto"/>
        <w:bottom w:val="none" w:sz="0" w:space="0" w:color="auto"/>
        <w:right w:val="none" w:sz="0" w:space="0" w:color="auto"/>
      </w:divBdr>
    </w:div>
    <w:div w:id="109474841">
      <w:marLeft w:val="0"/>
      <w:marRight w:val="0"/>
      <w:marTop w:val="0"/>
      <w:marBottom w:val="0"/>
      <w:divBdr>
        <w:top w:val="none" w:sz="0" w:space="0" w:color="auto"/>
        <w:left w:val="none" w:sz="0" w:space="0" w:color="auto"/>
        <w:bottom w:val="none" w:sz="0" w:space="0" w:color="auto"/>
        <w:right w:val="none" w:sz="0" w:space="0" w:color="auto"/>
      </w:divBdr>
    </w:div>
    <w:div w:id="114032738">
      <w:marLeft w:val="0"/>
      <w:marRight w:val="0"/>
      <w:marTop w:val="180"/>
      <w:marBottom w:val="180"/>
      <w:divBdr>
        <w:top w:val="none" w:sz="0" w:space="0" w:color="auto"/>
        <w:left w:val="none" w:sz="0" w:space="0" w:color="auto"/>
        <w:bottom w:val="none" w:sz="0" w:space="0" w:color="auto"/>
        <w:right w:val="none" w:sz="0" w:space="0" w:color="auto"/>
      </w:divBdr>
    </w:div>
    <w:div w:id="115830984">
      <w:marLeft w:val="0"/>
      <w:marRight w:val="0"/>
      <w:marTop w:val="0"/>
      <w:marBottom w:val="0"/>
      <w:divBdr>
        <w:top w:val="none" w:sz="0" w:space="0" w:color="auto"/>
        <w:left w:val="none" w:sz="0" w:space="0" w:color="auto"/>
        <w:bottom w:val="none" w:sz="0" w:space="0" w:color="auto"/>
        <w:right w:val="none" w:sz="0" w:space="0" w:color="auto"/>
      </w:divBdr>
    </w:div>
    <w:div w:id="116146175">
      <w:marLeft w:val="0"/>
      <w:marRight w:val="0"/>
      <w:marTop w:val="0"/>
      <w:marBottom w:val="0"/>
      <w:divBdr>
        <w:top w:val="none" w:sz="0" w:space="0" w:color="auto"/>
        <w:left w:val="none" w:sz="0" w:space="0" w:color="auto"/>
        <w:bottom w:val="none" w:sz="0" w:space="0" w:color="auto"/>
        <w:right w:val="none" w:sz="0" w:space="0" w:color="auto"/>
      </w:divBdr>
      <w:divsChild>
        <w:div w:id="748892103">
          <w:marLeft w:val="0"/>
          <w:marRight w:val="0"/>
          <w:marTop w:val="0"/>
          <w:marBottom w:val="0"/>
          <w:divBdr>
            <w:top w:val="none" w:sz="0" w:space="0" w:color="auto"/>
            <w:left w:val="none" w:sz="0" w:space="0" w:color="auto"/>
            <w:bottom w:val="none" w:sz="0" w:space="0" w:color="auto"/>
            <w:right w:val="none" w:sz="0" w:space="0" w:color="auto"/>
          </w:divBdr>
        </w:div>
        <w:div w:id="238833780">
          <w:marLeft w:val="0"/>
          <w:marRight w:val="0"/>
          <w:marTop w:val="0"/>
          <w:marBottom w:val="0"/>
          <w:divBdr>
            <w:top w:val="none" w:sz="0" w:space="0" w:color="auto"/>
            <w:left w:val="none" w:sz="0" w:space="0" w:color="auto"/>
            <w:bottom w:val="none" w:sz="0" w:space="0" w:color="auto"/>
            <w:right w:val="none" w:sz="0" w:space="0" w:color="auto"/>
          </w:divBdr>
        </w:div>
      </w:divsChild>
    </w:div>
    <w:div w:id="116684277">
      <w:marLeft w:val="0"/>
      <w:marRight w:val="0"/>
      <w:marTop w:val="240"/>
      <w:marBottom w:val="240"/>
      <w:divBdr>
        <w:top w:val="none" w:sz="0" w:space="0" w:color="auto"/>
        <w:left w:val="none" w:sz="0" w:space="0" w:color="auto"/>
        <w:bottom w:val="none" w:sz="0" w:space="0" w:color="auto"/>
        <w:right w:val="none" w:sz="0" w:space="0" w:color="auto"/>
      </w:divBdr>
    </w:div>
    <w:div w:id="117460361">
      <w:marLeft w:val="0"/>
      <w:marRight w:val="0"/>
      <w:marTop w:val="0"/>
      <w:marBottom w:val="240"/>
      <w:divBdr>
        <w:top w:val="none" w:sz="0" w:space="0" w:color="auto"/>
        <w:left w:val="none" w:sz="0" w:space="0" w:color="auto"/>
        <w:bottom w:val="none" w:sz="0" w:space="0" w:color="auto"/>
        <w:right w:val="none" w:sz="0" w:space="0" w:color="auto"/>
      </w:divBdr>
    </w:div>
    <w:div w:id="118426709">
      <w:marLeft w:val="0"/>
      <w:marRight w:val="0"/>
      <w:marTop w:val="0"/>
      <w:marBottom w:val="180"/>
      <w:divBdr>
        <w:top w:val="none" w:sz="0" w:space="0" w:color="auto"/>
        <w:left w:val="none" w:sz="0" w:space="0" w:color="auto"/>
        <w:bottom w:val="none" w:sz="0" w:space="0" w:color="auto"/>
        <w:right w:val="none" w:sz="0" w:space="0" w:color="auto"/>
      </w:divBdr>
    </w:div>
    <w:div w:id="118452496">
      <w:marLeft w:val="0"/>
      <w:marRight w:val="0"/>
      <w:marTop w:val="180"/>
      <w:marBottom w:val="180"/>
      <w:divBdr>
        <w:top w:val="none" w:sz="0" w:space="0" w:color="auto"/>
        <w:left w:val="none" w:sz="0" w:space="0" w:color="auto"/>
        <w:bottom w:val="none" w:sz="0" w:space="0" w:color="auto"/>
        <w:right w:val="none" w:sz="0" w:space="0" w:color="auto"/>
      </w:divBdr>
    </w:div>
    <w:div w:id="118572191">
      <w:marLeft w:val="0"/>
      <w:marRight w:val="0"/>
      <w:marTop w:val="0"/>
      <w:marBottom w:val="0"/>
      <w:divBdr>
        <w:top w:val="none" w:sz="0" w:space="0" w:color="auto"/>
        <w:left w:val="none" w:sz="0" w:space="0" w:color="auto"/>
        <w:bottom w:val="none" w:sz="0" w:space="0" w:color="auto"/>
        <w:right w:val="none" w:sz="0" w:space="0" w:color="auto"/>
      </w:divBdr>
    </w:div>
    <w:div w:id="120392520">
      <w:marLeft w:val="0"/>
      <w:marRight w:val="0"/>
      <w:marTop w:val="0"/>
      <w:marBottom w:val="180"/>
      <w:divBdr>
        <w:top w:val="none" w:sz="0" w:space="0" w:color="auto"/>
        <w:left w:val="none" w:sz="0" w:space="0" w:color="auto"/>
        <w:bottom w:val="none" w:sz="0" w:space="0" w:color="auto"/>
        <w:right w:val="none" w:sz="0" w:space="0" w:color="auto"/>
      </w:divBdr>
    </w:div>
    <w:div w:id="122314549">
      <w:marLeft w:val="0"/>
      <w:marRight w:val="0"/>
      <w:marTop w:val="0"/>
      <w:marBottom w:val="0"/>
      <w:divBdr>
        <w:top w:val="none" w:sz="0" w:space="0" w:color="auto"/>
        <w:left w:val="none" w:sz="0" w:space="0" w:color="auto"/>
        <w:bottom w:val="none" w:sz="0" w:space="0" w:color="auto"/>
        <w:right w:val="none" w:sz="0" w:space="0" w:color="auto"/>
      </w:divBdr>
    </w:div>
    <w:div w:id="122895586">
      <w:marLeft w:val="0"/>
      <w:marRight w:val="0"/>
      <w:marTop w:val="0"/>
      <w:marBottom w:val="0"/>
      <w:divBdr>
        <w:top w:val="none" w:sz="0" w:space="0" w:color="auto"/>
        <w:left w:val="none" w:sz="0" w:space="0" w:color="auto"/>
        <w:bottom w:val="none" w:sz="0" w:space="0" w:color="auto"/>
        <w:right w:val="none" w:sz="0" w:space="0" w:color="auto"/>
      </w:divBdr>
    </w:div>
    <w:div w:id="124473115">
      <w:marLeft w:val="0"/>
      <w:marRight w:val="0"/>
      <w:marTop w:val="180"/>
      <w:marBottom w:val="240"/>
      <w:divBdr>
        <w:top w:val="none" w:sz="0" w:space="0" w:color="auto"/>
        <w:left w:val="none" w:sz="0" w:space="0" w:color="auto"/>
        <w:bottom w:val="none" w:sz="0" w:space="0" w:color="auto"/>
        <w:right w:val="none" w:sz="0" w:space="0" w:color="auto"/>
      </w:divBdr>
    </w:div>
    <w:div w:id="125319333">
      <w:marLeft w:val="0"/>
      <w:marRight w:val="0"/>
      <w:marTop w:val="0"/>
      <w:marBottom w:val="180"/>
      <w:divBdr>
        <w:top w:val="none" w:sz="0" w:space="0" w:color="auto"/>
        <w:left w:val="none" w:sz="0" w:space="0" w:color="auto"/>
        <w:bottom w:val="none" w:sz="0" w:space="0" w:color="auto"/>
        <w:right w:val="none" w:sz="0" w:space="0" w:color="auto"/>
      </w:divBdr>
    </w:div>
    <w:div w:id="126315656">
      <w:marLeft w:val="0"/>
      <w:marRight w:val="0"/>
      <w:marTop w:val="0"/>
      <w:marBottom w:val="0"/>
      <w:divBdr>
        <w:top w:val="none" w:sz="0" w:space="0" w:color="auto"/>
        <w:left w:val="none" w:sz="0" w:space="0" w:color="auto"/>
        <w:bottom w:val="none" w:sz="0" w:space="0" w:color="auto"/>
        <w:right w:val="none" w:sz="0" w:space="0" w:color="auto"/>
      </w:divBdr>
      <w:divsChild>
        <w:div w:id="2081752625">
          <w:marLeft w:val="0"/>
          <w:marRight w:val="0"/>
          <w:marTop w:val="0"/>
          <w:marBottom w:val="0"/>
          <w:divBdr>
            <w:top w:val="none" w:sz="0" w:space="0" w:color="auto"/>
            <w:left w:val="none" w:sz="0" w:space="0" w:color="auto"/>
            <w:bottom w:val="none" w:sz="0" w:space="0" w:color="auto"/>
            <w:right w:val="none" w:sz="0" w:space="0" w:color="auto"/>
          </w:divBdr>
        </w:div>
      </w:divsChild>
    </w:div>
    <w:div w:id="126826921">
      <w:marLeft w:val="0"/>
      <w:marRight w:val="0"/>
      <w:marTop w:val="0"/>
      <w:marBottom w:val="0"/>
      <w:divBdr>
        <w:top w:val="none" w:sz="0" w:space="0" w:color="auto"/>
        <w:left w:val="none" w:sz="0" w:space="0" w:color="auto"/>
        <w:bottom w:val="none" w:sz="0" w:space="0" w:color="auto"/>
        <w:right w:val="none" w:sz="0" w:space="0" w:color="auto"/>
      </w:divBdr>
      <w:divsChild>
        <w:div w:id="1936396241">
          <w:marLeft w:val="0"/>
          <w:marRight w:val="0"/>
          <w:marTop w:val="0"/>
          <w:marBottom w:val="0"/>
          <w:divBdr>
            <w:top w:val="none" w:sz="0" w:space="0" w:color="auto"/>
            <w:left w:val="none" w:sz="0" w:space="0" w:color="auto"/>
            <w:bottom w:val="none" w:sz="0" w:space="0" w:color="auto"/>
            <w:right w:val="none" w:sz="0" w:space="0" w:color="auto"/>
          </w:divBdr>
        </w:div>
        <w:div w:id="1459303494">
          <w:marLeft w:val="0"/>
          <w:marRight w:val="0"/>
          <w:marTop w:val="0"/>
          <w:marBottom w:val="0"/>
          <w:divBdr>
            <w:top w:val="none" w:sz="0" w:space="0" w:color="auto"/>
            <w:left w:val="none" w:sz="0" w:space="0" w:color="auto"/>
            <w:bottom w:val="none" w:sz="0" w:space="0" w:color="auto"/>
            <w:right w:val="none" w:sz="0" w:space="0" w:color="auto"/>
          </w:divBdr>
        </w:div>
      </w:divsChild>
    </w:div>
    <w:div w:id="127017120">
      <w:marLeft w:val="0"/>
      <w:marRight w:val="0"/>
      <w:marTop w:val="0"/>
      <w:marBottom w:val="180"/>
      <w:divBdr>
        <w:top w:val="none" w:sz="0" w:space="0" w:color="auto"/>
        <w:left w:val="none" w:sz="0" w:space="0" w:color="auto"/>
        <w:bottom w:val="none" w:sz="0" w:space="0" w:color="auto"/>
        <w:right w:val="none" w:sz="0" w:space="0" w:color="auto"/>
      </w:divBdr>
    </w:div>
    <w:div w:id="127551094">
      <w:marLeft w:val="0"/>
      <w:marRight w:val="0"/>
      <w:marTop w:val="0"/>
      <w:marBottom w:val="240"/>
      <w:divBdr>
        <w:top w:val="none" w:sz="0" w:space="0" w:color="auto"/>
        <w:left w:val="none" w:sz="0" w:space="0" w:color="auto"/>
        <w:bottom w:val="none" w:sz="0" w:space="0" w:color="auto"/>
        <w:right w:val="none" w:sz="0" w:space="0" w:color="auto"/>
      </w:divBdr>
    </w:div>
    <w:div w:id="127743319">
      <w:marLeft w:val="0"/>
      <w:marRight w:val="0"/>
      <w:marTop w:val="0"/>
      <w:marBottom w:val="0"/>
      <w:divBdr>
        <w:top w:val="none" w:sz="0" w:space="0" w:color="auto"/>
        <w:left w:val="none" w:sz="0" w:space="0" w:color="auto"/>
        <w:bottom w:val="none" w:sz="0" w:space="0" w:color="auto"/>
        <w:right w:val="none" w:sz="0" w:space="0" w:color="auto"/>
      </w:divBdr>
      <w:divsChild>
        <w:div w:id="1537355889">
          <w:marLeft w:val="0"/>
          <w:marRight w:val="0"/>
          <w:marTop w:val="0"/>
          <w:marBottom w:val="0"/>
          <w:divBdr>
            <w:top w:val="none" w:sz="0" w:space="0" w:color="auto"/>
            <w:left w:val="none" w:sz="0" w:space="0" w:color="auto"/>
            <w:bottom w:val="none" w:sz="0" w:space="0" w:color="auto"/>
            <w:right w:val="none" w:sz="0" w:space="0" w:color="auto"/>
          </w:divBdr>
        </w:div>
      </w:divsChild>
    </w:div>
    <w:div w:id="127862747">
      <w:marLeft w:val="0"/>
      <w:marRight w:val="0"/>
      <w:marTop w:val="120"/>
      <w:marBottom w:val="120"/>
      <w:divBdr>
        <w:top w:val="none" w:sz="0" w:space="0" w:color="auto"/>
        <w:left w:val="none" w:sz="0" w:space="0" w:color="auto"/>
        <w:bottom w:val="none" w:sz="0" w:space="0" w:color="auto"/>
        <w:right w:val="none" w:sz="0" w:space="0" w:color="auto"/>
      </w:divBdr>
    </w:div>
    <w:div w:id="128668210">
      <w:marLeft w:val="0"/>
      <w:marRight w:val="0"/>
      <w:marTop w:val="0"/>
      <w:marBottom w:val="180"/>
      <w:divBdr>
        <w:top w:val="none" w:sz="0" w:space="0" w:color="auto"/>
        <w:left w:val="none" w:sz="0" w:space="0" w:color="auto"/>
        <w:bottom w:val="none" w:sz="0" w:space="0" w:color="auto"/>
        <w:right w:val="none" w:sz="0" w:space="0" w:color="auto"/>
      </w:divBdr>
    </w:div>
    <w:div w:id="129061081">
      <w:marLeft w:val="0"/>
      <w:marRight w:val="0"/>
      <w:marTop w:val="0"/>
      <w:marBottom w:val="240"/>
      <w:divBdr>
        <w:top w:val="none" w:sz="0" w:space="0" w:color="auto"/>
        <w:left w:val="none" w:sz="0" w:space="0" w:color="auto"/>
        <w:bottom w:val="none" w:sz="0" w:space="0" w:color="auto"/>
        <w:right w:val="none" w:sz="0" w:space="0" w:color="auto"/>
      </w:divBdr>
    </w:div>
    <w:div w:id="130366772">
      <w:marLeft w:val="0"/>
      <w:marRight w:val="0"/>
      <w:marTop w:val="0"/>
      <w:marBottom w:val="180"/>
      <w:divBdr>
        <w:top w:val="none" w:sz="0" w:space="0" w:color="auto"/>
        <w:left w:val="none" w:sz="0" w:space="0" w:color="auto"/>
        <w:bottom w:val="none" w:sz="0" w:space="0" w:color="auto"/>
        <w:right w:val="none" w:sz="0" w:space="0" w:color="auto"/>
      </w:divBdr>
    </w:div>
    <w:div w:id="130638474">
      <w:marLeft w:val="0"/>
      <w:marRight w:val="0"/>
      <w:marTop w:val="0"/>
      <w:marBottom w:val="180"/>
      <w:divBdr>
        <w:top w:val="none" w:sz="0" w:space="0" w:color="auto"/>
        <w:left w:val="none" w:sz="0" w:space="0" w:color="auto"/>
        <w:bottom w:val="none" w:sz="0" w:space="0" w:color="auto"/>
        <w:right w:val="none" w:sz="0" w:space="0" w:color="auto"/>
      </w:divBdr>
    </w:div>
    <w:div w:id="132333950">
      <w:marLeft w:val="0"/>
      <w:marRight w:val="0"/>
      <w:marTop w:val="0"/>
      <w:marBottom w:val="0"/>
      <w:divBdr>
        <w:top w:val="none" w:sz="0" w:space="0" w:color="auto"/>
        <w:left w:val="none" w:sz="0" w:space="0" w:color="auto"/>
        <w:bottom w:val="none" w:sz="0" w:space="0" w:color="auto"/>
        <w:right w:val="none" w:sz="0" w:space="0" w:color="auto"/>
      </w:divBdr>
      <w:divsChild>
        <w:div w:id="239365558">
          <w:marLeft w:val="0"/>
          <w:marRight w:val="0"/>
          <w:marTop w:val="0"/>
          <w:marBottom w:val="0"/>
          <w:divBdr>
            <w:top w:val="none" w:sz="0" w:space="0" w:color="auto"/>
            <w:left w:val="none" w:sz="0" w:space="0" w:color="auto"/>
            <w:bottom w:val="none" w:sz="0" w:space="0" w:color="auto"/>
            <w:right w:val="none" w:sz="0" w:space="0" w:color="auto"/>
          </w:divBdr>
        </w:div>
      </w:divsChild>
    </w:div>
    <w:div w:id="132842115">
      <w:marLeft w:val="0"/>
      <w:marRight w:val="0"/>
      <w:marTop w:val="0"/>
      <w:marBottom w:val="240"/>
      <w:divBdr>
        <w:top w:val="none" w:sz="0" w:space="0" w:color="auto"/>
        <w:left w:val="none" w:sz="0" w:space="0" w:color="auto"/>
        <w:bottom w:val="none" w:sz="0" w:space="0" w:color="auto"/>
        <w:right w:val="none" w:sz="0" w:space="0" w:color="auto"/>
      </w:divBdr>
    </w:div>
    <w:div w:id="133179949">
      <w:marLeft w:val="0"/>
      <w:marRight w:val="0"/>
      <w:marTop w:val="120"/>
      <w:marBottom w:val="120"/>
      <w:divBdr>
        <w:top w:val="none" w:sz="0" w:space="0" w:color="auto"/>
        <w:left w:val="none" w:sz="0" w:space="0" w:color="auto"/>
        <w:bottom w:val="none" w:sz="0" w:space="0" w:color="auto"/>
        <w:right w:val="none" w:sz="0" w:space="0" w:color="auto"/>
      </w:divBdr>
    </w:div>
    <w:div w:id="135532246">
      <w:marLeft w:val="0"/>
      <w:marRight w:val="0"/>
      <w:marTop w:val="120"/>
      <w:marBottom w:val="120"/>
      <w:divBdr>
        <w:top w:val="none" w:sz="0" w:space="0" w:color="auto"/>
        <w:left w:val="none" w:sz="0" w:space="0" w:color="auto"/>
        <w:bottom w:val="none" w:sz="0" w:space="0" w:color="auto"/>
        <w:right w:val="none" w:sz="0" w:space="0" w:color="auto"/>
      </w:divBdr>
    </w:div>
    <w:div w:id="135756926">
      <w:marLeft w:val="0"/>
      <w:marRight w:val="0"/>
      <w:marTop w:val="0"/>
      <w:marBottom w:val="0"/>
      <w:divBdr>
        <w:top w:val="none" w:sz="0" w:space="0" w:color="auto"/>
        <w:left w:val="none" w:sz="0" w:space="0" w:color="auto"/>
        <w:bottom w:val="none" w:sz="0" w:space="0" w:color="auto"/>
        <w:right w:val="none" w:sz="0" w:space="0" w:color="auto"/>
      </w:divBdr>
    </w:div>
    <w:div w:id="136268946">
      <w:marLeft w:val="0"/>
      <w:marRight w:val="0"/>
      <w:marTop w:val="0"/>
      <w:marBottom w:val="180"/>
      <w:divBdr>
        <w:top w:val="none" w:sz="0" w:space="0" w:color="auto"/>
        <w:left w:val="none" w:sz="0" w:space="0" w:color="auto"/>
        <w:bottom w:val="none" w:sz="0" w:space="0" w:color="auto"/>
        <w:right w:val="none" w:sz="0" w:space="0" w:color="auto"/>
      </w:divBdr>
    </w:div>
    <w:div w:id="140082009">
      <w:marLeft w:val="0"/>
      <w:marRight w:val="0"/>
      <w:marTop w:val="0"/>
      <w:marBottom w:val="180"/>
      <w:divBdr>
        <w:top w:val="none" w:sz="0" w:space="0" w:color="auto"/>
        <w:left w:val="none" w:sz="0" w:space="0" w:color="auto"/>
        <w:bottom w:val="none" w:sz="0" w:space="0" w:color="auto"/>
        <w:right w:val="none" w:sz="0" w:space="0" w:color="auto"/>
      </w:divBdr>
    </w:div>
    <w:div w:id="140120674">
      <w:marLeft w:val="0"/>
      <w:marRight w:val="0"/>
      <w:marTop w:val="0"/>
      <w:marBottom w:val="0"/>
      <w:divBdr>
        <w:top w:val="none" w:sz="0" w:space="0" w:color="auto"/>
        <w:left w:val="none" w:sz="0" w:space="0" w:color="auto"/>
        <w:bottom w:val="none" w:sz="0" w:space="0" w:color="auto"/>
        <w:right w:val="none" w:sz="0" w:space="0" w:color="auto"/>
      </w:divBdr>
      <w:divsChild>
        <w:div w:id="166361400">
          <w:marLeft w:val="0"/>
          <w:marRight w:val="0"/>
          <w:marTop w:val="0"/>
          <w:marBottom w:val="0"/>
          <w:divBdr>
            <w:top w:val="none" w:sz="0" w:space="0" w:color="auto"/>
            <w:left w:val="none" w:sz="0" w:space="0" w:color="auto"/>
            <w:bottom w:val="none" w:sz="0" w:space="0" w:color="auto"/>
            <w:right w:val="none" w:sz="0" w:space="0" w:color="auto"/>
          </w:divBdr>
        </w:div>
      </w:divsChild>
    </w:div>
    <w:div w:id="142544343">
      <w:marLeft w:val="0"/>
      <w:marRight w:val="0"/>
      <w:marTop w:val="0"/>
      <w:marBottom w:val="240"/>
      <w:divBdr>
        <w:top w:val="none" w:sz="0" w:space="0" w:color="auto"/>
        <w:left w:val="none" w:sz="0" w:space="0" w:color="auto"/>
        <w:bottom w:val="none" w:sz="0" w:space="0" w:color="auto"/>
        <w:right w:val="none" w:sz="0" w:space="0" w:color="auto"/>
      </w:divBdr>
    </w:div>
    <w:div w:id="148913235">
      <w:marLeft w:val="0"/>
      <w:marRight w:val="0"/>
      <w:marTop w:val="180"/>
      <w:marBottom w:val="180"/>
      <w:divBdr>
        <w:top w:val="none" w:sz="0" w:space="0" w:color="auto"/>
        <w:left w:val="none" w:sz="0" w:space="0" w:color="auto"/>
        <w:bottom w:val="none" w:sz="0" w:space="0" w:color="auto"/>
        <w:right w:val="none" w:sz="0" w:space="0" w:color="auto"/>
      </w:divBdr>
    </w:div>
    <w:div w:id="155078962">
      <w:marLeft w:val="0"/>
      <w:marRight w:val="0"/>
      <w:marTop w:val="0"/>
      <w:marBottom w:val="60"/>
      <w:divBdr>
        <w:top w:val="none" w:sz="0" w:space="0" w:color="auto"/>
        <w:left w:val="none" w:sz="0" w:space="0" w:color="auto"/>
        <w:bottom w:val="none" w:sz="0" w:space="0" w:color="auto"/>
        <w:right w:val="none" w:sz="0" w:space="0" w:color="auto"/>
      </w:divBdr>
    </w:div>
    <w:div w:id="155920574">
      <w:marLeft w:val="0"/>
      <w:marRight w:val="0"/>
      <w:marTop w:val="180"/>
      <w:marBottom w:val="180"/>
      <w:divBdr>
        <w:top w:val="none" w:sz="0" w:space="0" w:color="auto"/>
        <w:left w:val="none" w:sz="0" w:space="0" w:color="auto"/>
        <w:bottom w:val="none" w:sz="0" w:space="0" w:color="auto"/>
        <w:right w:val="none" w:sz="0" w:space="0" w:color="auto"/>
      </w:divBdr>
    </w:div>
    <w:div w:id="156577616">
      <w:marLeft w:val="0"/>
      <w:marRight w:val="0"/>
      <w:marTop w:val="0"/>
      <w:marBottom w:val="0"/>
      <w:divBdr>
        <w:top w:val="none" w:sz="0" w:space="0" w:color="auto"/>
        <w:left w:val="none" w:sz="0" w:space="0" w:color="auto"/>
        <w:bottom w:val="none" w:sz="0" w:space="0" w:color="auto"/>
        <w:right w:val="none" w:sz="0" w:space="0" w:color="auto"/>
      </w:divBdr>
    </w:div>
    <w:div w:id="157304865">
      <w:marLeft w:val="0"/>
      <w:marRight w:val="0"/>
      <w:marTop w:val="0"/>
      <w:marBottom w:val="0"/>
      <w:divBdr>
        <w:top w:val="none" w:sz="0" w:space="0" w:color="auto"/>
        <w:left w:val="none" w:sz="0" w:space="0" w:color="auto"/>
        <w:bottom w:val="none" w:sz="0" w:space="0" w:color="auto"/>
        <w:right w:val="none" w:sz="0" w:space="0" w:color="auto"/>
      </w:divBdr>
      <w:divsChild>
        <w:div w:id="660739364">
          <w:marLeft w:val="0"/>
          <w:marRight w:val="0"/>
          <w:marTop w:val="0"/>
          <w:marBottom w:val="0"/>
          <w:divBdr>
            <w:top w:val="none" w:sz="0" w:space="0" w:color="auto"/>
            <w:left w:val="none" w:sz="0" w:space="0" w:color="auto"/>
            <w:bottom w:val="none" w:sz="0" w:space="0" w:color="auto"/>
            <w:right w:val="none" w:sz="0" w:space="0" w:color="auto"/>
          </w:divBdr>
        </w:div>
        <w:div w:id="649603939">
          <w:marLeft w:val="0"/>
          <w:marRight w:val="0"/>
          <w:marTop w:val="0"/>
          <w:marBottom w:val="0"/>
          <w:divBdr>
            <w:top w:val="none" w:sz="0" w:space="0" w:color="auto"/>
            <w:left w:val="none" w:sz="0" w:space="0" w:color="auto"/>
            <w:bottom w:val="none" w:sz="0" w:space="0" w:color="auto"/>
            <w:right w:val="none" w:sz="0" w:space="0" w:color="auto"/>
          </w:divBdr>
        </w:div>
      </w:divsChild>
    </w:div>
    <w:div w:id="160320700">
      <w:marLeft w:val="0"/>
      <w:marRight w:val="0"/>
      <w:marTop w:val="100"/>
      <w:marBottom w:val="100"/>
      <w:divBdr>
        <w:top w:val="none" w:sz="0" w:space="0" w:color="auto"/>
        <w:left w:val="none" w:sz="0" w:space="0" w:color="auto"/>
        <w:bottom w:val="none" w:sz="0" w:space="0" w:color="auto"/>
        <w:right w:val="none" w:sz="0" w:space="0" w:color="auto"/>
      </w:divBdr>
      <w:divsChild>
        <w:div w:id="146439919">
          <w:marLeft w:val="0"/>
          <w:marRight w:val="0"/>
          <w:marTop w:val="0"/>
          <w:marBottom w:val="0"/>
          <w:divBdr>
            <w:top w:val="none" w:sz="0" w:space="0" w:color="auto"/>
            <w:left w:val="none" w:sz="0" w:space="0" w:color="auto"/>
            <w:bottom w:val="none" w:sz="0" w:space="0" w:color="auto"/>
            <w:right w:val="none" w:sz="0" w:space="0" w:color="auto"/>
          </w:divBdr>
        </w:div>
        <w:div w:id="947354172">
          <w:marLeft w:val="0"/>
          <w:marRight w:val="0"/>
          <w:marTop w:val="0"/>
          <w:marBottom w:val="0"/>
          <w:divBdr>
            <w:top w:val="none" w:sz="0" w:space="0" w:color="auto"/>
            <w:left w:val="none" w:sz="0" w:space="0" w:color="auto"/>
            <w:bottom w:val="none" w:sz="0" w:space="0" w:color="auto"/>
            <w:right w:val="none" w:sz="0" w:space="0" w:color="auto"/>
          </w:divBdr>
        </w:div>
        <w:div w:id="1944997070">
          <w:marLeft w:val="0"/>
          <w:marRight w:val="0"/>
          <w:marTop w:val="0"/>
          <w:marBottom w:val="0"/>
          <w:divBdr>
            <w:top w:val="none" w:sz="0" w:space="0" w:color="auto"/>
            <w:left w:val="none" w:sz="0" w:space="0" w:color="auto"/>
            <w:bottom w:val="none" w:sz="0" w:space="0" w:color="auto"/>
            <w:right w:val="none" w:sz="0" w:space="0" w:color="auto"/>
          </w:divBdr>
        </w:div>
        <w:div w:id="307172205">
          <w:marLeft w:val="0"/>
          <w:marRight w:val="0"/>
          <w:marTop w:val="0"/>
          <w:marBottom w:val="0"/>
          <w:divBdr>
            <w:top w:val="none" w:sz="0" w:space="0" w:color="auto"/>
            <w:left w:val="none" w:sz="0" w:space="0" w:color="auto"/>
            <w:bottom w:val="none" w:sz="0" w:space="0" w:color="auto"/>
            <w:right w:val="none" w:sz="0" w:space="0" w:color="auto"/>
          </w:divBdr>
        </w:div>
        <w:div w:id="1508639396">
          <w:marLeft w:val="0"/>
          <w:marRight w:val="0"/>
          <w:marTop w:val="0"/>
          <w:marBottom w:val="0"/>
          <w:divBdr>
            <w:top w:val="none" w:sz="0" w:space="0" w:color="auto"/>
            <w:left w:val="none" w:sz="0" w:space="0" w:color="auto"/>
            <w:bottom w:val="none" w:sz="0" w:space="0" w:color="auto"/>
            <w:right w:val="none" w:sz="0" w:space="0" w:color="auto"/>
          </w:divBdr>
        </w:div>
      </w:divsChild>
    </w:div>
    <w:div w:id="160853988">
      <w:marLeft w:val="0"/>
      <w:marRight w:val="0"/>
      <w:marTop w:val="0"/>
      <w:marBottom w:val="240"/>
      <w:divBdr>
        <w:top w:val="none" w:sz="0" w:space="0" w:color="auto"/>
        <w:left w:val="none" w:sz="0" w:space="0" w:color="auto"/>
        <w:bottom w:val="none" w:sz="0" w:space="0" w:color="auto"/>
        <w:right w:val="none" w:sz="0" w:space="0" w:color="auto"/>
      </w:divBdr>
    </w:div>
    <w:div w:id="161816556">
      <w:marLeft w:val="0"/>
      <w:marRight w:val="0"/>
      <w:marTop w:val="0"/>
      <w:marBottom w:val="240"/>
      <w:divBdr>
        <w:top w:val="none" w:sz="0" w:space="0" w:color="auto"/>
        <w:left w:val="none" w:sz="0" w:space="0" w:color="auto"/>
        <w:bottom w:val="none" w:sz="0" w:space="0" w:color="auto"/>
        <w:right w:val="none" w:sz="0" w:space="0" w:color="auto"/>
      </w:divBdr>
    </w:div>
    <w:div w:id="161971873">
      <w:marLeft w:val="0"/>
      <w:marRight w:val="0"/>
      <w:marTop w:val="180"/>
      <w:marBottom w:val="180"/>
      <w:divBdr>
        <w:top w:val="none" w:sz="0" w:space="0" w:color="auto"/>
        <w:left w:val="none" w:sz="0" w:space="0" w:color="auto"/>
        <w:bottom w:val="none" w:sz="0" w:space="0" w:color="auto"/>
        <w:right w:val="none" w:sz="0" w:space="0" w:color="auto"/>
      </w:divBdr>
    </w:div>
    <w:div w:id="165095256">
      <w:marLeft w:val="0"/>
      <w:marRight w:val="0"/>
      <w:marTop w:val="0"/>
      <w:marBottom w:val="0"/>
      <w:divBdr>
        <w:top w:val="none" w:sz="0" w:space="0" w:color="auto"/>
        <w:left w:val="none" w:sz="0" w:space="0" w:color="auto"/>
        <w:bottom w:val="none" w:sz="0" w:space="0" w:color="auto"/>
        <w:right w:val="none" w:sz="0" w:space="0" w:color="auto"/>
      </w:divBdr>
      <w:divsChild>
        <w:div w:id="757597558">
          <w:marLeft w:val="0"/>
          <w:marRight w:val="0"/>
          <w:marTop w:val="0"/>
          <w:marBottom w:val="0"/>
          <w:divBdr>
            <w:top w:val="none" w:sz="0" w:space="0" w:color="auto"/>
            <w:left w:val="none" w:sz="0" w:space="0" w:color="auto"/>
            <w:bottom w:val="none" w:sz="0" w:space="0" w:color="auto"/>
            <w:right w:val="none" w:sz="0" w:space="0" w:color="auto"/>
          </w:divBdr>
        </w:div>
      </w:divsChild>
    </w:div>
    <w:div w:id="167138900">
      <w:marLeft w:val="0"/>
      <w:marRight w:val="0"/>
      <w:marTop w:val="0"/>
      <w:marBottom w:val="0"/>
      <w:divBdr>
        <w:top w:val="none" w:sz="0" w:space="0" w:color="auto"/>
        <w:left w:val="none" w:sz="0" w:space="0" w:color="auto"/>
        <w:bottom w:val="none" w:sz="0" w:space="0" w:color="auto"/>
        <w:right w:val="none" w:sz="0" w:space="0" w:color="auto"/>
      </w:divBdr>
    </w:div>
    <w:div w:id="167601440">
      <w:marLeft w:val="0"/>
      <w:marRight w:val="0"/>
      <w:marTop w:val="0"/>
      <w:marBottom w:val="0"/>
      <w:divBdr>
        <w:top w:val="none" w:sz="0" w:space="0" w:color="auto"/>
        <w:left w:val="none" w:sz="0" w:space="0" w:color="auto"/>
        <w:bottom w:val="none" w:sz="0" w:space="0" w:color="auto"/>
        <w:right w:val="none" w:sz="0" w:space="0" w:color="auto"/>
      </w:divBdr>
    </w:div>
    <w:div w:id="170994442">
      <w:marLeft w:val="0"/>
      <w:marRight w:val="0"/>
      <w:marTop w:val="0"/>
      <w:marBottom w:val="0"/>
      <w:divBdr>
        <w:top w:val="none" w:sz="0" w:space="0" w:color="auto"/>
        <w:left w:val="none" w:sz="0" w:space="0" w:color="auto"/>
        <w:bottom w:val="none" w:sz="0" w:space="0" w:color="auto"/>
        <w:right w:val="none" w:sz="0" w:space="0" w:color="auto"/>
      </w:divBdr>
    </w:div>
    <w:div w:id="171072697">
      <w:marLeft w:val="0"/>
      <w:marRight w:val="0"/>
      <w:marTop w:val="0"/>
      <w:marBottom w:val="180"/>
      <w:divBdr>
        <w:top w:val="none" w:sz="0" w:space="0" w:color="auto"/>
        <w:left w:val="none" w:sz="0" w:space="0" w:color="auto"/>
        <w:bottom w:val="none" w:sz="0" w:space="0" w:color="auto"/>
        <w:right w:val="none" w:sz="0" w:space="0" w:color="auto"/>
      </w:divBdr>
    </w:div>
    <w:div w:id="172646759">
      <w:marLeft w:val="0"/>
      <w:marRight w:val="0"/>
      <w:marTop w:val="0"/>
      <w:marBottom w:val="240"/>
      <w:divBdr>
        <w:top w:val="none" w:sz="0" w:space="0" w:color="auto"/>
        <w:left w:val="none" w:sz="0" w:space="0" w:color="auto"/>
        <w:bottom w:val="none" w:sz="0" w:space="0" w:color="auto"/>
        <w:right w:val="none" w:sz="0" w:space="0" w:color="auto"/>
      </w:divBdr>
    </w:div>
    <w:div w:id="173569096">
      <w:marLeft w:val="0"/>
      <w:marRight w:val="0"/>
      <w:marTop w:val="0"/>
      <w:marBottom w:val="0"/>
      <w:divBdr>
        <w:top w:val="none" w:sz="0" w:space="0" w:color="auto"/>
        <w:left w:val="none" w:sz="0" w:space="0" w:color="auto"/>
        <w:bottom w:val="none" w:sz="0" w:space="0" w:color="auto"/>
        <w:right w:val="none" w:sz="0" w:space="0" w:color="auto"/>
      </w:divBdr>
      <w:divsChild>
        <w:div w:id="1934437903">
          <w:marLeft w:val="0"/>
          <w:marRight w:val="0"/>
          <w:marTop w:val="0"/>
          <w:marBottom w:val="0"/>
          <w:divBdr>
            <w:top w:val="none" w:sz="0" w:space="0" w:color="auto"/>
            <w:left w:val="none" w:sz="0" w:space="0" w:color="auto"/>
            <w:bottom w:val="none" w:sz="0" w:space="0" w:color="auto"/>
            <w:right w:val="none" w:sz="0" w:space="0" w:color="auto"/>
          </w:divBdr>
        </w:div>
      </w:divsChild>
    </w:div>
    <w:div w:id="174929608">
      <w:marLeft w:val="0"/>
      <w:marRight w:val="0"/>
      <w:marTop w:val="180"/>
      <w:marBottom w:val="180"/>
      <w:divBdr>
        <w:top w:val="none" w:sz="0" w:space="0" w:color="auto"/>
        <w:left w:val="none" w:sz="0" w:space="0" w:color="auto"/>
        <w:bottom w:val="none" w:sz="0" w:space="0" w:color="auto"/>
        <w:right w:val="none" w:sz="0" w:space="0" w:color="auto"/>
      </w:divBdr>
    </w:div>
    <w:div w:id="176384961">
      <w:marLeft w:val="0"/>
      <w:marRight w:val="0"/>
      <w:marTop w:val="0"/>
      <w:marBottom w:val="180"/>
      <w:divBdr>
        <w:top w:val="none" w:sz="0" w:space="0" w:color="auto"/>
        <w:left w:val="none" w:sz="0" w:space="0" w:color="auto"/>
        <w:bottom w:val="none" w:sz="0" w:space="0" w:color="auto"/>
        <w:right w:val="none" w:sz="0" w:space="0" w:color="auto"/>
      </w:divBdr>
    </w:div>
    <w:div w:id="176694733">
      <w:marLeft w:val="0"/>
      <w:marRight w:val="0"/>
      <w:marTop w:val="240"/>
      <w:marBottom w:val="140"/>
      <w:divBdr>
        <w:top w:val="none" w:sz="0" w:space="0" w:color="auto"/>
        <w:left w:val="none" w:sz="0" w:space="0" w:color="auto"/>
        <w:bottom w:val="none" w:sz="0" w:space="0" w:color="auto"/>
        <w:right w:val="none" w:sz="0" w:space="0" w:color="auto"/>
      </w:divBdr>
    </w:div>
    <w:div w:id="176966517">
      <w:marLeft w:val="0"/>
      <w:marRight w:val="0"/>
      <w:marTop w:val="0"/>
      <w:marBottom w:val="60"/>
      <w:divBdr>
        <w:top w:val="none" w:sz="0" w:space="0" w:color="auto"/>
        <w:left w:val="none" w:sz="0" w:space="0" w:color="auto"/>
        <w:bottom w:val="none" w:sz="0" w:space="0" w:color="auto"/>
        <w:right w:val="none" w:sz="0" w:space="0" w:color="auto"/>
      </w:divBdr>
    </w:div>
    <w:div w:id="177358237">
      <w:marLeft w:val="0"/>
      <w:marRight w:val="0"/>
      <w:marTop w:val="120"/>
      <w:marBottom w:val="120"/>
      <w:divBdr>
        <w:top w:val="none" w:sz="0" w:space="0" w:color="auto"/>
        <w:left w:val="none" w:sz="0" w:space="0" w:color="auto"/>
        <w:bottom w:val="none" w:sz="0" w:space="0" w:color="auto"/>
        <w:right w:val="none" w:sz="0" w:space="0" w:color="auto"/>
      </w:divBdr>
    </w:div>
    <w:div w:id="177816562">
      <w:marLeft w:val="0"/>
      <w:marRight w:val="0"/>
      <w:marTop w:val="0"/>
      <w:marBottom w:val="0"/>
      <w:divBdr>
        <w:top w:val="none" w:sz="0" w:space="0" w:color="auto"/>
        <w:left w:val="none" w:sz="0" w:space="0" w:color="auto"/>
        <w:bottom w:val="none" w:sz="0" w:space="0" w:color="auto"/>
        <w:right w:val="none" w:sz="0" w:space="0" w:color="auto"/>
      </w:divBdr>
      <w:divsChild>
        <w:div w:id="417293633">
          <w:marLeft w:val="0"/>
          <w:marRight w:val="0"/>
          <w:marTop w:val="0"/>
          <w:marBottom w:val="0"/>
          <w:divBdr>
            <w:top w:val="none" w:sz="0" w:space="0" w:color="auto"/>
            <w:left w:val="none" w:sz="0" w:space="0" w:color="auto"/>
            <w:bottom w:val="none" w:sz="0" w:space="0" w:color="auto"/>
            <w:right w:val="none" w:sz="0" w:space="0" w:color="auto"/>
          </w:divBdr>
        </w:div>
      </w:divsChild>
    </w:div>
    <w:div w:id="182982526">
      <w:marLeft w:val="0"/>
      <w:marRight w:val="0"/>
      <w:marTop w:val="100"/>
      <w:marBottom w:val="0"/>
      <w:divBdr>
        <w:top w:val="none" w:sz="0" w:space="0" w:color="auto"/>
        <w:left w:val="none" w:sz="0" w:space="0" w:color="auto"/>
        <w:bottom w:val="none" w:sz="0" w:space="0" w:color="auto"/>
        <w:right w:val="none" w:sz="0" w:space="0" w:color="auto"/>
      </w:divBdr>
    </w:div>
    <w:div w:id="183640352">
      <w:marLeft w:val="0"/>
      <w:marRight w:val="0"/>
      <w:marTop w:val="0"/>
      <w:marBottom w:val="0"/>
      <w:divBdr>
        <w:top w:val="none" w:sz="0" w:space="0" w:color="auto"/>
        <w:left w:val="none" w:sz="0" w:space="0" w:color="auto"/>
        <w:bottom w:val="none" w:sz="0" w:space="0" w:color="auto"/>
        <w:right w:val="none" w:sz="0" w:space="0" w:color="auto"/>
      </w:divBdr>
      <w:divsChild>
        <w:div w:id="1997296372">
          <w:marLeft w:val="0"/>
          <w:marRight w:val="0"/>
          <w:marTop w:val="0"/>
          <w:marBottom w:val="0"/>
          <w:divBdr>
            <w:top w:val="none" w:sz="0" w:space="0" w:color="auto"/>
            <w:left w:val="none" w:sz="0" w:space="0" w:color="auto"/>
            <w:bottom w:val="none" w:sz="0" w:space="0" w:color="auto"/>
            <w:right w:val="none" w:sz="0" w:space="0" w:color="auto"/>
          </w:divBdr>
        </w:div>
      </w:divsChild>
    </w:div>
    <w:div w:id="184636889">
      <w:marLeft w:val="0"/>
      <w:marRight w:val="0"/>
      <w:marTop w:val="180"/>
      <w:marBottom w:val="180"/>
      <w:divBdr>
        <w:top w:val="none" w:sz="0" w:space="0" w:color="auto"/>
        <w:left w:val="none" w:sz="0" w:space="0" w:color="auto"/>
        <w:bottom w:val="none" w:sz="0" w:space="0" w:color="auto"/>
        <w:right w:val="none" w:sz="0" w:space="0" w:color="auto"/>
      </w:divBdr>
      <w:divsChild>
        <w:div w:id="155154627">
          <w:marLeft w:val="0"/>
          <w:marRight w:val="0"/>
          <w:marTop w:val="0"/>
          <w:marBottom w:val="120"/>
          <w:divBdr>
            <w:top w:val="none" w:sz="0" w:space="0" w:color="auto"/>
            <w:left w:val="none" w:sz="0" w:space="0" w:color="auto"/>
            <w:bottom w:val="none" w:sz="0" w:space="0" w:color="auto"/>
            <w:right w:val="none" w:sz="0" w:space="0" w:color="auto"/>
          </w:divBdr>
        </w:div>
        <w:div w:id="1872063088">
          <w:marLeft w:val="0"/>
          <w:marRight w:val="0"/>
          <w:marTop w:val="0"/>
          <w:marBottom w:val="120"/>
          <w:divBdr>
            <w:top w:val="none" w:sz="0" w:space="0" w:color="auto"/>
            <w:left w:val="none" w:sz="0" w:space="0" w:color="auto"/>
            <w:bottom w:val="none" w:sz="0" w:space="0" w:color="auto"/>
            <w:right w:val="none" w:sz="0" w:space="0" w:color="auto"/>
          </w:divBdr>
        </w:div>
        <w:div w:id="1698043068">
          <w:marLeft w:val="0"/>
          <w:marRight w:val="0"/>
          <w:marTop w:val="0"/>
          <w:marBottom w:val="120"/>
          <w:divBdr>
            <w:top w:val="none" w:sz="0" w:space="0" w:color="auto"/>
            <w:left w:val="none" w:sz="0" w:space="0" w:color="auto"/>
            <w:bottom w:val="none" w:sz="0" w:space="0" w:color="auto"/>
            <w:right w:val="none" w:sz="0" w:space="0" w:color="auto"/>
          </w:divBdr>
        </w:div>
        <w:div w:id="2121995852">
          <w:marLeft w:val="0"/>
          <w:marRight w:val="0"/>
          <w:marTop w:val="0"/>
          <w:marBottom w:val="120"/>
          <w:divBdr>
            <w:top w:val="none" w:sz="0" w:space="0" w:color="auto"/>
            <w:left w:val="none" w:sz="0" w:space="0" w:color="auto"/>
            <w:bottom w:val="none" w:sz="0" w:space="0" w:color="auto"/>
            <w:right w:val="none" w:sz="0" w:space="0" w:color="auto"/>
          </w:divBdr>
        </w:div>
      </w:divsChild>
    </w:div>
    <w:div w:id="186532216">
      <w:marLeft w:val="0"/>
      <w:marRight w:val="0"/>
      <w:marTop w:val="0"/>
      <w:marBottom w:val="0"/>
      <w:divBdr>
        <w:top w:val="none" w:sz="0" w:space="0" w:color="auto"/>
        <w:left w:val="none" w:sz="0" w:space="0" w:color="auto"/>
        <w:bottom w:val="none" w:sz="0" w:space="0" w:color="auto"/>
        <w:right w:val="none" w:sz="0" w:space="0" w:color="auto"/>
      </w:divBdr>
    </w:div>
    <w:div w:id="188615373">
      <w:marLeft w:val="0"/>
      <w:marRight w:val="0"/>
      <w:marTop w:val="0"/>
      <w:marBottom w:val="180"/>
      <w:divBdr>
        <w:top w:val="none" w:sz="0" w:space="0" w:color="auto"/>
        <w:left w:val="none" w:sz="0" w:space="0" w:color="auto"/>
        <w:bottom w:val="none" w:sz="0" w:space="0" w:color="auto"/>
        <w:right w:val="none" w:sz="0" w:space="0" w:color="auto"/>
      </w:divBdr>
    </w:div>
    <w:div w:id="190263190">
      <w:marLeft w:val="0"/>
      <w:marRight w:val="0"/>
      <w:marTop w:val="0"/>
      <w:marBottom w:val="240"/>
      <w:divBdr>
        <w:top w:val="none" w:sz="0" w:space="0" w:color="auto"/>
        <w:left w:val="none" w:sz="0" w:space="0" w:color="auto"/>
        <w:bottom w:val="none" w:sz="0" w:space="0" w:color="auto"/>
        <w:right w:val="none" w:sz="0" w:space="0" w:color="auto"/>
      </w:divBdr>
    </w:div>
    <w:div w:id="190340259">
      <w:marLeft w:val="0"/>
      <w:marRight w:val="0"/>
      <w:marTop w:val="120"/>
      <w:marBottom w:val="120"/>
      <w:divBdr>
        <w:top w:val="none" w:sz="0" w:space="0" w:color="auto"/>
        <w:left w:val="none" w:sz="0" w:space="0" w:color="auto"/>
        <w:bottom w:val="none" w:sz="0" w:space="0" w:color="auto"/>
        <w:right w:val="none" w:sz="0" w:space="0" w:color="auto"/>
      </w:divBdr>
    </w:div>
    <w:div w:id="191000272">
      <w:marLeft w:val="0"/>
      <w:marRight w:val="0"/>
      <w:marTop w:val="180"/>
      <w:marBottom w:val="180"/>
      <w:divBdr>
        <w:top w:val="none" w:sz="0" w:space="0" w:color="auto"/>
        <w:left w:val="none" w:sz="0" w:space="0" w:color="auto"/>
        <w:bottom w:val="none" w:sz="0" w:space="0" w:color="auto"/>
        <w:right w:val="none" w:sz="0" w:space="0" w:color="auto"/>
      </w:divBdr>
    </w:div>
    <w:div w:id="193268773">
      <w:marLeft w:val="0"/>
      <w:marRight w:val="0"/>
      <w:marTop w:val="0"/>
      <w:marBottom w:val="0"/>
      <w:divBdr>
        <w:top w:val="none" w:sz="0" w:space="0" w:color="auto"/>
        <w:left w:val="none" w:sz="0" w:space="0" w:color="auto"/>
        <w:bottom w:val="none" w:sz="0" w:space="0" w:color="auto"/>
        <w:right w:val="none" w:sz="0" w:space="0" w:color="auto"/>
      </w:divBdr>
    </w:div>
    <w:div w:id="193735754">
      <w:marLeft w:val="0"/>
      <w:marRight w:val="0"/>
      <w:marTop w:val="0"/>
      <w:marBottom w:val="240"/>
      <w:divBdr>
        <w:top w:val="none" w:sz="0" w:space="0" w:color="auto"/>
        <w:left w:val="none" w:sz="0" w:space="0" w:color="auto"/>
        <w:bottom w:val="none" w:sz="0" w:space="0" w:color="auto"/>
        <w:right w:val="none" w:sz="0" w:space="0" w:color="auto"/>
      </w:divBdr>
    </w:div>
    <w:div w:id="195892865">
      <w:marLeft w:val="0"/>
      <w:marRight w:val="0"/>
      <w:marTop w:val="180"/>
      <w:marBottom w:val="180"/>
      <w:divBdr>
        <w:top w:val="none" w:sz="0" w:space="0" w:color="auto"/>
        <w:left w:val="none" w:sz="0" w:space="0" w:color="auto"/>
        <w:bottom w:val="none" w:sz="0" w:space="0" w:color="auto"/>
        <w:right w:val="none" w:sz="0" w:space="0" w:color="auto"/>
      </w:divBdr>
    </w:div>
    <w:div w:id="201090491">
      <w:marLeft w:val="0"/>
      <w:marRight w:val="0"/>
      <w:marTop w:val="0"/>
      <w:marBottom w:val="240"/>
      <w:divBdr>
        <w:top w:val="none" w:sz="0" w:space="0" w:color="auto"/>
        <w:left w:val="none" w:sz="0" w:space="0" w:color="auto"/>
        <w:bottom w:val="none" w:sz="0" w:space="0" w:color="auto"/>
        <w:right w:val="none" w:sz="0" w:space="0" w:color="auto"/>
      </w:divBdr>
    </w:div>
    <w:div w:id="203757686">
      <w:marLeft w:val="0"/>
      <w:marRight w:val="0"/>
      <w:marTop w:val="0"/>
      <w:marBottom w:val="240"/>
      <w:divBdr>
        <w:top w:val="none" w:sz="0" w:space="0" w:color="auto"/>
        <w:left w:val="none" w:sz="0" w:space="0" w:color="auto"/>
        <w:bottom w:val="none" w:sz="0" w:space="0" w:color="auto"/>
        <w:right w:val="none" w:sz="0" w:space="0" w:color="auto"/>
      </w:divBdr>
    </w:div>
    <w:div w:id="205987934">
      <w:marLeft w:val="0"/>
      <w:marRight w:val="0"/>
      <w:marTop w:val="0"/>
      <w:marBottom w:val="240"/>
      <w:divBdr>
        <w:top w:val="none" w:sz="0" w:space="0" w:color="auto"/>
        <w:left w:val="none" w:sz="0" w:space="0" w:color="auto"/>
        <w:bottom w:val="none" w:sz="0" w:space="0" w:color="auto"/>
        <w:right w:val="none" w:sz="0" w:space="0" w:color="auto"/>
      </w:divBdr>
    </w:div>
    <w:div w:id="207649895">
      <w:marLeft w:val="0"/>
      <w:marRight w:val="0"/>
      <w:marTop w:val="120"/>
      <w:marBottom w:val="120"/>
      <w:divBdr>
        <w:top w:val="none" w:sz="0" w:space="0" w:color="auto"/>
        <w:left w:val="none" w:sz="0" w:space="0" w:color="auto"/>
        <w:bottom w:val="none" w:sz="0" w:space="0" w:color="auto"/>
        <w:right w:val="none" w:sz="0" w:space="0" w:color="auto"/>
      </w:divBdr>
    </w:div>
    <w:div w:id="207959297">
      <w:marLeft w:val="0"/>
      <w:marRight w:val="0"/>
      <w:marTop w:val="120"/>
      <w:marBottom w:val="240"/>
      <w:divBdr>
        <w:top w:val="none" w:sz="0" w:space="0" w:color="auto"/>
        <w:left w:val="none" w:sz="0" w:space="0" w:color="auto"/>
        <w:bottom w:val="none" w:sz="0" w:space="0" w:color="auto"/>
        <w:right w:val="none" w:sz="0" w:space="0" w:color="auto"/>
      </w:divBdr>
    </w:div>
    <w:div w:id="208150860">
      <w:marLeft w:val="0"/>
      <w:marRight w:val="0"/>
      <w:marTop w:val="0"/>
      <w:marBottom w:val="180"/>
      <w:divBdr>
        <w:top w:val="none" w:sz="0" w:space="0" w:color="auto"/>
        <w:left w:val="none" w:sz="0" w:space="0" w:color="auto"/>
        <w:bottom w:val="none" w:sz="0" w:space="0" w:color="auto"/>
        <w:right w:val="none" w:sz="0" w:space="0" w:color="auto"/>
      </w:divBdr>
    </w:div>
    <w:div w:id="209727010">
      <w:marLeft w:val="0"/>
      <w:marRight w:val="0"/>
      <w:marTop w:val="100"/>
      <w:marBottom w:val="0"/>
      <w:divBdr>
        <w:top w:val="none" w:sz="0" w:space="0" w:color="auto"/>
        <w:left w:val="none" w:sz="0" w:space="0" w:color="auto"/>
        <w:bottom w:val="none" w:sz="0" w:space="0" w:color="auto"/>
        <w:right w:val="none" w:sz="0" w:space="0" w:color="auto"/>
      </w:divBdr>
    </w:div>
    <w:div w:id="216553335">
      <w:marLeft w:val="0"/>
      <w:marRight w:val="0"/>
      <w:marTop w:val="0"/>
      <w:marBottom w:val="240"/>
      <w:divBdr>
        <w:top w:val="none" w:sz="0" w:space="0" w:color="auto"/>
        <w:left w:val="none" w:sz="0" w:space="0" w:color="auto"/>
        <w:bottom w:val="none" w:sz="0" w:space="0" w:color="auto"/>
        <w:right w:val="none" w:sz="0" w:space="0" w:color="auto"/>
      </w:divBdr>
    </w:div>
    <w:div w:id="216865195">
      <w:marLeft w:val="0"/>
      <w:marRight w:val="0"/>
      <w:marTop w:val="0"/>
      <w:marBottom w:val="180"/>
      <w:divBdr>
        <w:top w:val="none" w:sz="0" w:space="0" w:color="auto"/>
        <w:left w:val="none" w:sz="0" w:space="0" w:color="auto"/>
        <w:bottom w:val="none" w:sz="0" w:space="0" w:color="auto"/>
        <w:right w:val="none" w:sz="0" w:space="0" w:color="auto"/>
      </w:divBdr>
    </w:div>
    <w:div w:id="217130267">
      <w:marLeft w:val="0"/>
      <w:marRight w:val="0"/>
      <w:marTop w:val="120"/>
      <w:marBottom w:val="120"/>
      <w:divBdr>
        <w:top w:val="none" w:sz="0" w:space="0" w:color="auto"/>
        <w:left w:val="none" w:sz="0" w:space="0" w:color="auto"/>
        <w:bottom w:val="none" w:sz="0" w:space="0" w:color="auto"/>
        <w:right w:val="none" w:sz="0" w:space="0" w:color="auto"/>
      </w:divBdr>
    </w:div>
    <w:div w:id="221332851">
      <w:marLeft w:val="0"/>
      <w:marRight w:val="0"/>
      <w:marTop w:val="0"/>
      <w:marBottom w:val="240"/>
      <w:divBdr>
        <w:top w:val="none" w:sz="0" w:space="0" w:color="auto"/>
        <w:left w:val="none" w:sz="0" w:space="0" w:color="auto"/>
        <w:bottom w:val="none" w:sz="0" w:space="0" w:color="auto"/>
        <w:right w:val="none" w:sz="0" w:space="0" w:color="auto"/>
      </w:divBdr>
    </w:div>
    <w:div w:id="221723133">
      <w:marLeft w:val="0"/>
      <w:marRight w:val="0"/>
      <w:marTop w:val="0"/>
      <w:marBottom w:val="0"/>
      <w:divBdr>
        <w:top w:val="none" w:sz="0" w:space="0" w:color="auto"/>
        <w:left w:val="none" w:sz="0" w:space="0" w:color="auto"/>
        <w:bottom w:val="none" w:sz="0" w:space="0" w:color="auto"/>
        <w:right w:val="none" w:sz="0" w:space="0" w:color="auto"/>
      </w:divBdr>
    </w:div>
    <w:div w:id="222255965">
      <w:marLeft w:val="0"/>
      <w:marRight w:val="0"/>
      <w:marTop w:val="120"/>
      <w:marBottom w:val="120"/>
      <w:divBdr>
        <w:top w:val="none" w:sz="0" w:space="0" w:color="auto"/>
        <w:left w:val="none" w:sz="0" w:space="0" w:color="auto"/>
        <w:bottom w:val="none" w:sz="0" w:space="0" w:color="auto"/>
        <w:right w:val="none" w:sz="0" w:space="0" w:color="auto"/>
      </w:divBdr>
    </w:div>
    <w:div w:id="227544876">
      <w:marLeft w:val="0"/>
      <w:marRight w:val="0"/>
      <w:marTop w:val="0"/>
      <w:marBottom w:val="180"/>
      <w:divBdr>
        <w:top w:val="none" w:sz="0" w:space="0" w:color="auto"/>
        <w:left w:val="none" w:sz="0" w:space="0" w:color="auto"/>
        <w:bottom w:val="none" w:sz="0" w:space="0" w:color="auto"/>
        <w:right w:val="none" w:sz="0" w:space="0" w:color="auto"/>
      </w:divBdr>
    </w:div>
    <w:div w:id="228344029">
      <w:marLeft w:val="0"/>
      <w:marRight w:val="0"/>
      <w:marTop w:val="0"/>
      <w:marBottom w:val="180"/>
      <w:divBdr>
        <w:top w:val="none" w:sz="0" w:space="0" w:color="auto"/>
        <w:left w:val="none" w:sz="0" w:space="0" w:color="auto"/>
        <w:bottom w:val="none" w:sz="0" w:space="0" w:color="auto"/>
        <w:right w:val="none" w:sz="0" w:space="0" w:color="auto"/>
      </w:divBdr>
    </w:div>
    <w:div w:id="229855403">
      <w:marLeft w:val="0"/>
      <w:marRight w:val="0"/>
      <w:marTop w:val="180"/>
      <w:marBottom w:val="180"/>
      <w:divBdr>
        <w:top w:val="none" w:sz="0" w:space="0" w:color="auto"/>
        <w:left w:val="none" w:sz="0" w:space="0" w:color="auto"/>
        <w:bottom w:val="none" w:sz="0" w:space="0" w:color="auto"/>
        <w:right w:val="none" w:sz="0" w:space="0" w:color="auto"/>
      </w:divBdr>
    </w:div>
    <w:div w:id="230581397">
      <w:marLeft w:val="0"/>
      <w:marRight w:val="0"/>
      <w:marTop w:val="120"/>
      <w:marBottom w:val="120"/>
      <w:divBdr>
        <w:top w:val="none" w:sz="0" w:space="0" w:color="auto"/>
        <w:left w:val="none" w:sz="0" w:space="0" w:color="auto"/>
        <w:bottom w:val="none" w:sz="0" w:space="0" w:color="auto"/>
        <w:right w:val="none" w:sz="0" w:space="0" w:color="auto"/>
      </w:divBdr>
    </w:div>
    <w:div w:id="230583534">
      <w:marLeft w:val="0"/>
      <w:marRight w:val="0"/>
      <w:marTop w:val="120"/>
      <w:marBottom w:val="120"/>
      <w:divBdr>
        <w:top w:val="none" w:sz="0" w:space="0" w:color="auto"/>
        <w:left w:val="none" w:sz="0" w:space="0" w:color="auto"/>
        <w:bottom w:val="none" w:sz="0" w:space="0" w:color="auto"/>
        <w:right w:val="none" w:sz="0" w:space="0" w:color="auto"/>
      </w:divBdr>
    </w:div>
    <w:div w:id="234365777">
      <w:marLeft w:val="0"/>
      <w:marRight w:val="0"/>
      <w:marTop w:val="120"/>
      <w:marBottom w:val="120"/>
      <w:divBdr>
        <w:top w:val="none" w:sz="0" w:space="0" w:color="auto"/>
        <w:left w:val="none" w:sz="0" w:space="0" w:color="auto"/>
        <w:bottom w:val="none" w:sz="0" w:space="0" w:color="auto"/>
        <w:right w:val="none" w:sz="0" w:space="0" w:color="auto"/>
      </w:divBdr>
    </w:div>
    <w:div w:id="235939131">
      <w:marLeft w:val="0"/>
      <w:marRight w:val="0"/>
      <w:marTop w:val="0"/>
      <w:marBottom w:val="0"/>
      <w:divBdr>
        <w:top w:val="none" w:sz="0" w:space="0" w:color="auto"/>
        <w:left w:val="none" w:sz="0" w:space="0" w:color="auto"/>
        <w:bottom w:val="none" w:sz="0" w:space="0" w:color="auto"/>
        <w:right w:val="none" w:sz="0" w:space="0" w:color="auto"/>
      </w:divBdr>
      <w:divsChild>
        <w:div w:id="2105757862">
          <w:marLeft w:val="0"/>
          <w:marRight w:val="0"/>
          <w:marTop w:val="0"/>
          <w:marBottom w:val="0"/>
          <w:divBdr>
            <w:top w:val="none" w:sz="0" w:space="0" w:color="auto"/>
            <w:left w:val="none" w:sz="0" w:space="0" w:color="auto"/>
            <w:bottom w:val="none" w:sz="0" w:space="0" w:color="auto"/>
            <w:right w:val="none" w:sz="0" w:space="0" w:color="auto"/>
          </w:divBdr>
        </w:div>
        <w:div w:id="220408014">
          <w:marLeft w:val="0"/>
          <w:marRight w:val="0"/>
          <w:marTop w:val="0"/>
          <w:marBottom w:val="0"/>
          <w:divBdr>
            <w:top w:val="none" w:sz="0" w:space="0" w:color="auto"/>
            <w:left w:val="none" w:sz="0" w:space="0" w:color="auto"/>
            <w:bottom w:val="none" w:sz="0" w:space="0" w:color="auto"/>
            <w:right w:val="none" w:sz="0" w:space="0" w:color="auto"/>
          </w:divBdr>
        </w:div>
      </w:divsChild>
    </w:div>
    <w:div w:id="236015872">
      <w:marLeft w:val="0"/>
      <w:marRight w:val="0"/>
      <w:marTop w:val="120"/>
      <w:marBottom w:val="120"/>
      <w:divBdr>
        <w:top w:val="none" w:sz="0" w:space="0" w:color="auto"/>
        <w:left w:val="none" w:sz="0" w:space="0" w:color="auto"/>
        <w:bottom w:val="none" w:sz="0" w:space="0" w:color="auto"/>
        <w:right w:val="none" w:sz="0" w:space="0" w:color="auto"/>
      </w:divBdr>
    </w:div>
    <w:div w:id="236786696">
      <w:marLeft w:val="0"/>
      <w:marRight w:val="0"/>
      <w:marTop w:val="0"/>
      <w:marBottom w:val="0"/>
      <w:divBdr>
        <w:top w:val="none" w:sz="0" w:space="0" w:color="auto"/>
        <w:left w:val="none" w:sz="0" w:space="0" w:color="auto"/>
        <w:bottom w:val="none" w:sz="0" w:space="0" w:color="auto"/>
        <w:right w:val="none" w:sz="0" w:space="0" w:color="auto"/>
      </w:divBdr>
      <w:divsChild>
        <w:div w:id="1439443161">
          <w:marLeft w:val="0"/>
          <w:marRight w:val="0"/>
          <w:marTop w:val="0"/>
          <w:marBottom w:val="0"/>
          <w:divBdr>
            <w:top w:val="none" w:sz="0" w:space="0" w:color="auto"/>
            <w:left w:val="none" w:sz="0" w:space="0" w:color="auto"/>
            <w:bottom w:val="none" w:sz="0" w:space="0" w:color="auto"/>
            <w:right w:val="none" w:sz="0" w:space="0" w:color="auto"/>
          </w:divBdr>
        </w:div>
      </w:divsChild>
    </w:div>
    <w:div w:id="237129845">
      <w:marLeft w:val="0"/>
      <w:marRight w:val="0"/>
      <w:marTop w:val="0"/>
      <w:marBottom w:val="180"/>
      <w:divBdr>
        <w:top w:val="none" w:sz="0" w:space="0" w:color="auto"/>
        <w:left w:val="none" w:sz="0" w:space="0" w:color="auto"/>
        <w:bottom w:val="none" w:sz="0" w:space="0" w:color="auto"/>
        <w:right w:val="none" w:sz="0" w:space="0" w:color="auto"/>
      </w:divBdr>
    </w:div>
    <w:div w:id="237136286">
      <w:marLeft w:val="0"/>
      <w:marRight w:val="0"/>
      <w:marTop w:val="180"/>
      <w:marBottom w:val="180"/>
      <w:divBdr>
        <w:top w:val="none" w:sz="0" w:space="0" w:color="auto"/>
        <w:left w:val="none" w:sz="0" w:space="0" w:color="auto"/>
        <w:bottom w:val="none" w:sz="0" w:space="0" w:color="auto"/>
        <w:right w:val="none" w:sz="0" w:space="0" w:color="auto"/>
      </w:divBdr>
    </w:div>
    <w:div w:id="237374164">
      <w:marLeft w:val="0"/>
      <w:marRight w:val="0"/>
      <w:marTop w:val="0"/>
      <w:marBottom w:val="180"/>
      <w:divBdr>
        <w:top w:val="none" w:sz="0" w:space="0" w:color="auto"/>
        <w:left w:val="none" w:sz="0" w:space="0" w:color="auto"/>
        <w:bottom w:val="none" w:sz="0" w:space="0" w:color="auto"/>
        <w:right w:val="none" w:sz="0" w:space="0" w:color="auto"/>
      </w:divBdr>
    </w:div>
    <w:div w:id="237637703">
      <w:marLeft w:val="0"/>
      <w:marRight w:val="0"/>
      <w:marTop w:val="120"/>
      <w:marBottom w:val="120"/>
      <w:divBdr>
        <w:top w:val="none" w:sz="0" w:space="0" w:color="auto"/>
        <w:left w:val="none" w:sz="0" w:space="0" w:color="auto"/>
        <w:bottom w:val="none" w:sz="0" w:space="0" w:color="auto"/>
        <w:right w:val="none" w:sz="0" w:space="0" w:color="auto"/>
      </w:divBdr>
    </w:div>
    <w:div w:id="237910696">
      <w:marLeft w:val="0"/>
      <w:marRight w:val="0"/>
      <w:marTop w:val="0"/>
      <w:marBottom w:val="0"/>
      <w:divBdr>
        <w:top w:val="none" w:sz="0" w:space="0" w:color="auto"/>
        <w:left w:val="none" w:sz="0" w:space="0" w:color="auto"/>
        <w:bottom w:val="none" w:sz="0" w:space="0" w:color="auto"/>
        <w:right w:val="none" w:sz="0" w:space="0" w:color="auto"/>
      </w:divBdr>
      <w:divsChild>
        <w:div w:id="1808429608">
          <w:marLeft w:val="0"/>
          <w:marRight w:val="0"/>
          <w:marTop w:val="0"/>
          <w:marBottom w:val="0"/>
          <w:divBdr>
            <w:top w:val="none" w:sz="0" w:space="0" w:color="auto"/>
            <w:left w:val="none" w:sz="0" w:space="0" w:color="auto"/>
            <w:bottom w:val="none" w:sz="0" w:space="0" w:color="auto"/>
            <w:right w:val="none" w:sz="0" w:space="0" w:color="auto"/>
          </w:divBdr>
        </w:div>
      </w:divsChild>
    </w:div>
    <w:div w:id="238487571">
      <w:marLeft w:val="0"/>
      <w:marRight w:val="0"/>
      <w:marTop w:val="0"/>
      <w:marBottom w:val="0"/>
      <w:divBdr>
        <w:top w:val="none" w:sz="0" w:space="0" w:color="auto"/>
        <w:left w:val="none" w:sz="0" w:space="0" w:color="auto"/>
        <w:bottom w:val="none" w:sz="0" w:space="0" w:color="auto"/>
        <w:right w:val="none" w:sz="0" w:space="0" w:color="auto"/>
      </w:divBdr>
      <w:divsChild>
        <w:div w:id="3870771">
          <w:marLeft w:val="0"/>
          <w:marRight w:val="0"/>
          <w:marTop w:val="0"/>
          <w:marBottom w:val="0"/>
          <w:divBdr>
            <w:top w:val="none" w:sz="0" w:space="0" w:color="auto"/>
            <w:left w:val="none" w:sz="0" w:space="0" w:color="auto"/>
            <w:bottom w:val="none" w:sz="0" w:space="0" w:color="auto"/>
            <w:right w:val="none" w:sz="0" w:space="0" w:color="auto"/>
          </w:divBdr>
        </w:div>
      </w:divsChild>
    </w:div>
    <w:div w:id="243492610">
      <w:marLeft w:val="0"/>
      <w:marRight w:val="0"/>
      <w:marTop w:val="100"/>
      <w:marBottom w:val="0"/>
      <w:divBdr>
        <w:top w:val="none" w:sz="0" w:space="0" w:color="auto"/>
        <w:left w:val="none" w:sz="0" w:space="0" w:color="auto"/>
        <w:bottom w:val="none" w:sz="0" w:space="0" w:color="auto"/>
        <w:right w:val="none" w:sz="0" w:space="0" w:color="auto"/>
      </w:divBdr>
    </w:div>
    <w:div w:id="243495154">
      <w:marLeft w:val="0"/>
      <w:marRight w:val="0"/>
      <w:marTop w:val="120"/>
      <w:marBottom w:val="120"/>
      <w:divBdr>
        <w:top w:val="none" w:sz="0" w:space="0" w:color="auto"/>
        <w:left w:val="none" w:sz="0" w:space="0" w:color="auto"/>
        <w:bottom w:val="none" w:sz="0" w:space="0" w:color="auto"/>
        <w:right w:val="none" w:sz="0" w:space="0" w:color="auto"/>
      </w:divBdr>
    </w:div>
    <w:div w:id="246156236">
      <w:marLeft w:val="0"/>
      <w:marRight w:val="0"/>
      <w:marTop w:val="0"/>
      <w:marBottom w:val="180"/>
      <w:divBdr>
        <w:top w:val="none" w:sz="0" w:space="0" w:color="auto"/>
        <w:left w:val="none" w:sz="0" w:space="0" w:color="auto"/>
        <w:bottom w:val="none" w:sz="0" w:space="0" w:color="auto"/>
        <w:right w:val="none" w:sz="0" w:space="0" w:color="auto"/>
      </w:divBdr>
    </w:div>
    <w:div w:id="246230202">
      <w:marLeft w:val="0"/>
      <w:marRight w:val="0"/>
      <w:marTop w:val="0"/>
      <w:marBottom w:val="0"/>
      <w:divBdr>
        <w:top w:val="none" w:sz="0" w:space="0" w:color="auto"/>
        <w:left w:val="none" w:sz="0" w:space="0" w:color="auto"/>
        <w:bottom w:val="none" w:sz="0" w:space="0" w:color="auto"/>
        <w:right w:val="none" w:sz="0" w:space="0" w:color="auto"/>
      </w:divBdr>
      <w:divsChild>
        <w:div w:id="2091467587">
          <w:marLeft w:val="0"/>
          <w:marRight w:val="0"/>
          <w:marTop w:val="0"/>
          <w:marBottom w:val="0"/>
          <w:divBdr>
            <w:top w:val="none" w:sz="0" w:space="0" w:color="auto"/>
            <w:left w:val="none" w:sz="0" w:space="0" w:color="auto"/>
            <w:bottom w:val="none" w:sz="0" w:space="0" w:color="auto"/>
            <w:right w:val="none" w:sz="0" w:space="0" w:color="auto"/>
          </w:divBdr>
        </w:div>
      </w:divsChild>
    </w:div>
    <w:div w:id="246693745">
      <w:marLeft w:val="0"/>
      <w:marRight w:val="0"/>
      <w:marTop w:val="180"/>
      <w:marBottom w:val="180"/>
      <w:divBdr>
        <w:top w:val="none" w:sz="0" w:space="0" w:color="auto"/>
        <w:left w:val="none" w:sz="0" w:space="0" w:color="auto"/>
        <w:bottom w:val="none" w:sz="0" w:space="0" w:color="auto"/>
        <w:right w:val="none" w:sz="0" w:space="0" w:color="auto"/>
      </w:divBdr>
    </w:div>
    <w:div w:id="251550741">
      <w:marLeft w:val="0"/>
      <w:marRight w:val="0"/>
      <w:marTop w:val="0"/>
      <w:marBottom w:val="0"/>
      <w:divBdr>
        <w:top w:val="none" w:sz="0" w:space="0" w:color="auto"/>
        <w:left w:val="none" w:sz="0" w:space="0" w:color="auto"/>
        <w:bottom w:val="none" w:sz="0" w:space="0" w:color="auto"/>
        <w:right w:val="none" w:sz="0" w:space="0" w:color="auto"/>
      </w:divBdr>
    </w:div>
    <w:div w:id="251665303">
      <w:marLeft w:val="0"/>
      <w:marRight w:val="0"/>
      <w:marTop w:val="180"/>
      <w:marBottom w:val="180"/>
      <w:divBdr>
        <w:top w:val="none" w:sz="0" w:space="0" w:color="auto"/>
        <w:left w:val="none" w:sz="0" w:space="0" w:color="auto"/>
        <w:bottom w:val="none" w:sz="0" w:space="0" w:color="auto"/>
        <w:right w:val="none" w:sz="0" w:space="0" w:color="auto"/>
      </w:divBdr>
    </w:div>
    <w:div w:id="253393338">
      <w:marLeft w:val="0"/>
      <w:marRight w:val="0"/>
      <w:marTop w:val="0"/>
      <w:marBottom w:val="0"/>
      <w:divBdr>
        <w:top w:val="none" w:sz="0" w:space="0" w:color="auto"/>
        <w:left w:val="none" w:sz="0" w:space="0" w:color="auto"/>
        <w:bottom w:val="none" w:sz="0" w:space="0" w:color="auto"/>
        <w:right w:val="none" w:sz="0" w:space="0" w:color="auto"/>
      </w:divBdr>
      <w:divsChild>
        <w:div w:id="896167594">
          <w:marLeft w:val="0"/>
          <w:marRight w:val="0"/>
          <w:marTop w:val="0"/>
          <w:marBottom w:val="0"/>
          <w:divBdr>
            <w:top w:val="none" w:sz="0" w:space="0" w:color="auto"/>
            <w:left w:val="none" w:sz="0" w:space="0" w:color="auto"/>
            <w:bottom w:val="none" w:sz="0" w:space="0" w:color="auto"/>
            <w:right w:val="none" w:sz="0" w:space="0" w:color="auto"/>
          </w:divBdr>
        </w:div>
      </w:divsChild>
    </w:div>
    <w:div w:id="254871830">
      <w:marLeft w:val="0"/>
      <w:marRight w:val="0"/>
      <w:marTop w:val="0"/>
      <w:marBottom w:val="0"/>
      <w:divBdr>
        <w:top w:val="none" w:sz="0" w:space="0" w:color="auto"/>
        <w:left w:val="none" w:sz="0" w:space="0" w:color="auto"/>
        <w:bottom w:val="none" w:sz="0" w:space="0" w:color="auto"/>
        <w:right w:val="none" w:sz="0" w:space="0" w:color="auto"/>
      </w:divBdr>
    </w:div>
    <w:div w:id="254940633">
      <w:marLeft w:val="0"/>
      <w:marRight w:val="0"/>
      <w:marTop w:val="0"/>
      <w:marBottom w:val="0"/>
      <w:divBdr>
        <w:top w:val="none" w:sz="0" w:space="0" w:color="auto"/>
        <w:left w:val="none" w:sz="0" w:space="0" w:color="auto"/>
        <w:bottom w:val="none" w:sz="0" w:space="0" w:color="auto"/>
        <w:right w:val="none" w:sz="0" w:space="0" w:color="auto"/>
      </w:divBdr>
    </w:div>
    <w:div w:id="255097273">
      <w:marLeft w:val="0"/>
      <w:marRight w:val="0"/>
      <w:marTop w:val="0"/>
      <w:marBottom w:val="180"/>
      <w:divBdr>
        <w:top w:val="none" w:sz="0" w:space="0" w:color="auto"/>
        <w:left w:val="none" w:sz="0" w:space="0" w:color="auto"/>
        <w:bottom w:val="none" w:sz="0" w:space="0" w:color="auto"/>
        <w:right w:val="none" w:sz="0" w:space="0" w:color="auto"/>
      </w:divBdr>
    </w:div>
    <w:div w:id="255599517">
      <w:marLeft w:val="0"/>
      <w:marRight w:val="0"/>
      <w:marTop w:val="180"/>
      <w:marBottom w:val="180"/>
      <w:divBdr>
        <w:top w:val="none" w:sz="0" w:space="0" w:color="auto"/>
        <w:left w:val="none" w:sz="0" w:space="0" w:color="auto"/>
        <w:bottom w:val="none" w:sz="0" w:space="0" w:color="auto"/>
        <w:right w:val="none" w:sz="0" w:space="0" w:color="auto"/>
      </w:divBdr>
    </w:div>
    <w:div w:id="256136358">
      <w:marLeft w:val="0"/>
      <w:marRight w:val="0"/>
      <w:marTop w:val="100"/>
      <w:marBottom w:val="140"/>
      <w:divBdr>
        <w:top w:val="none" w:sz="0" w:space="0" w:color="auto"/>
        <w:left w:val="none" w:sz="0" w:space="0" w:color="auto"/>
        <w:bottom w:val="none" w:sz="0" w:space="0" w:color="auto"/>
        <w:right w:val="none" w:sz="0" w:space="0" w:color="auto"/>
      </w:divBdr>
    </w:div>
    <w:div w:id="257520496">
      <w:marLeft w:val="0"/>
      <w:marRight w:val="0"/>
      <w:marTop w:val="0"/>
      <w:marBottom w:val="240"/>
      <w:divBdr>
        <w:top w:val="none" w:sz="0" w:space="0" w:color="auto"/>
        <w:left w:val="none" w:sz="0" w:space="0" w:color="auto"/>
        <w:bottom w:val="none" w:sz="0" w:space="0" w:color="auto"/>
        <w:right w:val="none" w:sz="0" w:space="0" w:color="auto"/>
      </w:divBdr>
    </w:div>
    <w:div w:id="258146506">
      <w:marLeft w:val="0"/>
      <w:marRight w:val="0"/>
      <w:marTop w:val="0"/>
      <w:marBottom w:val="0"/>
      <w:divBdr>
        <w:top w:val="none" w:sz="0" w:space="0" w:color="auto"/>
        <w:left w:val="none" w:sz="0" w:space="0" w:color="auto"/>
        <w:bottom w:val="none" w:sz="0" w:space="0" w:color="auto"/>
        <w:right w:val="none" w:sz="0" w:space="0" w:color="auto"/>
      </w:divBdr>
      <w:divsChild>
        <w:div w:id="413015529">
          <w:marLeft w:val="0"/>
          <w:marRight w:val="0"/>
          <w:marTop w:val="0"/>
          <w:marBottom w:val="0"/>
          <w:divBdr>
            <w:top w:val="none" w:sz="0" w:space="0" w:color="auto"/>
            <w:left w:val="none" w:sz="0" w:space="0" w:color="auto"/>
            <w:bottom w:val="none" w:sz="0" w:space="0" w:color="auto"/>
            <w:right w:val="none" w:sz="0" w:space="0" w:color="auto"/>
          </w:divBdr>
        </w:div>
      </w:divsChild>
    </w:div>
    <w:div w:id="261230328">
      <w:marLeft w:val="0"/>
      <w:marRight w:val="0"/>
      <w:marTop w:val="0"/>
      <w:marBottom w:val="0"/>
      <w:divBdr>
        <w:top w:val="none" w:sz="0" w:space="0" w:color="auto"/>
        <w:left w:val="none" w:sz="0" w:space="0" w:color="auto"/>
        <w:bottom w:val="none" w:sz="0" w:space="0" w:color="auto"/>
        <w:right w:val="none" w:sz="0" w:space="0" w:color="auto"/>
      </w:divBdr>
    </w:div>
    <w:div w:id="261499400">
      <w:marLeft w:val="0"/>
      <w:marRight w:val="0"/>
      <w:marTop w:val="180"/>
      <w:marBottom w:val="180"/>
      <w:divBdr>
        <w:top w:val="none" w:sz="0" w:space="0" w:color="auto"/>
        <w:left w:val="none" w:sz="0" w:space="0" w:color="auto"/>
        <w:bottom w:val="none" w:sz="0" w:space="0" w:color="auto"/>
        <w:right w:val="none" w:sz="0" w:space="0" w:color="auto"/>
      </w:divBdr>
    </w:div>
    <w:div w:id="263848699">
      <w:marLeft w:val="0"/>
      <w:marRight w:val="0"/>
      <w:marTop w:val="0"/>
      <w:marBottom w:val="240"/>
      <w:divBdr>
        <w:top w:val="none" w:sz="0" w:space="0" w:color="auto"/>
        <w:left w:val="none" w:sz="0" w:space="0" w:color="auto"/>
        <w:bottom w:val="none" w:sz="0" w:space="0" w:color="auto"/>
        <w:right w:val="none" w:sz="0" w:space="0" w:color="auto"/>
      </w:divBdr>
    </w:div>
    <w:div w:id="263851739">
      <w:marLeft w:val="0"/>
      <w:marRight w:val="0"/>
      <w:marTop w:val="0"/>
      <w:marBottom w:val="0"/>
      <w:divBdr>
        <w:top w:val="none" w:sz="0" w:space="0" w:color="auto"/>
        <w:left w:val="none" w:sz="0" w:space="0" w:color="auto"/>
        <w:bottom w:val="none" w:sz="0" w:space="0" w:color="auto"/>
        <w:right w:val="none" w:sz="0" w:space="0" w:color="auto"/>
      </w:divBdr>
    </w:div>
    <w:div w:id="264046197">
      <w:marLeft w:val="0"/>
      <w:marRight w:val="0"/>
      <w:marTop w:val="0"/>
      <w:marBottom w:val="0"/>
      <w:divBdr>
        <w:top w:val="none" w:sz="0" w:space="0" w:color="auto"/>
        <w:left w:val="none" w:sz="0" w:space="0" w:color="auto"/>
        <w:bottom w:val="none" w:sz="0" w:space="0" w:color="auto"/>
        <w:right w:val="none" w:sz="0" w:space="0" w:color="auto"/>
      </w:divBdr>
    </w:div>
    <w:div w:id="264578680">
      <w:marLeft w:val="0"/>
      <w:marRight w:val="0"/>
      <w:marTop w:val="0"/>
      <w:marBottom w:val="180"/>
      <w:divBdr>
        <w:top w:val="none" w:sz="0" w:space="0" w:color="auto"/>
        <w:left w:val="none" w:sz="0" w:space="0" w:color="auto"/>
        <w:bottom w:val="none" w:sz="0" w:space="0" w:color="auto"/>
        <w:right w:val="none" w:sz="0" w:space="0" w:color="auto"/>
      </w:divBdr>
    </w:div>
    <w:div w:id="264775835">
      <w:marLeft w:val="0"/>
      <w:marRight w:val="0"/>
      <w:marTop w:val="120"/>
      <w:marBottom w:val="120"/>
      <w:divBdr>
        <w:top w:val="none" w:sz="0" w:space="0" w:color="auto"/>
        <w:left w:val="none" w:sz="0" w:space="0" w:color="auto"/>
        <w:bottom w:val="none" w:sz="0" w:space="0" w:color="auto"/>
        <w:right w:val="none" w:sz="0" w:space="0" w:color="auto"/>
      </w:divBdr>
    </w:div>
    <w:div w:id="266156971">
      <w:marLeft w:val="0"/>
      <w:marRight w:val="0"/>
      <w:marTop w:val="0"/>
      <w:marBottom w:val="0"/>
      <w:divBdr>
        <w:top w:val="none" w:sz="0" w:space="0" w:color="auto"/>
        <w:left w:val="none" w:sz="0" w:space="0" w:color="auto"/>
        <w:bottom w:val="none" w:sz="0" w:space="0" w:color="auto"/>
        <w:right w:val="none" w:sz="0" w:space="0" w:color="auto"/>
      </w:divBdr>
      <w:divsChild>
        <w:div w:id="1041320518">
          <w:marLeft w:val="0"/>
          <w:marRight w:val="0"/>
          <w:marTop w:val="0"/>
          <w:marBottom w:val="0"/>
          <w:divBdr>
            <w:top w:val="none" w:sz="0" w:space="0" w:color="auto"/>
            <w:left w:val="none" w:sz="0" w:space="0" w:color="auto"/>
            <w:bottom w:val="none" w:sz="0" w:space="0" w:color="auto"/>
            <w:right w:val="none" w:sz="0" w:space="0" w:color="auto"/>
          </w:divBdr>
        </w:div>
      </w:divsChild>
    </w:div>
    <w:div w:id="266544889">
      <w:marLeft w:val="0"/>
      <w:marRight w:val="0"/>
      <w:marTop w:val="0"/>
      <w:marBottom w:val="180"/>
      <w:divBdr>
        <w:top w:val="none" w:sz="0" w:space="0" w:color="auto"/>
        <w:left w:val="none" w:sz="0" w:space="0" w:color="auto"/>
        <w:bottom w:val="none" w:sz="0" w:space="0" w:color="auto"/>
        <w:right w:val="none" w:sz="0" w:space="0" w:color="auto"/>
      </w:divBdr>
    </w:div>
    <w:div w:id="270355804">
      <w:marLeft w:val="0"/>
      <w:marRight w:val="0"/>
      <w:marTop w:val="0"/>
      <w:marBottom w:val="180"/>
      <w:divBdr>
        <w:top w:val="none" w:sz="0" w:space="0" w:color="auto"/>
        <w:left w:val="none" w:sz="0" w:space="0" w:color="auto"/>
        <w:bottom w:val="none" w:sz="0" w:space="0" w:color="auto"/>
        <w:right w:val="none" w:sz="0" w:space="0" w:color="auto"/>
      </w:divBdr>
    </w:div>
    <w:div w:id="270937491">
      <w:marLeft w:val="0"/>
      <w:marRight w:val="0"/>
      <w:marTop w:val="0"/>
      <w:marBottom w:val="0"/>
      <w:divBdr>
        <w:top w:val="none" w:sz="0" w:space="0" w:color="auto"/>
        <w:left w:val="none" w:sz="0" w:space="0" w:color="auto"/>
        <w:bottom w:val="none" w:sz="0" w:space="0" w:color="auto"/>
        <w:right w:val="none" w:sz="0" w:space="0" w:color="auto"/>
      </w:divBdr>
      <w:divsChild>
        <w:div w:id="1531256978">
          <w:marLeft w:val="0"/>
          <w:marRight w:val="0"/>
          <w:marTop w:val="0"/>
          <w:marBottom w:val="0"/>
          <w:divBdr>
            <w:top w:val="none" w:sz="0" w:space="0" w:color="auto"/>
            <w:left w:val="none" w:sz="0" w:space="0" w:color="auto"/>
            <w:bottom w:val="none" w:sz="0" w:space="0" w:color="auto"/>
            <w:right w:val="none" w:sz="0" w:space="0" w:color="auto"/>
          </w:divBdr>
        </w:div>
      </w:divsChild>
    </w:div>
    <w:div w:id="271010676">
      <w:marLeft w:val="0"/>
      <w:marRight w:val="0"/>
      <w:marTop w:val="120"/>
      <w:marBottom w:val="240"/>
      <w:divBdr>
        <w:top w:val="none" w:sz="0" w:space="0" w:color="auto"/>
        <w:left w:val="none" w:sz="0" w:space="0" w:color="auto"/>
        <w:bottom w:val="none" w:sz="0" w:space="0" w:color="auto"/>
        <w:right w:val="none" w:sz="0" w:space="0" w:color="auto"/>
      </w:divBdr>
    </w:div>
    <w:div w:id="272172326">
      <w:marLeft w:val="0"/>
      <w:marRight w:val="0"/>
      <w:marTop w:val="0"/>
      <w:marBottom w:val="180"/>
      <w:divBdr>
        <w:top w:val="none" w:sz="0" w:space="0" w:color="auto"/>
        <w:left w:val="none" w:sz="0" w:space="0" w:color="auto"/>
        <w:bottom w:val="none" w:sz="0" w:space="0" w:color="auto"/>
        <w:right w:val="none" w:sz="0" w:space="0" w:color="auto"/>
      </w:divBdr>
    </w:div>
    <w:div w:id="272590004">
      <w:marLeft w:val="0"/>
      <w:marRight w:val="0"/>
      <w:marTop w:val="0"/>
      <w:marBottom w:val="0"/>
      <w:divBdr>
        <w:top w:val="none" w:sz="0" w:space="0" w:color="auto"/>
        <w:left w:val="none" w:sz="0" w:space="0" w:color="auto"/>
        <w:bottom w:val="none" w:sz="0" w:space="0" w:color="auto"/>
        <w:right w:val="none" w:sz="0" w:space="0" w:color="auto"/>
      </w:divBdr>
      <w:divsChild>
        <w:div w:id="600838381">
          <w:marLeft w:val="0"/>
          <w:marRight w:val="0"/>
          <w:marTop w:val="0"/>
          <w:marBottom w:val="0"/>
          <w:divBdr>
            <w:top w:val="none" w:sz="0" w:space="0" w:color="auto"/>
            <w:left w:val="none" w:sz="0" w:space="0" w:color="auto"/>
            <w:bottom w:val="none" w:sz="0" w:space="0" w:color="auto"/>
            <w:right w:val="none" w:sz="0" w:space="0" w:color="auto"/>
          </w:divBdr>
        </w:div>
        <w:div w:id="1934507206">
          <w:marLeft w:val="0"/>
          <w:marRight w:val="0"/>
          <w:marTop w:val="0"/>
          <w:marBottom w:val="0"/>
          <w:divBdr>
            <w:top w:val="none" w:sz="0" w:space="0" w:color="auto"/>
            <w:left w:val="none" w:sz="0" w:space="0" w:color="auto"/>
            <w:bottom w:val="none" w:sz="0" w:space="0" w:color="auto"/>
            <w:right w:val="none" w:sz="0" w:space="0" w:color="auto"/>
          </w:divBdr>
        </w:div>
        <w:div w:id="235943400">
          <w:marLeft w:val="0"/>
          <w:marRight w:val="0"/>
          <w:marTop w:val="0"/>
          <w:marBottom w:val="0"/>
          <w:divBdr>
            <w:top w:val="none" w:sz="0" w:space="0" w:color="auto"/>
            <w:left w:val="none" w:sz="0" w:space="0" w:color="auto"/>
            <w:bottom w:val="none" w:sz="0" w:space="0" w:color="auto"/>
            <w:right w:val="none" w:sz="0" w:space="0" w:color="auto"/>
          </w:divBdr>
        </w:div>
      </w:divsChild>
    </w:div>
    <w:div w:id="274019512">
      <w:marLeft w:val="0"/>
      <w:marRight w:val="0"/>
      <w:marTop w:val="0"/>
      <w:marBottom w:val="0"/>
      <w:divBdr>
        <w:top w:val="none" w:sz="0" w:space="0" w:color="auto"/>
        <w:left w:val="none" w:sz="0" w:space="0" w:color="auto"/>
        <w:bottom w:val="none" w:sz="0" w:space="0" w:color="auto"/>
        <w:right w:val="none" w:sz="0" w:space="0" w:color="auto"/>
      </w:divBdr>
      <w:divsChild>
        <w:div w:id="597324775">
          <w:marLeft w:val="0"/>
          <w:marRight w:val="0"/>
          <w:marTop w:val="0"/>
          <w:marBottom w:val="0"/>
          <w:divBdr>
            <w:top w:val="none" w:sz="0" w:space="0" w:color="auto"/>
            <w:left w:val="none" w:sz="0" w:space="0" w:color="auto"/>
            <w:bottom w:val="none" w:sz="0" w:space="0" w:color="auto"/>
            <w:right w:val="none" w:sz="0" w:space="0" w:color="auto"/>
          </w:divBdr>
        </w:div>
      </w:divsChild>
    </w:div>
    <w:div w:id="274094420">
      <w:marLeft w:val="0"/>
      <w:marRight w:val="0"/>
      <w:marTop w:val="0"/>
      <w:marBottom w:val="0"/>
      <w:divBdr>
        <w:top w:val="none" w:sz="0" w:space="0" w:color="auto"/>
        <w:left w:val="none" w:sz="0" w:space="0" w:color="auto"/>
        <w:bottom w:val="none" w:sz="0" w:space="0" w:color="auto"/>
        <w:right w:val="none" w:sz="0" w:space="0" w:color="auto"/>
      </w:divBdr>
    </w:div>
    <w:div w:id="274606060">
      <w:marLeft w:val="0"/>
      <w:marRight w:val="0"/>
      <w:marTop w:val="0"/>
      <w:marBottom w:val="0"/>
      <w:divBdr>
        <w:top w:val="none" w:sz="0" w:space="0" w:color="auto"/>
        <w:left w:val="none" w:sz="0" w:space="0" w:color="auto"/>
        <w:bottom w:val="none" w:sz="0" w:space="0" w:color="auto"/>
        <w:right w:val="none" w:sz="0" w:space="0" w:color="auto"/>
      </w:divBdr>
      <w:divsChild>
        <w:div w:id="154952955">
          <w:marLeft w:val="0"/>
          <w:marRight w:val="0"/>
          <w:marTop w:val="0"/>
          <w:marBottom w:val="0"/>
          <w:divBdr>
            <w:top w:val="none" w:sz="0" w:space="0" w:color="auto"/>
            <w:left w:val="none" w:sz="0" w:space="0" w:color="auto"/>
            <w:bottom w:val="none" w:sz="0" w:space="0" w:color="auto"/>
            <w:right w:val="none" w:sz="0" w:space="0" w:color="auto"/>
          </w:divBdr>
        </w:div>
      </w:divsChild>
    </w:div>
    <w:div w:id="275211749">
      <w:marLeft w:val="0"/>
      <w:marRight w:val="0"/>
      <w:marTop w:val="0"/>
      <w:marBottom w:val="0"/>
      <w:divBdr>
        <w:top w:val="none" w:sz="0" w:space="0" w:color="auto"/>
        <w:left w:val="none" w:sz="0" w:space="0" w:color="auto"/>
        <w:bottom w:val="none" w:sz="0" w:space="0" w:color="auto"/>
        <w:right w:val="none" w:sz="0" w:space="0" w:color="auto"/>
      </w:divBdr>
      <w:divsChild>
        <w:div w:id="1405840285">
          <w:marLeft w:val="0"/>
          <w:marRight w:val="0"/>
          <w:marTop w:val="0"/>
          <w:marBottom w:val="0"/>
          <w:divBdr>
            <w:top w:val="none" w:sz="0" w:space="0" w:color="auto"/>
            <w:left w:val="none" w:sz="0" w:space="0" w:color="auto"/>
            <w:bottom w:val="none" w:sz="0" w:space="0" w:color="auto"/>
            <w:right w:val="none" w:sz="0" w:space="0" w:color="auto"/>
          </w:divBdr>
        </w:div>
      </w:divsChild>
    </w:div>
    <w:div w:id="276304035">
      <w:marLeft w:val="0"/>
      <w:marRight w:val="0"/>
      <w:marTop w:val="0"/>
      <w:marBottom w:val="180"/>
      <w:divBdr>
        <w:top w:val="none" w:sz="0" w:space="0" w:color="auto"/>
        <w:left w:val="none" w:sz="0" w:space="0" w:color="auto"/>
        <w:bottom w:val="none" w:sz="0" w:space="0" w:color="auto"/>
        <w:right w:val="none" w:sz="0" w:space="0" w:color="auto"/>
      </w:divBdr>
    </w:div>
    <w:div w:id="276907890">
      <w:marLeft w:val="0"/>
      <w:marRight w:val="0"/>
      <w:marTop w:val="0"/>
      <w:marBottom w:val="0"/>
      <w:divBdr>
        <w:top w:val="none" w:sz="0" w:space="0" w:color="auto"/>
        <w:left w:val="none" w:sz="0" w:space="0" w:color="auto"/>
        <w:bottom w:val="none" w:sz="0" w:space="0" w:color="auto"/>
        <w:right w:val="none" w:sz="0" w:space="0" w:color="auto"/>
      </w:divBdr>
      <w:divsChild>
        <w:div w:id="636225413">
          <w:marLeft w:val="0"/>
          <w:marRight w:val="0"/>
          <w:marTop w:val="0"/>
          <w:marBottom w:val="0"/>
          <w:divBdr>
            <w:top w:val="none" w:sz="0" w:space="0" w:color="auto"/>
            <w:left w:val="none" w:sz="0" w:space="0" w:color="auto"/>
            <w:bottom w:val="none" w:sz="0" w:space="0" w:color="auto"/>
            <w:right w:val="none" w:sz="0" w:space="0" w:color="auto"/>
          </w:divBdr>
        </w:div>
        <w:div w:id="285091336">
          <w:marLeft w:val="0"/>
          <w:marRight w:val="0"/>
          <w:marTop w:val="0"/>
          <w:marBottom w:val="0"/>
          <w:divBdr>
            <w:top w:val="none" w:sz="0" w:space="0" w:color="auto"/>
            <w:left w:val="none" w:sz="0" w:space="0" w:color="auto"/>
            <w:bottom w:val="none" w:sz="0" w:space="0" w:color="auto"/>
            <w:right w:val="none" w:sz="0" w:space="0" w:color="auto"/>
          </w:divBdr>
        </w:div>
      </w:divsChild>
    </w:div>
    <w:div w:id="277178807">
      <w:marLeft w:val="0"/>
      <w:marRight w:val="0"/>
      <w:marTop w:val="0"/>
      <w:marBottom w:val="240"/>
      <w:divBdr>
        <w:top w:val="none" w:sz="0" w:space="0" w:color="auto"/>
        <w:left w:val="none" w:sz="0" w:space="0" w:color="auto"/>
        <w:bottom w:val="none" w:sz="0" w:space="0" w:color="auto"/>
        <w:right w:val="none" w:sz="0" w:space="0" w:color="auto"/>
      </w:divBdr>
    </w:div>
    <w:div w:id="277880483">
      <w:marLeft w:val="0"/>
      <w:marRight w:val="0"/>
      <w:marTop w:val="0"/>
      <w:marBottom w:val="0"/>
      <w:divBdr>
        <w:top w:val="none" w:sz="0" w:space="0" w:color="auto"/>
        <w:left w:val="none" w:sz="0" w:space="0" w:color="auto"/>
        <w:bottom w:val="none" w:sz="0" w:space="0" w:color="auto"/>
        <w:right w:val="none" w:sz="0" w:space="0" w:color="auto"/>
      </w:divBdr>
      <w:divsChild>
        <w:div w:id="825127988">
          <w:marLeft w:val="0"/>
          <w:marRight w:val="0"/>
          <w:marTop w:val="0"/>
          <w:marBottom w:val="0"/>
          <w:divBdr>
            <w:top w:val="none" w:sz="0" w:space="0" w:color="auto"/>
            <w:left w:val="none" w:sz="0" w:space="0" w:color="auto"/>
            <w:bottom w:val="none" w:sz="0" w:space="0" w:color="auto"/>
            <w:right w:val="none" w:sz="0" w:space="0" w:color="auto"/>
          </w:divBdr>
        </w:div>
      </w:divsChild>
    </w:div>
    <w:div w:id="277957118">
      <w:marLeft w:val="0"/>
      <w:marRight w:val="0"/>
      <w:marTop w:val="0"/>
      <w:marBottom w:val="240"/>
      <w:divBdr>
        <w:top w:val="none" w:sz="0" w:space="0" w:color="auto"/>
        <w:left w:val="none" w:sz="0" w:space="0" w:color="auto"/>
        <w:bottom w:val="none" w:sz="0" w:space="0" w:color="auto"/>
        <w:right w:val="none" w:sz="0" w:space="0" w:color="auto"/>
      </w:divBdr>
    </w:div>
    <w:div w:id="278074291">
      <w:marLeft w:val="0"/>
      <w:marRight w:val="0"/>
      <w:marTop w:val="120"/>
      <w:marBottom w:val="120"/>
      <w:divBdr>
        <w:top w:val="none" w:sz="0" w:space="0" w:color="auto"/>
        <w:left w:val="none" w:sz="0" w:space="0" w:color="auto"/>
        <w:bottom w:val="none" w:sz="0" w:space="0" w:color="auto"/>
        <w:right w:val="none" w:sz="0" w:space="0" w:color="auto"/>
      </w:divBdr>
    </w:div>
    <w:div w:id="278493659">
      <w:marLeft w:val="0"/>
      <w:marRight w:val="0"/>
      <w:marTop w:val="0"/>
      <w:marBottom w:val="180"/>
      <w:divBdr>
        <w:top w:val="none" w:sz="0" w:space="0" w:color="auto"/>
        <w:left w:val="none" w:sz="0" w:space="0" w:color="auto"/>
        <w:bottom w:val="none" w:sz="0" w:space="0" w:color="auto"/>
        <w:right w:val="none" w:sz="0" w:space="0" w:color="auto"/>
      </w:divBdr>
    </w:div>
    <w:div w:id="279990400">
      <w:marLeft w:val="0"/>
      <w:marRight w:val="0"/>
      <w:marTop w:val="0"/>
      <w:marBottom w:val="240"/>
      <w:divBdr>
        <w:top w:val="none" w:sz="0" w:space="0" w:color="auto"/>
        <w:left w:val="none" w:sz="0" w:space="0" w:color="auto"/>
        <w:bottom w:val="none" w:sz="0" w:space="0" w:color="auto"/>
        <w:right w:val="none" w:sz="0" w:space="0" w:color="auto"/>
      </w:divBdr>
    </w:div>
    <w:div w:id="280187639">
      <w:marLeft w:val="0"/>
      <w:marRight w:val="0"/>
      <w:marTop w:val="180"/>
      <w:marBottom w:val="180"/>
      <w:divBdr>
        <w:top w:val="none" w:sz="0" w:space="0" w:color="auto"/>
        <w:left w:val="none" w:sz="0" w:space="0" w:color="auto"/>
        <w:bottom w:val="none" w:sz="0" w:space="0" w:color="auto"/>
        <w:right w:val="none" w:sz="0" w:space="0" w:color="auto"/>
      </w:divBdr>
    </w:div>
    <w:div w:id="280845738">
      <w:marLeft w:val="0"/>
      <w:marRight w:val="0"/>
      <w:marTop w:val="0"/>
      <w:marBottom w:val="240"/>
      <w:divBdr>
        <w:top w:val="none" w:sz="0" w:space="0" w:color="auto"/>
        <w:left w:val="none" w:sz="0" w:space="0" w:color="auto"/>
        <w:bottom w:val="none" w:sz="0" w:space="0" w:color="auto"/>
        <w:right w:val="none" w:sz="0" w:space="0" w:color="auto"/>
      </w:divBdr>
    </w:div>
    <w:div w:id="281427966">
      <w:marLeft w:val="0"/>
      <w:marRight w:val="0"/>
      <w:marTop w:val="0"/>
      <w:marBottom w:val="240"/>
      <w:divBdr>
        <w:top w:val="none" w:sz="0" w:space="0" w:color="auto"/>
        <w:left w:val="none" w:sz="0" w:space="0" w:color="auto"/>
        <w:bottom w:val="none" w:sz="0" w:space="0" w:color="auto"/>
        <w:right w:val="none" w:sz="0" w:space="0" w:color="auto"/>
      </w:divBdr>
    </w:div>
    <w:div w:id="281495800">
      <w:marLeft w:val="0"/>
      <w:marRight w:val="0"/>
      <w:marTop w:val="120"/>
      <w:marBottom w:val="120"/>
      <w:divBdr>
        <w:top w:val="none" w:sz="0" w:space="0" w:color="auto"/>
        <w:left w:val="none" w:sz="0" w:space="0" w:color="auto"/>
        <w:bottom w:val="none" w:sz="0" w:space="0" w:color="auto"/>
        <w:right w:val="none" w:sz="0" w:space="0" w:color="auto"/>
      </w:divBdr>
    </w:div>
    <w:div w:id="281880743">
      <w:marLeft w:val="0"/>
      <w:marRight w:val="0"/>
      <w:marTop w:val="0"/>
      <w:marBottom w:val="0"/>
      <w:divBdr>
        <w:top w:val="none" w:sz="0" w:space="0" w:color="auto"/>
        <w:left w:val="none" w:sz="0" w:space="0" w:color="auto"/>
        <w:bottom w:val="none" w:sz="0" w:space="0" w:color="auto"/>
        <w:right w:val="none" w:sz="0" w:space="0" w:color="auto"/>
      </w:divBdr>
      <w:divsChild>
        <w:div w:id="1499270038">
          <w:marLeft w:val="0"/>
          <w:marRight w:val="0"/>
          <w:marTop w:val="0"/>
          <w:marBottom w:val="0"/>
          <w:divBdr>
            <w:top w:val="none" w:sz="0" w:space="0" w:color="auto"/>
            <w:left w:val="none" w:sz="0" w:space="0" w:color="auto"/>
            <w:bottom w:val="none" w:sz="0" w:space="0" w:color="auto"/>
            <w:right w:val="none" w:sz="0" w:space="0" w:color="auto"/>
          </w:divBdr>
        </w:div>
      </w:divsChild>
    </w:div>
    <w:div w:id="284116917">
      <w:marLeft w:val="0"/>
      <w:marRight w:val="0"/>
      <w:marTop w:val="0"/>
      <w:marBottom w:val="180"/>
      <w:divBdr>
        <w:top w:val="none" w:sz="0" w:space="0" w:color="auto"/>
        <w:left w:val="none" w:sz="0" w:space="0" w:color="auto"/>
        <w:bottom w:val="none" w:sz="0" w:space="0" w:color="auto"/>
        <w:right w:val="none" w:sz="0" w:space="0" w:color="auto"/>
      </w:divBdr>
    </w:div>
    <w:div w:id="288634971">
      <w:marLeft w:val="0"/>
      <w:marRight w:val="0"/>
      <w:marTop w:val="0"/>
      <w:marBottom w:val="0"/>
      <w:divBdr>
        <w:top w:val="none" w:sz="0" w:space="0" w:color="auto"/>
        <w:left w:val="none" w:sz="0" w:space="0" w:color="auto"/>
        <w:bottom w:val="none" w:sz="0" w:space="0" w:color="auto"/>
        <w:right w:val="none" w:sz="0" w:space="0" w:color="auto"/>
      </w:divBdr>
    </w:div>
    <w:div w:id="288777462">
      <w:marLeft w:val="0"/>
      <w:marRight w:val="0"/>
      <w:marTop w:val="0"/>
      <w:marBottom w:val="0"/>
      <w:divBdr>
        <w:top w:val="none" w:sz="0" w:space="0" w:color="auto"/>
        <w:left w:val="none" w:sz="0" w:space="0" w:color="auto"/>
        <w:bottom w:val="none" w:sz="0" w:space="0" w:color="auto"/>
        <w:right w:val="none" w:sz="0" w:space="0" w:color="auto"/>
      </w:divBdr>
    </w:div>
    <w:div w:id="289283636">
      <w:marLeft w:val="0"/>
      <w:marRight w:val="0"/>
      <w:marTop w:val="0"/>
      <w:marBottom w:val="0"/>
      <w:divBdr>
        <w:top w:val="none" w:sz="0" w:space="0" w:color="auto"/>
        <w:left w:val="none" w:sz="0" w:space="0" w:color="auto"/>
        <w:bottom w:val="none" w:sz="0" w:space="0" w:color="auto"/>
        <w:right w:val="none" w:sz="0" w:space="0" w:color="auto"/>
      </w:divBdr>
    </w:div>
    <w:div w:id="290213882">
      <w:marLeft w:val="0"/>
      <w:marRight w:val="0"/>
      <w:marTop w:val="0"/>
      <w:marBottom w:val="180"/>
      <w:divBdr>
        <w:top w:val="none" w:sz="0" w:space="0" w:color="auto"/>
        <w:left w:val="none" w:sz="0" w:space="0" w:color="auto"/>
        <w:bottom w:val="none" w:sz="0" w:space="0" w:color="auto"/>
        <w:right w:val="none" w:sz="0" w:space="0" w:color="auto"/>
      </w:divBdr>
    </w:div>
    <w:div w:id="292178962">
      <w:marLeft w:val="0"/>
      <w:marRight w:val="0"/>
      <w:marTop w:val="0"/>
      <w:marBottom w:val="0"/>
      <w:divBdr>
        <w:top w:val="none" w:sz="0" w:space="0" w:color="auto"/>
        <w:left w:val="none" w:sz="0" w:space="0" w:color="auto"/>
        <w:bottom w:val="none" w:sz="0" w:space="0" w:color="auto"/>
        <w:right w:val="none" w:sz="0" w:space="0" w:color="auto"/>
      </w:divBdr>
    </w:div>
    <w:div w:id="296109650">
      <w:marLeft w:val="0"/>
      <w:marRight w:val="0"/>
      <w:marTop w:val="0"/>
      <w:marBottom w:val="0"/>
      <w:divBdr>
        <w:top w:val="none" w:sz="0" w:space="0" w:color="auto"/>
        <w:left w:val="none" w:sz="0" w:space="0" w:color="auto"/>
        <w:bottom w:val="none" w:sz="0" w:space="0" w:color="auto"/>
        <w:right w:val="none" w:sz="0" w:space="0" w:color="auto"/>
      </w:divBdr>
      <w:divsChild>
        <w:div w:id="2012372735">
          <w:marLeft w:val="0"/>
          <w:marRight w:val="0"/>
          <w:marTop w:val="0"/>
          <w:marBottom w:val="0"/>
          <w:divBdr>
            <w:top w:val="none" w:sz="0" w:space="0" w:color="auto"/>
            <w:left w:val="none" w:sz="0" w:space="0" w:color="auto"/>
            <w:bottom w:val="none" w:sz="0" w:space="0" w:color="auto"/>
            <w:right w:val="none" w:sz="0" w:space="0" w:color="auto"/>
          </w:divBdr>
        </w:div>
      </w:divsChild>
    </w:div>
    <w:div w:id="296961693">
      <w:marLeft w:val="0"/>
      <w:marRight w:val="0"/>
      <w:marTop w:val="0"/>
      <w:marBottom w:val="240"/>
      <w:divBdr>
        <w:top w:val="none" w:sz="0" w:space="0" w:color="auto"/>
        <w:left w:val="none" w:sz="0" w:space="0" w:color="auto"/>
        <w:bottom w:val="none" w:sz="0" w:space="0" w:color="auto"/>
        <w:right w:val="none" w:sz="0" w:space="0" w:color="auto"/>
      </w:divBdr>
    </w:div>
    <w:div w:id="297150789">
      <w:marLeft w:val="0"/>
      <w:marRight w:val="0"/>
      <w:marTop w:val="0"/>
      <w:marBottom w:val="0"/>
      <w:divBdr>
        <w:top w:val="none" w:sz="0" w:space="0" w:color="auto"/>
        <w:left w:val="none" w:sz="0" w:space="0" w:color="auto"/>
        <w:bottom w:val="none" w:sz="0" w:space="0" w:color="auto"/>
        <w:right w:val="none" w:sz="0" w:space="0" w:color="auto"/>
      </w:divBdr>
      <w:divsChild>
        <w:div w:id="59059817">
          <w:marLeft w:val="0"/>
          <w:marRight w:val="0"/>
          <w:marTop w:val="0"/>
          <w:marBottom w:val="0"/>
          <w:divBdr>
            <w:top w:val="none" w:sz="0" w:space="0" w:color="auto"/>
            <w:left w:val="none" w:sz="0" w:space="0" w:color="auto"/>
            <w:bottom w:val="none" w:sz="0" w:space="0" w:color="auto"/>
            <w:right w:val="none" w:sz="0" w:space="0" w:color="auto"/>
          </w:divBdr>
        </w:div>
      </w:divsChild>
    </w:div>
    <w:div w:id="298849658">
      <w:marLeft w:val="0"/>
      <w:marRight w:val="0"/>
      <w:marTop w:val="0"/>
      <w:marBottom w:val="0"/>
      <w:divBdr>
        <w:top w:val="none" w:sz="0" w:space="0" w:color="auto"/>
        <w:left w:val="none" w:sz="0" w:space="0" w:color="auto"/>
        <w:bottom w:val="none" w:sz="0" w:space="0" w:color="auto"/>
        <w:right w:val="none" w:sz="0" w:space="0" w:color="auto"/>
      </w:divBdr>
    </w:div>
    <w:div w:id="301272911">
      <w:marLeft w:val="0"/>
      <w:marRight w:val="0"/>
      <w:marTop w:val="0"/>
      <w:marBottom w:val="180"/>
      <w:divBdr>
        <w:top w:val="none" w:sz="0" w:space="0" w:color="auto"/>
        <w:left w:val="none" w:sz="0" w:space="0" w:color="auto"/>
        <w:bottom w:val="none" w:sz="0" w:space="0" w:color="auto"/>
        <w:right w:val="none" w:sz="0" w:space="0" w:color="auto"/>
      </w:divBdr>
    </w:div>
    <w:div w:id="302585660">
      <w:marLeft w:val="0"/>
      <w:marRight w:val="0"/>
      <w:marTop w:val="180"/>
      <w:marBottom w:val="180"/>
      <w:divBdr>
        <w:top w:val="none" w:sz="0" w:space="0" w:color="auto"/>
        <w:left w:val="none" w:sz="0" w:space="0" w:color="auto"/>
        <w:bottom w:val="none" w:sz="0" w:space="0" w:color="auto"/>
        <w:right w:val="none" w:sz="0" w:space="0" w:color="auto"/>
      </w:divBdr>
    </w:div>
    <w:div w:id="302587314">
      <w:marLeft w:val="0"/>
      <w:marRight w:val="0"/>
      <w:marTop w:val="0"/>
      <w:marBottom w:val="0"/>
      <w:divBdr>
        <w:top w:val="none" w:sz="0" w:space="0" w:color="auto"/>
        <w:left w:val="none" w:sz="0" w:space="0" w:color="auto"/>
        <w:bottom w:val="none" w:sz="0" w:space="0" w:color="auto"/>
        <w:right w:val="none" w:sz="0" w:space="0" w:color="auto"/>
      </w:divBdr>
      <w:divsChild>
        <w:div w:id="862328871">
          <w:marLeft w:val="0"/>
          <w:marRight w:val="0"/>
          <w:marTop w:val="0"/>
          <w:marBottom w:val="0"/>
          <w:divBdr>
            <w:top w:val="none" w:sz="0" w:space="0" w:color="auto"/>
            <w:left w:val="none" w:sz="0" w:space="0" w:color="auto"/>
            <w:bottom w:val="none" w:sz="0" w:space="0" w:color="auto"/>
            <w:right w:val="none" w:sz="0" w:space="0" w:color="auto"/>
          </w:divBdr>
        </w:div>
      </w:divsChild>
    </w:div>
    <w:div w:id="303390245">
      <w:marLeft w:val="0"/>
      <w:marRight w:val="0"/>
      <w:marTop w:val="0"/>
      <w:marBottom w:val="0"/>
      <w:divBdr>
        <w:top w:val="none" w:sz="0" w:space="0" w:color="auto"/>
        <w:left w:val="none" w:sz="0" w:space="0" w:color="auto"/>
        <w:bottom w:val="none" w:sz="0" w:space="0" w:color="auto"/>
        <w:right w:val="none" w:sz="0" w:space="0" w:color="auto"/>
      </w:divBdr>
    </w:div>
    <w:div w:id="304042186">
      <w:marLeft w:val="0"/>
      <w:marRight w:val="0"/>
      <w:marTop w:val="0"/>
      <w:marBottom w:val="60"/>
      <w:divBdr>
        <w:top w:val="none" w:sz="0" w:space="0" w:color="auto"/>
        <w:left w:val="none" w:sz="0" w:space="0" w:color="auto"/>
        <w:bottom w:val="none" w:sz="0" w:space="0" w:color="auto"/>
        <w:right w:val="none" w:sz="0" w:space="0" w:color="auto"/>
      </w:divBdr>
    </w:div>
    <w:div w:id="304429048">
      <w:marLeft w:val="0"/>
      <w:marRight w:val="0"/>
      <w:marTop w:val="0"/>
      <w:marBottom w:val="180"/>
      <w:divBdr>
        <w:top w:val="none" w:sz="0" w:space="0" w:color="auto"/>
        <w:left w:val="none" w:sz="0" w:space="0" w:color="auto"/>
        <w:bottom w:val="none" w:sz="0" w:space="0" w:color="auto"/>
        <w:right w:val="none" w:sz="0" w:space="0" w:color="auto"/>
      </w:divBdr>
    </w:div>
    <w:div w:id="304626257">
      <w:marLeft w:val="0"/>
      <w:marRight w:val="0"/>
      <w:marTop w:val="0"/>
      <w:marBottom w:val="180"/>
      <w:divBdr>
        <w:top w:val="none" w:sz="0" w:space="0" w:color="auto"/>
        <w:left w:val="none" w:sz="0" w:space="0" w:color="auto"/>
        <w:bottom w:val="none" w:sz="0" w:space="0" w:color="auto"/>
        <w:right w:val="none" w:sz="0" w:space="0" w:color="auto"/>
      </w:divBdr>
    </w:div>
    <w:div w:id="306514449">
      <w:marLeft w:val="0"/>
      <w:marRight w:val="0"/>
      <w:marTop w:val="0"/>
      <w:marBottom w:val="240"/>
      <w:divBdr>
        <w:top w:val="none" w:sz="0" w:space="0" w:color="auto"/>
        <w:left w:val="none" w:sz="0" w:space="0" w:color="auto"/>
        <w:bottom w:val="none" w:sz="0" w:space="0" w:color="auto"/>
        <w:right w:val="none" w:sz="0" w:space="0" w:color="auto"/>
      </w:divBdr>
    </w:div>
    <w:div w:id="307788572">
      <w:marLeft w:val="0"/>
      <w:marRight w:val="0"/>
      <w:marTop w:val="0"/>
      <w:marBottom w:val="0"/>
      <w:divBdr>
        <w:top w:val="none" w:sz="0" w:space="0" w:color="auto"/>
        <w:left w:val="none" w:sz="0" w:space="0" w:color="auto"/>
        <w:bottom w:val="none" w:sz="0" w:space="0" w:color="auto"/>
        <w:right w:val="none" w:sz="0" w:space="0" w:color="auto"/>
      </w:divBdr>
      <w:divsChild>
        <w:div w:id="55903026">
          <w:marLeft w:val="0"/>
          <w:marRight w:val="0"/>
          <w:marTop w:val="0"/>
          <w:marBottom w:val="0"/>
          <w:divBdr>
            <w:top w:val="none" w:sz="0" w:space="0" w:color="auto"/>
            <w:left w:val="none" w:sz="0" w:space="0" w:color="auto"/>
            <w:bottom w:val="none" w:sz="0" w:space="0" w:color="auto"/>
            <w:right w:val="none" w:sz="0" w:space="0" w:color="auto"/>
          </w:divBdr>
        </w:div>
      </w:divsChild>
    </w:div>
    <w:div w:id="310641992">
      <w:marLeft w:val="0"/>
      <w:marRight w:val="0"/>
      <w:marTop w:val="0"/>
      <w:marBottom w:val="180"/>
      <w:divBdr>
        <w:top w:val="none" w:sz="0" w:space="0" w:color="auto"/>
        <w:left w:val="none" w:sz="0" w:space="0" w:color="auto"/>
        <w:bottom w:val="none" w:sz="0" w:space="0" w:color="auto"/>
        <w:right w:val="none" w:sz="0" w:space="0" w:color="auto"/>
      </w:divBdr>
    </w:div>
    <w:div w:id="310715998">
      <w:marLeft w:val="0"/>
      <w:marRight w:val="0"/>
      <w:marTop w:val="0"/>
      <w:marBottom w:val="0"/>
      <w:divBdr>
        <w:top w:val="none" w:sz="0" w:space="0" w:color="auto"/>
        <w:left w:val="none" w:sz="0" w:space="0" w:color="auto"/>
        <w:bottom w:val="none" w:sz="0" w:space="0" w:color="auto"/>
        <w:right w:val="none" w:sz="0" w:space="0" w:color="auto"/>
      </w:divBdr>
      <w:divsChild>
        <w:div w:id="1750886811">
          <w:marLeft w:val="0"/>
          <w:marRight w:val="0"/>
          <w:marTop w:val="0"/>
          <w:marBottom w:val="0"/>
          <w:divBdr>
            <w:top w:val="none" w:sz="0" w:space="0" w:color="auto"/>
            <w:left w:val="none" w:sz="0" w:space="0" w:color="auto"/>
            <w:bottom w:val="none" w:sz="0" w:space="0" w:color="auto"/>
            <w:right w:val="none" w:sz="0" w:space="0" w:color="auto"/>
          </w:divBdr>
        </w:div>
        <w:div w:id="392001611">
          <w:marLeft w:val="0"/>
          <w:marRight w:val="0"/>
          <w:marTop w:val="0"/>
          <w:marBottom w:val="0"/>
          <w:divBdr>
            <w:top w:val="none" w:sz="0" w:space="0" w:color="auto"/>
            <w:left w:val="none" w:sz="0" w:space="0" w:color="auto"/>
            <w:bottom w:val="none" w:sz="0" w:space="0" w:color="auto"/>
            <w:right w:val="none" w:sz="0" w:space="0" w:color="auto"/>
          </w:divBdr>
        </w:div>
      </w:divsChild>
    </w:div>
    <w:div w:id="312562792">
      <w:marLeft w:val="0"/>
      <w:marRight w:val="0"/>
      <w:marTop w:val="0"/>
      <w:marBottom w:val="0"/>
      <w:divBdr>
        <w:top w:val="none" w:sz="0" w:space="0" w:color="auto"/>
        <w:left w:val="none" w:sz="0" w:space="0" w:color="auto"/>
        <w:bottom w:val="none" w:sz="0" w:space="0" w:color="auto"/>
        <w:right w:val="none" w:sz="0" w:space="0" w:color="auto"/>
      </w:divBdr>
      <w:divsChild>
        <w:div w:id="294793490">
          <w:marLeft w:val="0"/>
          <w:marRight w:val="0"/>
          <w:marTop w:val="0"/>
          <w:marBottom w:val="0"/>
          <w:divBdr>
            <w:top w:val="none" w:sz="0" w:space="0" w:color="auto"/>
            <w:left w:val="none" w:sz="0" w:space="0" w:color="auto"/>
            <w:bottom w:val="none" w:sz="0" w:space="0" w:color="auto"/>
            <w:right w:val="none" w:sz="0" w:space="0" w:color="auto"/>
          </w:divBdr>
        </w:div>
      </w:divsChild>
    </w:div>
    <w:div w:id="313339721">
      <w:marLeft w:val="0"/>
      <w:marRight w:val="0"/>
      <w:marTop w:val="0"/>
      <w:marBottom w:val="0"/>
      <w:divBdr>
        <w:top w:val="none" w:sz="0" w:space="0" w:color="auto"/>
        <w:left w:val="none" w:sz="0" w:space="0" w:color="auto"/>
        <w:bottom w:val="none" w:sz="0" w:space="0" w:color="auto"/>
        <w:right w:val="none" w:sz="0" w:space="0" w:color="auto"/>
      </w:divBdr>
    </w:div>
    <w:div w:id="313460352">
      <w:marLeft w:val="0"/>
      <w:marRight w:val="0"/>
      <w:marTop w:val="0"/>
      <w:marBottom w:val="240"/>
      <w:divBdr>
        <w:top w:val="none" w:sz="0" w:space="0" w:color="auto"/>
        <w:left w:val="none" w:sz="0" w:space="0" w:color="auto"/>
        <w:bottom w:val="none" w:sz="0" w:space="0" w:color="auto"/>
        <w:right w:val="none" w:sz="0" w:space="0" w:color="auto"/>
      </w:divBdr>
    </w:div>
    <w:div w:id="316031222">
      <w:marLeft w:val="0"/>
      <w:marRight w:val="0"/>
      <w:marTop w:val="240"/>
      <w:marBottom w:val="240"/>
      <w:divBdr>
        <w:top w:val="none" w:sz="0" w:space="0" w:color="auto"/>
        <w:left w:val="none" w:sz="0" w:space="0" w:color="auto"/>
        <w:bottom w:val="none" w:sz="0" w:space="0" w:color="auto"/>
        <w:right w:val="none" w:sz="0" w:space="0" w:color="auto"/>
      </w:divBdr>
    </w:div>
    <w:div w:id="317609892">
      <w:marLeft w:val="0"/>
      <w:marRight w:val="0"/>
      <w:marTop w:val="240"/>
      <w:marBottom w:val="180"/>
      <w:divBdr>
        <w:top w:val="none" w:sz="0" w:space="0" w:color="auto"/>
        <w:left w:val="none" w:sz="0" w:space="0" w:color="auto"/>
        <w:bottom w:val="none" w:sz="0" w:space="0" w:color="auto"/>
        <w:right w:val="none" w:sz="0" w:space="0" w:color="auto"/>
      </w:divBdr>
    </w:div>
    <w:div w:id="318312315">
      <w:marLeft w:val="0"/>
      <w:marRight w:val="0"/>
      <w:marTop w:val="0"/>
      <w:marBottom w:val="180"/>
      <w:divBdr>
        <w:top w:val="none" w:sz="0" w:space="0" w:color="auto"/>
        <w:left w:val="none" w:sz="0" w:space="0" w:color="auto"/>
        <w:bottom w:val="none" w:sz="0" w:space="0" w:color="auto"/>
        <w:right w:val="none" w:sz="0" w:space="0" w:color="auto"/>
      </w:divBdr>
    </w:div>
    <w:div w:id="318505833">
      <w:marLeft w:val="0"/>
      <w:marRight w:val="0"/>
      <w:marTop w:val="0"/>
      <w:marBottom w:val="60"/>
      <w:divBdr>
        <w:top w:val="none" w:sz="0" w:space="0" w:color="auto"/>
        <w:left w:val="none" w:sz="0" w:space="0" w:color="auto"/>
        <w:bottom w:val="none" w:sz="0" w:space="0" w:color="auto"/>
        <w:right w:val="none" w:sz="0" w:space="0" w:color="auto"/>
      </w:divBdr>
    </w:div>
    <w:div w:id="322007784">
      <w:marLeft w:val="0"/>
      <w:marRight w:val="0"/>
      <w:marTop w:val="120"/>
      <w:marBottom w:val="120"/>
      <w:divBdr>
        <w:top w:val="none" w:sz="0" w:space="0" w:color="auto"/>
        <w:left w:val="none" w:sz="0" w:space="0" w:color="auto"/>
        <w:bottom w:val="none" w:sz="0" w:space="0" w:color="auto"/>
        <w:right w:val="none" w:sz="0" w:space="0" w:color="auto"/>
      </w:divBdr>
    </w:div>
    <w:div w:id="322860504">
      <w:marLeft w:val="0"/>
      <w:marRight w:val="0"/>
      <w:marTop w:val="0"/>
      <w:marBottom w:val="0"/>
      <w:divBdr>
        <w:top w:val="none" w:sz="0" w:space="0" w:color="auto"/>
        <w:left w:val="none" w:sz="0" w:space="0" w:color="auto"/>
        <w:bottom w:val="none" w:sz="0" w:space="0" w:color="auto"/>
        <w:right w:val="none" w:sz="0" w:space="0" w:color="auto"/>
      </w:divBdr>
      <w:divsChild>
        <w:div w:id="1636135010">
          <w:marLeft w:val="0"/>
          <w:marRight w:val="0"/>
          <w:marTop w:val="0"/>
          <w:marBottom w:val="0"/>
          <w:divBdr>
            <w:top w:val="none" w:sz="0" w:space="0" w:color="auto"/>
            <w:left w:val="none" w:sz="0" w:space="0" w:color="auto"/>
            <w:bottom w:val="none" w:sz="0" w:space="0" w:color="auto"/>
            <w:right w:val="none" w:sz="0" w:space="0" w:color="auto"/>
          </w:divBdr>
        </w:div>
      </w:divsChild>
    </w:div>
    <w:div w:id="323289280">
      <w:marLeft w:val="0"/>
      <w:marRight w:val="0"/>
      <w:marTop w:val="0"/>
      <w:marBottom w:val="0"/>
      <w:divBdr>
        <w:top w:val="none" w:sz="0" w:space="0" w:color="auto"/>
        <w:left w:val="none" w:sz="0" w:space="0" w:color="auto"/>
        <w:bottom w:val="none" w:sz="0" w:space="0" w:color="auto"/>
        <w:right w:val="none" w:sz="0" w:space="0" w:color="auto"/>
      </w:divBdr>
      <w:divsChild>
        <w:div w:id="153841175">
          <w:marLeft w:val="0"/>
          <w:marRight w:val="0"/>
          <w:marTop w:val="0"/>
          <w:marBottom w:val="0"/>
          <w:divBdr>
            <w:top w:val="none" w:sz="0" w:space="0" w:color="auto"/>
            <w:left w:val="none" w:sz="0" w:space="0" w:color="auto"/>
            <w:bottom w:val="none" w:sz="0" w:space="0" w:color="auto"/>
            <w:right w:val="none" w:sz="0" w:space="0" w:color="auto"/>
          </w:divBdr>
        </w:div>
      </w:divsChild>
    </w:div>
    <w:div w:id="324747382">
      <w:marLeft w:val="0"/>
      <w:marRight w:val="0"/>
      <w:marTop w:val="100"/>
      <w:marBottom w:val="0"/>
      <w:divBdr>
        <w:top w:val="none" w:sz="0" w:space="0" w:color="auto"/>
        <w:left w:val="none" w:sz="0" w:space="0" w:color="auto"/>
        <w:bottom w:val="none" w:sz="0" w:space="0" w:color="auto"/>
        <w:right w:val="none" w:sz="0" w:space="0" w:color="auto"/>
      </w:divBdr>
    </w:div>
    <w:div w:id="326173920">
      <w:marLeft w:val="0"/>
      <w:marRight w:val="0"/>
      <w:marTop w:val="0"/>
      <w:marBottom w:val="0"/>
      <w:divBdr>
        <w:top w:val="none" w:sz="0" w:space="0" w:color="auto"/>
        <w:left w:val="none" w:sz="0" w:space="0" w:color="auto"/>
        <w:bottom w:val="none" w:sz="0" w:space="0" w:color="auto"/>
        <w:right w:val="none" w:sz="0" w:space="0" w:color="auto"/>
      </w:divBdr>
      <w:divsChild>
        <w:div w:id="1492715658">
          <w:marLeft w:val="0"/>
          <w:marRight w:val="0"/>
          <w:marTop w:val="0"/>
          <w:marBottom w:val="0"/>
          <w:divBdr>
            <w:top w:val="none" w:sz="0" w:space="0" w:color="auto"/>
            <w:left w:val="none" w:sz="0" w:space="0" w:color="auto"/>
            <w:bottom w:val="none" w:sz="0" w:space="0" w:color="auto"/>
            <w:right w:val="none" w:sz="0" w:space="0" w:color="auto"/>
          </w:divBdr>
        </w:div>
      </w:divsChild>
    </w:div>
    <w:div w:id="326400934">
      <w:marLeft w:val="0"/>
      <w:marRight w:val="0"/>
      <w:marTop w:val="120"/>
      <w:marBottom w:val="120"/>
      <w:divBdr>
        <w:top w:val="none" w:sz="0" w:space="0" w:color="auto"/>
        <w:left w:val="none" w:sz="0" w:space="0" w:color="auto"/>
        <w:bottom w:val="none" w:sz="0" w:space="0" w:color="auto"/>
        <w:right w:val="none" w:sz="0" w:space="0" w:color="auto"/>
      </w:divBdr>
    </w:div>
    <w:div w:id="328414124">
      <w:marLeft w:val="0"/>
      <w:marRight w:val="0"/>
      <w:marTop w:val="180"/>
      <w:marBottom w:val="180"/>
      <w:divBdr>
        <w:top w:val="none" w:sz="0" w:space="0" w:color="auto"/>
        <w:left w:val="none" w:sz="0" w:space="0" w:color="auto"/>
        <w:bottom w:val="none" w:sz="0" w:space="0" w:color="auto"/>
        <w:right w:val="none" w:sz="0" w:space="0" w:color="auto"/>
      </w:divBdr>
    </w:div>
    <w:div w:id="330912972">
      <w:marLeft w:val="0"/>
      <w:marRight w:val="0"/>
      <w:marTop w:val="0"/>
      <w:marBottom w:val="240"/>
      <w:divBdr>
        <w:top w:val="none" w:sz="0" w:space="0" w:color="auto"/>
        <w:left w:val="none" w:sz="0" w:space="0" w:color="auto"/>
        <w:bottom w:val="none" w:sz="0" w:space="0" w:color="auto"/>
        <w:right w:val="none" w:sz="0" w:space="0" w:color="auto"/>
      </w:divBdr>
    </w:div>
    <w:div w:id="332340134">
      <w:marLeft w:val="0"/>
      <w:marRight w:val="0"/>
      <w:marTop w:val="120"/>
      <w:marBottom w:val="120"/>
      <w:divBdr>
        <w:top w:val="none" w:sz="0" w:space="0" w:color="auto"/>
        <w:left w:val="none" w:sz="0" w:space="0" w:color="auto"/>
        <w:bottom w:val="none" w:sz="0" w:space="0" w:color="auto"/>
        <w:right w:val="none" w:sz="0" w:space="0" w:color="auto"/>
      </w:divBdr>
    </w:div>
    <w:div w:id="333805708">
      <w:marLeft w:val="0"/>
      <w:marRight w:val="0"/>
      <w:marTop w:val="180"/>
      <w:marBottom w:val="180"/>
      <w:divBdr>
        <w:top w:val="none" w:sz="0" w:space="0" w:color="auto"/>
        <w:left w:val="none" w:sz="0" w:space="0" w:color="auto"/>
        <w:bottom w:val="none" w:sz="0" w:space="0" w:color="auto"/>
        <w:right w:val="none" w:sz="0" w:space="0" w:color="auto"/>
      </w:divBdr>
    </w:div>
    <w:div w:id="333916779">
      <w:marLeft w:val="0"/>
      <w:marRight w:val="0"/>
      <w:marTop w:val="260"/>
      <w:marBottom w:val="240"/>
      <w:divBdr>
        <w:top w:val="none" w:sz="0" w:space="0" w:color="auto"/>
        <w:left w:val="none" w:sz="0" w:space="0" w:color="auto"/>
        <w:bottom w:val="none" w:sz="0" w:space="0" w:color="auto"/>
        <w:right w:val="none" w:sz="0" w:space="0" w:color="auto"/>
      </w:divBdr>
    </w:div>
    <w:div w:id="336736733">
      <w:marLeft w:val="0"/>
      <w:marRight w:val="0"/>
      <w:marTop w:val="0"/>
      <w:marBottom w:val="240"/>
      <w:divBdr>
        <w:top w:val="none" w:sz="0" w:space="0" w:color="auto"/>
        <w:left w:val="none" w:sz="0" w:space="0" w:color="auto"/>
        <w:bottom w:val="none" w:sz="0" w:space="0" w:color="auto"/>
        <w:right w:val="none" w:sz="0" w:space="0" w:color="auto"/>
      </w:divBdr>
    </w:div>
    <w:div w:id="339234008">
      <w:marLeft w:val="0"/>
      <w:marRight w:val="0"/>
      <w:marTop w:val="0"/>
      <w:marBottom w:val="240"/>
      <w:divBdr>
        <w:top w:val="none" w:sz="0" w:space="0" w:color="auto"/>
        <w:left w:val="none" w:sz="0" w:space="0" w:color="auto"/>
        <w:bottom w:val="none" w:sz="0" w:space="0" w:color="auto"/>
        <w:right w:val="none" w:sz="0" w:space="0" w:color="auto"/>
      </w:divBdr>
    </w:div>
    <w:div w:id="339507710">
      <w:marLeft w:val="0"/>
      <w:marRight w:val="0"/>
      <w:marTop w:val="120"/>
      <w:marBottom w:val="120"/>
      <w:divBdr>
        <w:top w:val="none" w:sz="0" w:space="0" w:color="auto"/>
        <w:left w:val="none" w:sz="0" w:space="0" w:color="auto"/>
        <w:bottom w:val="none" w:sz="0" w:space="0" w:color="auto"/>
        <w:right w:val="none" w:sz="0" w:space="0" w:color="auto"/>
      </w:divBdr>
    </w:div>
    <w:div w:id="344598102">
      <w:marLeft w:val="0"/>
      <w:marRight w:val="0"/>
      <w:marTop w:val="0"/>
      <w:marBottom w:val="180"/>
      <w:divBdr>
        <w:top w:val="none" w:sz="0" w:space="0" w:color="auto"/>
        <w:left w:val="none" w:sz="0" w:space="0" w:color="auto"/>
        <w:bottom w:val="none" w:sz="0" w:space="0" w:color="auto"/>
        <w:right w:val="none" w:sz="0" w:space="0" w:color="auto"/>
      </w:divBdr>
    </w:div>
    <w:div w:id="345178400">
      <w:marLeft w:val="0"/>
      <w:marRight w:val="0"/>
      <w:marTop w:val="100"/>
      <w:marBottom w:val="100"/>
      <w:divBdr>
        <w:top w:val="none" w:sz="0" w:space="0" w:color="auto"/>
        <w:left w:val="none" w:sz="0" w:space="0" w:color="auto"/>
        <w:bottom w:val="none" w:sz="0" w:space="0" w:color="auto"/>
        <w:right w:val="none" w:sz="0" w:space="0" w:color="auto"/>
      </w:divBdr>
    </w:div>
    <w:div w:id="345445232">
      <w:marLeft w:val="0"/>
      <w:marRight w:val="0"/>
      <w:marTop w:val="0"/>
      <w:marBottom w:val="240"/>
      <w:divBdr>
        <w:top w:val="none" w:sz="0" w:space="0" w:color="auto"/>
        <w:left w:val="none" w:sz="0" w:space="0" w:color="auto"/>
        <w:bottom w:val="none" w:sz="0" w:space="0" w:color="auto"/>
        <w:right w:val="none" w:sz="0" w:space="0" w:color="auto"/>
      </w:divBdr>
    </w:div>
    <w:div w:id="345788015">
      <w:marLeft w:val="0"/>
      <w:marRight w:val="0"/>
      <w:marTop w:val="100"/>
      <w:marBottom w:val="220"/>
      <w:divBdr>
        <w:top w:val="none" w:sz="0" w:space="0" w:color="auto"/>
        <w:left w:val="none" w:sz="0" w:space="0" w:color="auto"/>
        <w:bottom w:val="none" w:sz="0" w:space="0" w:color="auto"/>
        <w:right w:val="none" w:sz="0" w:space="0" w:color="auto"/>
      </w:divBdr>
      <w:divsChild>
        <w:div w:id="103237667">
          <w:marLeft w:val="0"/>
          <w:marRight w:val="0"/>
          <w:marTop w:val="0"/>
          <w:marBottom w:val="0"/>
          <w:divBdr>
            <w:top w:val="none" w:sz="0" w:space="0" w:color="auto"/>
            <w:left w:val="none" w:sz="0" w:space="0" w:color="auto"/>
            <w:bottom w:val="none" w:sz="0" w:space="0" w:color="auto"/>
            <w:right w:val="none" w:sz="0" w:space="0" w:color="auto"/>
          </w:divBdr>
        </w:div>
        <w:div w:id="8921338">
          <w:marLeft w:val="0"/>
          <w:marRight w:val="0"/>
          <w:marTop w:val="0"/>
          <w:marBottom w:val="0"/>
          <w:divBdr>
            <w:top w:val="none" w:sz="0" w:space="0" w:color="auto"/>
            <w:left w:val="none" w:sz="0" w:space="0" w:color="auto"/>
            <w:bottom w:val="none" w:sz="0" w:space="0" w:color="auto"/>
            <w:right w:val="none" w:sz="0" w:space="0" w:color="auto"/>
          </w:divBdr>
        </w:div>
        <w:div w:id="762260908">
          <w:marLeft w:val="0"/>
          <w:marRight w:val="0"/>
          <w:marTop w:val="0"/>
          <w:marBottom w:val="0"/>
          <w:divBdr>
            <w:top w:val="none" w:sz="0" w:space="0" w:color="auto"/>
            <w:left w:val="none" w:sz="0" w:space="0" w:color="auto"/>
            <w:bottom w:val="none" w:sz="0" w:space="0" w:color="auto"/>
            <w:right w:val="none" w:sz="0" w:space="0" w:color="auto"/>
          </w:divBdr>
        </w:div>
      </w:divsChild>
    </w:div>
    <w:div w:id="345836366">
      <w:marLeft w:val="0"/>
      <w:marRight w:val="0"/>
      <w:marTop w:val="0"/>
      <w:marBottom w:val="180"/>
      <w:divBdr>
        <w:top w:val="none" w:sz="0" w:space="0" w:color="auto"/>
        <w:left w:val="none" w:sz="0" w:space="0" w:color="auto"/>
        <w:bottom w:val="none" w:sz="0" w:space="0" w:color="auto"/>
        <w:right w:val="none" w:sz="0" w:space="0" w:color="auto"/>
      </w:divBdr>
    </w:div>
    <w:div w:id="349916210">
      <w:marLeft w:val="0"/>
      <w:marRight w:val="0"/>
      <w:marTop w:val="0"/>
      <w:marBottom w:val="0"/>
      <w:divBdr>
        <w:top w:val="none" w:sz="0" w:space="0" w:color="auto"/>
        <w:left w:val="none" w:sz="0" w:space="0" w:color="auto"/>
        <w:bottom w:val="none" w:sz="0" w:space="0" w:color="auto"/>
        <w:right w:val="none" w:sz="0" w:space="0" w:color="auto"/>
      </w:divBdr>
      <w:divsChild>
        <w:div w:id="1490974245">
          <w:marLeft w:val="0"/>
          <w:marRight w:val="0"/>
          <w:marTop w:val="0"/>
          <w:marBottom w:val="0"/>
          <w:divBdr>
            <w:top w:val="none" w:sz="0" w:space="0" w:color="auto"/>
            <w:left w:val="none" w:sz="0" w:space="0" w:color="auto"/>
            <w:bottom w:val="none" w:sz="0" w:space="0" w:color="auto"/>
            <w:right w:val="none" w:sz="0" w:space="0" w:color="auto"/>
          </w:divBdr>
        </w:div>
      </w:divsChild>
    </w:div>
    <w:div w:id="350692076">
      <w:marLeft w:val="0"/>
      <w:marRight w:val="0"/>
      <w:marTop w:val="0"/>
      <w:marBottom w:val="0"/>
      <w:divBdr>
        <w:top w:val="none" w:sz="0" w:space="0" w:color="auto"/>
        <w:left w:val="none" w:sz="0" w:space="0" w:color="auto"/>
        <w:bottom w:val="none" w:sz="0" w:space="0" w:color="auto"/>
        <w:right w:val="none" w:sz="0" w:space="0" w:color="auto"/>
      </w:divBdr>
      <w:divsChild>
        <w:div w:id="1624849359">
          <w:marLeft w:val="0"/>
          <w:marRight w:val="0"/>
          <w:marTop w:val="0"/>
          <w:marBottom w:val="0"/>
          <w:divBdr>
            <w:top w:val="none" w:sz="0" w:space="0" w:color="auto"/>
            <w:left w:val="none" w:sz="0" w:space="0" w:color="auto"/>
            <w:bottom w:val="none" w:sz="0" w:space="0" w:color="auto"/>
            <w:right w:val="none" w:sz="0" w:space="0" w:color="auto"/>
          </w:divBdr>
          <w:divsChild>
            <w:div w:id="15294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441">
      <w:marLeft w:val="0"/>
      <w:marRight w:val="0"/>
      <w:marTop w:val="0"/>
      <w:marBottom w:val="240"/>
      <w:divBdr>
        <w:top w:val="none" w:sz="0" w:space="0" w:color="auto"/>
        <w:left w:val="none" w:sz="0" w:space="0" w:color="auto"/>
        <w:bottom w:val="none" w:sz="0" w:space="0" w:color="auto"/>
        <w:right w:val="none" w:sz="0" w:space="0" w:color="auto"/>
      </w:divBdr>
    </w:div>
    <w:div w:id="353307784">
      <w:marLeft w:val="0"/>
      <w:marRight w:val="0"/>
      <w:marTop w:val="0"/>
      <w:marBottom w:val="0"/>
      <w:divBdr>
        <w:top w:val="none" w:sz="0" w:space="0" w:color="auto"/>
        <w:left w:val="none" w:sz="0" w:space="0" w:color="auto"/>
        <w:bottom w:val="none" w:sz="0" w:space="0" w:color="auto"/>
        <w:right w:val="none" w:sz="0" w:space="0" w:color="auto"/>
      </w:divBdr>
    </w:div>
    <w:div w:id="354042456">
      <w:marLeft w:val="0"/>
      <w:marRight w:val="0"/>
      <w:marTop w:val="0"/>
      <w:marBottom w:val="0"/>
      <w:divBdr>
        <w:top w:val="none" w:sz="0" w:space="0" w:color="auto"/>
        <w:left w:val="none" w:sz="0" w:space="0" w:color="auto"/>
        <w:bottom w:val="none" w:sz="0" w:space="0" w:color="auto"/>
        <w:right w:val="none" w:sz="0" w:space="0" w:color="auto"/>
      </w:divBdr>
      <w:divsChild>
        <w:div w:id="472063689">
          <w:marLeft w:val="0"/>
          <w:marRight w:val="0"/>
          <w:marTop w:val="0"/>
          <w:marBottom w:val="0"/>
          <w:divBdr>
            <w:top w:val="none" w:sz="0" w:space="0" w:color="auto"/>
            <w:left w:val="none" w:sz="0" w:space="0" w:color="auto"/>
            <w:bottom w:val="none" w:sz="0" w:space="0" w:color="auto"/>
            <w:right w:val="none" w:sz="0" w:space="0" w:color="auto"/>
          </w:divBdr>
        </w:div>
      </w:divsChild>
    </w:div>
    <w:div w:id="354623686">
      <w:marLeft w:val="0"/>
      <w:marRight w:val="0"/>
      <w:marTop w:val="120"/>
      <w:marBottom w:val="180"/>
      <w:divBdr>
        <w:top w:val="none" w:sz="0" w:space="0" w:color="auto"/>
        <w:left w:val="none" w:sz="0" w:space="0" w:color="auto"/>
        <w:bottom w:val="none" w:sz="0" w:space="0" w:color="auto"/>
        <w:right w:val="none" w:sz="0" w:space="0" w:color="auto"/>
      </w:divBdr>
    </w:div>
    <w:div w:id="356933760">
      <w:marLeft w:val="0"/>
      <w:marRight w:val="0"/>
      <w:marTop w:val="0"/>
      <w:marBottom w:val="0"/>
      <w:divBdr>
        <w:top w:val="none" w:sz="0" w:space="0" w:color="auto"/>
        <w:left w:val="none" w:sz="0" w:space="0" w:color="auto"/>
        <w:bottom w:val="none" w:sz="0" w:space="0" w:color="auto"/>
        <w:right w:val="none" w:sz="0" w:space="0" w:color="auto"/>
      </w:divBdr>
    </w:div>
    <w:div w:id="361516073">
      <w:marLeft w:val="0"/>
      <w:marRight w:val="0"/>
      <w:marTop w:val="0"/>
      <w:marBottom w:val="180"/>
      <w:divBdr>
        <w:top w:val="none" w:sz="0" w:space="0" w:color="auto"/>
        <w:left w:val="none" w:sz="0" w:space="0" w:color="auto"/>
        <w:bottom w:val="none" w:sz="0" w:space="0" w:color="auto"/>
        <w:right w:val="none" w:sz="0" w:space="0" w:color="auto"/>
      </w:divBdr>
    </w:div>
    <w:div w:id="362705686">
      <w:marLeft w:val="0"/>
      <w:marRight w:val="0"/>
      <w:marTop w:val="180"/>
      <w:marBottom w:val="180"/>
      <w:divBdr>
        <w:top w:val="none" w:sz="0" w:space="0" w:color="auto"/>
        <w:left w:val="none" w:sz="0" w:space="0" w:color="auto"/>
        <w:bottom w:val="none" w:sz="0" w:space="0" w:color="auto"/>
        <w:right w:val="none" w:sz="0" w:space="0" w:color="auto"/>
      </w:divBdr>
    </w:div>
    <w:div w:id="364184798">
      <w:marLeft w:val="0"/>
      <w:marRight w:val="0"/>
      <w:marTop w:val="0"/>
      <w:marBottom w:val="240"/>
      <w:divBdr>
        <w:top w:val="none" w:sz="0" w:space="0" w:color="auto"/>
        <w:left w:val="none" w:sz="0" w:space="0" w:color="auto"/>
        <w:bottom w:val="none" w:sz="0" w:space="0" w:color="auto"/>
        <w:right w:val="none" w:sz="0" w:space="0" w:color="auto"/>
      </w:divBdr>
    </w:div>
    <w:div w:id="367224617">
      <w:marLeft w:val="0"/>
      <w:marRight w:val="0"/>
      <w:marTop w:val="0"/>
      <w:marBottom w:val="240"/>
      <w:divBdr>
        <w:top w:val="none" w:sz="0" w:space="0" w:color="auto"/>
        <w:left w:val="none" w:sz="0" w:space="0" w:color="auto"/>
        <w:bottom w:val="none" w:sz="0" w:space="0" w:color="auto"/>
        <w:right w:val="none" w:sz="0" w:space="0" w:color="auto"/>
      </w:divBdr>
    </w:div>
    <w:div w:id="367871867">
      <w:marLeft w:val="0"/>
      <w:marRight w:val="0"/>
      <w:marTop w:val="0"/>
      <w:marBottom w:val="180"/>
      <w:divBdr>
        <w:top w:val="none" w:sz="0" w:space="0" w:color="auto"/>
        <w:left w:val="none" w:sz="0" w:space="0" w:color="auto"/>
        <w:bottom w:val="none" w:sz="0" w:space="0" w:color="auto"/>
        <w:right w:val="none" w:sz="0" w:space="0" w:color="auto"/>
      </w:divBdr>
    </w:div>
    <w:div w:id="368189274">
      <w:marLeft w:val="0"/>
      <w:marRight w:val="0"/>
      <w:marTop w:val="120"/>
      <w:marBottom w:val="120"/>
      <w:divBdr>
        <w:top w:val="none" w:sz="0" w:space="0" w:color="auto"/>
        <w:left w:val="none" w:sz="0" w:space="0" w:color="auto"/>
        <w:bottom w:val="none" w:sz="0" w:space="0" w:color="auto"/>
        <w:right w:val="none" w:sz="0" w:space="0" w:color="auto"/>
      </w:divBdr>
    </w:div>
    <w:div w:id="368840164">
      <w:marLeft w:val="0"/>
      <w:marRight w:val="0"/>
      <w:marTop w:val="0"/>
      <w:marBottom w:val="180"/>
      <w:divBdr>
        <w:top w:val="none" w:sz="0" w:space="0" w:color="auto"/>
        <w:left w:val="none" w:sz="0" w:space="0" w:color="auto"/>
        <w:bottom w:val="none" w:sz="0" w:space="0" w:color="auto"/>
        <w:right w:val="none" w:sz="0" w:space="0" w:color="auto"/>
      </w:divBdr>
    </w:div>
    <w:div w:id="370419998">
      <w:marLeft w:val="0"/>
      <w:marRight w:val="0"/>
      <w:marTop w:val="0"/>
      <w:marBottom w:val="180"/>
      <w:divBdr>
        <w:top w:val="none" w:sz="0" w:space="0" w:color="auto"/>
        <w:left w:val="none" w:sz="0" w:space="0" w:color="auto"/>
        <w:bottom w:val="none" w:sz="0" w:space="0" w:color="auto"/>
        <w:right w:val="none" w:sz="0" w:space="0" w:color="auto"/>
      </w:divBdr>
    </w:div>
    <w:div w:id="370761450">
      <w:marLeft w:val="0"/>
      <w:marRight w:val="0"/>
      <w:marTop w:val="0"/>
      <w:marBottom w:val="180"/>
      <w:divBdr>
        <w:top w:val="none" w:sz="0" w:space="0" w:color="auto"/>
        <w:left w:val="none" w:sz="0" w:space="0" w:color="auto"/>
        <w:bottom w:val="none" w:sz="0" w:space="0" w:color="auto"/>
        <w:right w:val="none" w:sz="0" w:space="0" w:color="auto"/>
      </w:divBdr>
    </w:div>
    <w:div w:id="371423290">
      <w:marLeft w:val="0"/>
      <w:marRight w:val="0"/>
      <w:marTop w:val="0"/>
      <w:marBottom w:val="0"/>
      <w:divBdr>
        <w:top w:val="none" w:sz="0" w:space="0" w:color="auto"/>
        <w:left w:val="none" w:sz="0" w:space="0" w:color="auto"/>
        <w:bottom w:val="none" w:sz="0" w:space="0" w:color="auto"/>
        <w:right w:val="none" w:sz="0" w:space="0" w:color="auto"/>
      </w:divBdr>
      <w:divsChild>
        <w:div w:id="188950491">
          <w:marLeft w:val="0"/>
          <w:marRight w:val="0"/>
          <w:marTop w:val="0"/>
          <w:marBottom w:val="0"/>
          <w:divBdr>
            <w:top w:val="none" w:sz="0" w:space="0" w:color="auto"/>
            <w:left w:val="none" w:sz="0" w:space="0" w:color="auto"/>
            <w:bottom w:val="none" w:sz="0" w:space="0" w:color="auto"/>
            <w:right w:val="none" w:sz="0" w:space="0" w:color="auto"/>
          </w:divBdr>
        </w:div>
      </w:divsChild>
    </w:div>
    <w:div w:id="372005854">
      <w:marLeft w:val="0"/>
      <w:marRight w:val="0"/>
      <w:marTop w:val="0"/>
      <w:marBottom w:val="240"/>
      <w:divBdr>
        <w:top w:val="none" w:sz="0" w:space="0" w:color="auto"/>
        <w:left w:val="none" w:sz="0" w:space="0" w:color="auto"/>
        <w:bottom w:val="none" w:sz="0" w:space="0" w:color="auto"/>
        <w:right w:val="none" w:sz="0" w:space="0" w:color="auto"/>
      </w:divBdr>
    </w:div>
    <w:div w:id="372586127">
      <w:marLeft w:val="0"/>
      <w:marRight w:val="0"/>
      <w:marTop w:val="0"/>
      <w:marBottom w:val="240"/>
      <w:divBdr>
        <w:top w:val="none" w:sz="0" w:space="0" w:color="auto"/>
        <w:left w:val="none" w:sz="0" w:space="0" w:color="auto"/>
        <w:bottom w:val="none" w:sz="0" w:space="0" w:color="auto"/>
        <w:right w:val="none" w:sz="0" w:space="0" w:color="auto"/>
      </w:divBdr>
    </w:div>
    <w:div w:id="372854237">
      <w:marLeft w:val="0"/>
      <w:marRight w:val="0"/>
      <w:marTop w:val="0"/>
      <w:marBottom w:val="0"/>
      <w:divBdr>
        <w:top w:val="none" w:sz="0" w:space="0" w:color="auto"/>
        <w:left w:val="none" w:sz="0" w:space="0" w:color="auto"/>
        <w:bottom w:val="none" w:sz="0" w:space="0" w:color="auto"/>
        <w:right w:val="none" w:sz="0" w:space="0" w:color="auto"/>
      </w:divBdr>
    </w:div>
    <w:div w:id="374551459">
      <w:marLeft w:val="0"/>
      <w:marRight w:val="0"/>
      <w:marTop w:val="0"/>
      <w:marBottom w:val="180"/>
      <w:divBdr>
        <w:top w:val="none" w:sz="0" w:space="0" w:color="auto"/>
        <w:left w:val="none" w:sz="0" w:space="0" w:color="auto"/>
        <w:bottom w:val="none" w:sz="0" w:space="0" w:color="auto"/>
        <w:right w:val="none" w:sz="0" w:space="0" w:color="auto"/>
      </w:divBdr>
    </w:div>
    <w:div w:id="375278919">
      <w:marLeft w:val="0"/>
      <w:marRight w:val="0"/>
      <w:marTop w:val="180"/>
      <w:marBottom w:val="180"/>
      <w:divBdr>
        <w:top w:val="none" w:sz="0" w:space="0" w:color="auto"/>
        <w:left w:val="none" w:sz="0" w:space="0" w:color="auto"/>
        <w:bottom w:val="none" w:sz="0" w:space="0" w:color="auto"/>
        <w:right w:val="none" w:sz="0" w:space="0" w:color="auto"/>
      </w:divBdr>
    </w:div>
    <w:div w:id="377124947">
      <w:marLeft w:val="0"/>
      <w:marRight w:val="0"/>
      <w:marTop w:val="0"/>
      <w:marBottom w:val="240"/>
      <w:divBdr>
        <w:top w:val="none" w:sz="0" w:space="0" w:color="auto"/>
        <w:left w:val="none" w:sz="0" w:space="0" w:color="auto"/>
        <w:bottom w:val="none" w:sz="0" w:space="0" w:color="auto"/>
        <w:right w:val="none" w:sz="0" w:space="0" w:color="auto"/>
      </w:divBdr>
    </w:div>
    <w:div w:id="378088452">
      <w:marLeft w:val="0"/>
      <w:marRight w:val="0"/>
      <w:marTop w:val="120"/>
      <w:marBottom w:val="120"/>
      <w:divBdr>
        <w:top w:val="none" w:sz="0" w:space="0" w:color="auto"/>
        <w:left w:val="none" w:sz="0" w:space="0" w:color="auto"/>
        <w:bottom w:val="none" w:sz="0" w:space="0" w:color="auto"/>
        <w:right w:val="none" w:sz="0" w:space="0" w:color="auto"/>
      </w:divBdr>
    </w:div>
    <w:div w:id="378363721">
      <w:marLeft w:val="0"/>
      <w:marRight w:val="0"/>
      <w:marTop w:val="0"/>
      <w:marBottom w:val="240"/>
      <w:divBdr>
        <w:top w:val="none" w:sz="0" w:space="0" w:color="auto"/>
        <w:left w:val="none" w:sz="0" w:space="0" w:color="auto"/>
        <w:bottom w:val="none" w:sz="0" w:space="0" w:color="auto"/>
        <w:right w:val="none" w:sz="0" w:space="0" w:color="auto"/>
      </w:divBdr>
    </w:div>
    <w:div w:id="380057541">
      <w:marLeft w:val="0"/>
      <w:marRight w:val="0"/>
      <w:marTop w:val="0"/>
      <w:marBottom w:val="60"/>
      <w:divBdr>
        <w:top w:val="none" w:sz="0" w:space="0" w:color="auto"/>
        <w:left w:val="none" w:sz="0" w:space="0" w:color="auto"/>
        <w:bottom w:val="none" w:sz="0" w:space="0" w:color="auto"/>
        <w:right w:val="none" w:sz="0" w:space="0" w:color="auto"/>
      </w:divBdr>
    </w:div>
    <w:div w:id="380328583">
      <w:marLeft w:val="0"/>
      <w:marRight w:val="0"/>
      <w:marTop w:val="120"/>
      <w:marBottom w:val="120"/>
      <w:divBdr>
        <w:top w:val="none" w:sz="0" w:space="0" w:color="auto"/>
        <w:left w:val="none" w:sz="0" w:space="0" w:color="auto"/>
        <w:bottom w:val="none" w:sz="0" w:space="0" w:color="auto"/>
        <w:right w:val="none" w:sz="0" w:space="0" w:color="auto"/>
      </w:divBdr>
    </w:div>
    <w:div w:id="380442777">
      <w:marLeft w:val="0"/>
      <w:marRight w:val="0"/>
      <w:marTop w:val="0"/>
      <w:marBottom w:val="0"/>
      <w:divBdr>
        <w:top w:val="none" w:sz="0" w:space="0" w:color="auto"/>
        <w:left w:val="none" w:sz="0" w:space="0" w:color="auto"/>
        <w:bottom w:val="none" w:sz="0" w:space="0" w:color="auto"/>
        <w:right w:val="none" w:sz="0" w:space="0" w:color="auto"/>
      </w:divBdr>
    </w:div>
    <w:div w:id="381097166">
      <w:marLeft w:val="0"/>
      <w:marRight w:val="0"/>
      <w:marTop w:val="0"/>
      <w:marBottom w:val="240"/>
      <w:divBdr>
        <w:top w:val="none" w:sz="0" w:space="0" w:color="auto"/>
        <w:left w:val="none" w:sz="0" w:space="0" w:color="auto"/>
        <w:bottom w:val="none" w:sz="0" w:space="0" w:color="auto"/>
        <w:right w:val="none" w:sz="0" w:space="0" w:color="auto"/>
      </w:divBdr>
    </w:div>
    <w:div w:id="381950960">
      <w:marLeft w:val="0"/>
      <w:marRight w:val="0"/>
      <w:marTop w:val="0"/>
      <w:marBottom w:val="0"/>
      <w:divBdr>
        <w:top w:val="none" w:sz="0" w:space="0" w:color="auto"/>
        <w:left w:val="none" w:sz="0" w:space="0" w:color="auto"/>
        <w:bottom w:val="none" w:sz="0" w:space="0" w:color="auto"/>
        <w:right w:val="none" w:sz="0" w:space="0" w:color="auto"/>
      </w:divBdr>
      <w:divsChild>
        <w:div w:id="185294298">
          <w:marLeft w:val="0"/>
          <w:marRight w:val="0"/>
          <w:marTop w:val="0"/>
          <w:marBottom w:val="0"/>
          <w:divBdr>
            <w:top w:val="none" w:sz="0" w:space="0" w:color="auto"/>
            <w:left w:val="none" w:sz="0" w:space="0" w:color="auto"/>
            <w:bottom w:val="none" w:sz="0" w:space="0" w:color="auto"/>
            <w:right w:val="none" w:sz="0" w:space="0" w:color="auto"/>
          </w:divBdr>
        </w:div>
      </w:divsChild>
    </w:div>
    <w:div w:id="382213295">
      <w:marLeft w:val="0"/>
      <w:marRight w:val="0"/>
      <w:marTop w:val="0"/>
      <w:marBottom w:val="0"/>
      <w:divBdr>
        <w:top w:val="none" w:sz="0" w:space="0" w:color="auto"/>
        <w:left w:val="none" w:sz="0" w:space="0" w:color="auto"/>
        <w:bottom w:val="none" w:sz="0" w:space="0" w:color="auto"/>
        <w:right w:val="none" w:sz="0" w:space="0" w:color="auto"/>
      </w:divBdr>
    </w:div>
    <w:div w:id="385225326">
      <w:marLeft w:val="0"/>
      <w:marRight w:val="0"/>
      <w:marTop w:val="0"/>
      <w:marBottom w:val="180"/>
      <w:divBdr>
        <w:top w:val="none" w:sz="0" w:space="0" w:color="auto"/>
        <w:left w:val="none" w:sz="0" w:space="0" w:color="auto"/>
        <w:bottom w:val="none" w:sz="0" w:space="0" w:color="auto"/>
        <w:right w:val="none" w:sz="0" w:space="0" w:color="auto"/>
      </w:divBdr>
    </w:div>
    <w:div w:id="385565690">
      <w:marLeft w:val="0"/>
      <w:marRight w:val="0"/>
      <w:marTop w:val="0"/>
      <w:marBottom w:val="0"/>
      <w:divBdr>
        <w:top w:val="none" w:sz="0" w:space="0" w:color="auto"/>
        <w:left w:val="none" w:sz="0" w:space="0" w:color="auto"/>
        <w:bottom w:val="none" w:sz="0" w:space="0" w:color="auto"/>
        <w:right w:val="none" w:sz="0" w:space="0" w:color="auto"/>
      </w:divBdr>
      <w:divsChild>
        <w:div w:id="568809709">
          <w:marLeft w:val="0"/>
          <w:marRight w:val="0"/>
          <w:marTop w:val="0"/>
          <w:marBottom w:val="0"/>
          <w:divBdr>
            <w:top w:val="none" w:sz="0" w:space="0" w:color="auto"/>
            <w:left w:val="none" w:sz="0" w:space="0" w:color="auto"/>
            <w:bottom w:val="none" w:sz="0" w:space="0" w:color="auto"/>
            <w:right w:val="none" w:sz="0" w:space="0" w:color="auto"/>
          </w:divBdr>
        </w:div>
      </w:divsChild>
    </w:div>
    <w:div w:id="386150058">
      <w:marLeft w:val="0"/>
      <w:marRight w:val="0"/>
      <w:marTop w:val="0"/>
      <w:marBottom w:val="240"/>
      <w:divBdr>
        <w:top w:val="none" w:sz="0" w:space="0" w:color="auto"/>
        <w:left w:val="none" w:sz="0" w:space="0" w:color="auto"/>
        <w:bottom w:val="none" w:sz="0" w:space="0" w:color="auto"/>
        <w:right w:val="none" w:sz="0" w:space="0" w:color="auto"/>
      </w:divBdr>
    </w:div>
    <w:div w:id="387999776">
      <w:marLeft w:val="0"/>
      <w:marRight w:val="0"/>
      <w:marTop w:val="0"/>
      <w:marBottom w:val="180"/>
      <w:divBdr>
        <w:top w:val="none" w:sz="0" w:space="0" w:color="auto"/>
        <w:left w:val="none" w:sz="0" w:space="0" w:color="auto"/>
        <w:bottom w:val="none" w:sz="0" w:space="0" w:color="auto"/>
        <w:right w:val="none" w:sz="0" w:space="0" w:color="auto"/>
      </w:divBdr>
    </w:div>
    <w:div w:id="388919277">
      <w:marLeft w:val="0"/>
      <w:marRight w:val="0"/>
      <w:marTop w:val="0"/>
      <w:marBottom w:val="0"/>
      <w:divBdr>
        <w:top w:val="none" w:sz="0" w:space="0" w:color="auto"/>
        <w:left w:val="none" w:sz="0" w:space="0" w:color="auto"/>
        <w:bottom w:val="none" w:sz="0" w:space="0" w:color="auto"/>
        <w:right w:val="none" w:sz="0" w:space="0" w:color="auto"/>
      </w:divBdr>
    </w:div>
    <w:div w:id="393939287">
      <w:marLeft w:val="0"/>
      <w:marRight w:val="0"/>
      <w:marTop w:val="0"/>
      <w:marBottom w:val="0"/>
      <w:divBdr>
        <w:top w:val="none" w:sz="0" w:space="0" w:color="auto"/>
        <w:left w:val="none" w:sz="0" w:space="0" w:color="auto"/>
        <w:bottom w:val="none" w:sz="0" w:space="0" w:color="auto"/>
        <w:right w:val="none" w:sz="0" w:space="0" w:color="auto"/>
      </w:divBdr>
    </w:div>
    <w:div w:id="394160763">
      <w:marLeft w:val="0"/>
      <w:marRight w:val="0"/>
      <w:marTop w:val="0"/>
      <w:marBottom w:val="180"/>
      <w:divBdr>
        <w:top w:val="none" w:sz="0" w:space="0" w:color="auto"/>
        <w:left w:val="none" w:sz="0" w:space="0" w:color="auto"/>
        <w:bottom w:val="none" w:sz="0" w:space="0" w:color="auto"/>
        <w:right w:val="none" w:sz="0" w:space="0" w:color="auto"/>
      </w:divBdr>
    </w:div>
    <w:div w:id="394166194">
      <w:marLeft w:val="0"/>
      <w:marRight w:val="0"/>
      <w:marTop w:val="0"/>
      <w:marBottom w:val="0"/>
      <w:divBdr>
        <w:top w:val="none" w:sz="0" w:space="0" w:color="auto"/>
        <w:left w:val="none" w:sz="0" w:space="0" w:color="auto"/>
        <w:bottom w:val="none" w:sz="0" w:space="0" w:color="auto"/>
        <w:right w:val="none" w:sz="0" w:space="0" w:color="auto"/>
      </w:divBdr>
    </w:div>
    <w:div w:id="397366800">
      <w:marLeft w:val="0"/>
      <w:marRight w:val="0"/>
      <w:marTop w:val="120"/>
      <w:marBottom w:val="120"/>
      <w:divBdr>
        <w:top w:val="none" w:sz="0" w:space="0" w:color="auto"/>
        <w:left w:val="none" w:sz="0" w:space="0" w:color="auto"/>
        <w:bottom w:val="none" w:sz="0" w:space="0" w:color="auto"/>
        <w:right w:val="none" w:sz="0" w:space="0" w:color="auto"/>
      </w:divBdr>
    </w:div>
    <w:div w:id="398021489">
      <w:marLeft w:val="0"/>
      <w:marRight w:val="0"/>
      <w:marTop w:val="180"/>
      <w:marBottom w:val="180"/>
      <w:divBdr>
        <w:top w:val="none" w:sz="0" w:space="0" w:color="auto"/>
        <w:left w:val="none" w:sz="0" w:space="0" w:color="auto"/>
        <w:bottom w:val="none" w:sz="0" w:space="0" w:color="auto"/>
        <w:right w:val="none" w:sz="0" w:space="0" w:color="auto"/>
      </w:divBdr>
    </w:div>
    <w:div w:id="398748943">
      <w:marLeft w:val="0"/>
      <w:marRight w:val="0"/>
      <w:marTop w:val="120"/>
      <w:marBottom w:val="240"/>
      <w:divBdr>
        <w:top w:val="none" w:sz="0" w:space="0" w:color="auto"/>
        <w:left w:val="none" w:sz="0" w:space="0" w:color="auto"/>
        <w:bottom w:val="none" w:sz="0" w:space="0" w:color="auto"/>
        <w:right w:val="none" w:sz="0" w:space="0" w:color="auto"/>
      </w:divBdr>
    </w:div>
    <w:div w:id="398752969">
      <w:marLeft w:val="0"/>
      <w:marRight w:val="0"/>
      <w:marTop w:val="0"/>
      <w:marBottom w:val="0"/>
      <w:divBdr>
        <w:top w:val="none" w:sz="0" w:space="0" w:color="auto"/>
        <w:left w:val="none" w:sz="0" w:space="0" w:color="auto"/>
        <w:bottom w:val="none" w:sz="0" w:space="0" w:color="auto"/>
        <w:right w:val="none" w:sz="0" w:space="0" w:color="auto"/>
      </w:divBdr>
    </w:div>
    <w:div w:id="402874509">
      <w:marLeft w:val="0"/>
      <w:marRight w:val="0"/>
      <w:marTop w:val="120"/>
      <w:marBottom w:val="120"/>
      <w:divBdr>
        <w:top w:val="none" w:sz="0" w:space="0" w:color="auto"/>
        <w:left w:val="none" w:sz="0" w:space="0" w:color="auto"/>
        <w:bottom w:val="none" w:sz="0" w:space="0" w:color="auto"/>
        <w:right w:val="none" w:sz="0" w:space="0" w:color="auto"/>
      </w:divBdr>
    </w:div>
    <w:div w:id="403725471">
      <w:marLeft w:val="0"/>
      <w:marRight w:val="0"/>
      <w:marTop w:val="100"/>
      <w:marBottom w:val="0"/>
      <w:divBdr>
        <w:top w:val="none" w:sz="0" w:space="0" w:color="auto"/>
        <w:left w:val="none" w:sz="0" w:space="0" w:color="auto"/>
        <w:bottom w:val="none" w:sz="0" w:space="0" w:color="auto"/>
        <w:right w:val="none" w:sz="0" w:space="0" w:color="auto"/>
      </w:divBdr>
    </w:div>
    <w:div w:id="403842877">
      <w:marLeft w:val="0"/>
      <w:marRight w:val="0"/>
      <w:marTop w:val="180"/>
      <w:marBottom w:val="180"/>
      <w:divBdr>
        <w:top w:val="none" w:sz="0" w:space="0" w:color="auto"/>
        <w:left w:val="none" w:sz="0" w:space="0" w:color="auto"/>
        <w:bottom w:val="none" w:sz="0" w:space="0" w:color="auto"/>
        <w:right w:val="none" w:sz="0" w:space="0" w:color="auto"/>
      </w:divBdr>
    </w:div>
    <w:div w:id="404229681">
      <w:marLeft w:val="0"/>
      <w:marRight w:val="0"/>
      <w:marTop w:val="0"/>
      <w:marBottom w:val="180"/>
      <w:divBdr>
        <w:top w:val="none" w:sz="0" w:space="0" w:color="auto"/>
        <w:left w:val="none" w:sz="0" w:space="0" w:color="auto"/>
        <w:bottom w:val="none" w:sz="0" w:space="0" w:color="auto"/>
        <w:right w:val="none" w:sz="0" w:space="0" w:color="auto"/>
      </w:divBdr>
    </w:div>
    <w:div w:id="407073661">
      <w:marLeft w:val="0"/>
      <w:marRight w:val="0"/>
      <w:marTop w:val="0"/>
      <w:marBottom w:val="180"/>
      <w:divBdr>
        <w:top w:val="none" w:sz="0" w:space="0" w:color="auto"/>
        <w:left w:val="none" w:sz="0" w:space="0" w:color="auto"/>
        <w:bottom w:val="none" w:sz="0" w:space="0" w:color="auto"/>
        <w:right w:val="none" w:sz="0" w:space="0" w:color="auto"/>
      </w:divBdr>
    </w:div>
    <w:div w:id="408625240">
      <w:marLeft w:val="0"/>
      <w:marRight w:val="0"/>
      <w:marTop w:val="0"/>
      <w:marBottom w:val="0"/>
      <w:divBdr>
        <w:top w:val="none" w:sz="0" w:space="0" w:color="auto"/>
        <w:left w:val="none" w:sz="0" w:space="0" w:color="auto"/>
        <w:bottom w:val="none" w:sz="0" w:space="0" w:color="auto"/>
        <w:right w:val="none" w:sz="0" w:space="0" w:color="auto"/>
      </w:divBdr>
    </w:div>
    <w:div w:id="409816636">
      <w:marLeft w:val="0"/>
      <w:marRight w:val="0"/>
      <w:marTop w:val="0"/>
      <w:marBottom w:val="0"/>
      <w:divBdr>
        <w:top w:val="none" w:sz="0" w:space="0" w:color="auto"/>
        <w:left w:val="none" w:sz="0" w:space="0" w:color="auto"/>
        <w:bottom w:val="none" w:sz="0" w:space="0" w:color="auto"/>
        <w:right w:val="none" w:sz="0" w:space="0" w:color="auto"/>
      </w:divBdr>
      <w:divsChild>
        <w:div w:id="1391416651">
          <w:marLeft w:val="0"/>
          <w:marRight w:val="0"/>
          <w:marTop w:val="0"/>
          <w:marBottom w:val="0"/>
          <w:divBdr>
            <w:top w:val="none" w:sz="0" w:space="0" w:color="auto"/>
            <w:left w:val="none" w:sz="0" w:space="0" w:color="auto"/>
            <w:bottom w:val="none" w:sz="0" w:space="0" w:color="auto"/>
            <w:right w:val="none" w:sz="0" w:space="0" w:color="auto"/>
          </w:divBdr>
        </w:div>
        <w:div w:id="785662544">
          <w:marLeft w:val="0"/>
          <w:marRight w:val="0"/>
          <w:marTop w:val="0"/>
          <w:marBottom w:val="0"/>
          <w:divBdr>
            <w:top w:val="none" w:sz="0" w:space="0" w:color="auto"/>
            <w:left w:val="none" w:sz="0" w:space="0" w:color="auto"/>
            <w:bottom w:val="none" w:sz="0" w:space="0" w:color="auto"/>
            <w:right w:val="none" w:sz="0" w:space="0" w:color="auto"/>
          </w:divBdr>
        </w:div>
      </w:divsChild>
    </w:div>
    <w:div w:id="411971666">
      <w:marLeft w:val="0"/>
      <w:marRight w:val="0"/>
      <w:marTop w:val="0"/>
      <w:marBottom w:val="240"/>
      <w:divBdr>
        <w:top w:val="none" w:sz="0" w:space="0" w:color="auto"/>
        <w:left w:val="none" w:sz="0" w:space="0" w:color="auto"/>
        <w:bottom w:val="none" w:sz="0" w:space="0" w:color="auto"/>
        <w:right w:val="none" w:sz="0" w:space="0" w:color="auto"/>
      </w:divBdr>
    </w:div>
    <w:div w:id="413556307">
      <w:marLeft w:val="0"/>
      <w:marRight w:val="0"/>
      <w:marTop w:val="0"/>
      <w:marBottom w:val="180"/>
      <w:divBdr>
        <w:top w:val="none" w:sz="0" w:space="0" w:color="auto"/>
        <w:left w:val="none" w:sz="0" w:space="0" w:color="auto"/>
        <w:bottom w:val="none" w:sz="0" w:space="0" w:color="auto"/>
        <w:right w:val="none" w:sz="0" w:space="0" w:color="auto"/>
      </w:divBdr>
    </w:div>
    <w:div w:id="421145655">
      <w:marLeft w:val="0"/>
      <w:marRight w:val="0"/>
      <w:marTop w:val="0"/>
      <w:marBottom w:val="0"/>
      <w:divBdr>
        <w:top w:val="none" w:sz="0" w:space="0" w:color="auto"/>
        <w:left w:val="none" w:sz="0" w:space="0" w:color="auto"/>
        <w:bottom w:val="none" w:sz="0" w:space="0" w:color="auto"/>
        <w:right w:val="none" w:sz="0" w:space="0" w:color="auto"/>
      </w:divBdr>
      <w:divsChild>
        <w:div w:id="847400939">
          <w:marLeft w:val="0"/>
          <w:marRight w:val="0"/>
          <w:marTop w:val="0"/>
          <w:marBottom w:val="0"/>
          <w:divBdr>
            <w:top w:val="none" w:sz="0" w:space="0" w:color="auto"/>
            <w:left w:val="none" w:sz="0" w:space="0" w:color="auto"/>
            <w:bottom w:val="none" w:sz="0" w:space="0" w:color="auto"/>
            <w:right w:val="none" w:sz="0" w:space="0" w:color="auto"/>
          </w:divBdr>
        </w:div>
      </w:divsChild>
    </w:div>
    <w:div w:id="421681502">
      <w:marLeft w:val="0"/>
      <w:marRight w:val="0"/>
      <w:marTop w:val="0"/>
      <w:marBottom w:val="240"/>
      <w:divBdr>
        <w:top w:val="none" w:sz="0" w:space="0" w:color="auto"/>
        <w:left w:val="none" w:sz="0" w:space="0" w:color="auto"/>
        <w:bottom w:val="none" w:sz="0" w:space="0" w:color="auto"/>
        <w:right w:val="none" w:sz="0" w:space="0" w:color="auto"/>
      </w:divBdr>
    </w:div>
    <w:div w:id="422454969">
      <w:marLeft w:val="0"/>
      <w:marRight w:val="0"/>
      <w:marTop w:val="100"/>
      <w:marBottom w:val="0"/>
      <w:divBdr>
        <w:top w:val="none" w:sz="0" w:space="0" w:color="auto"/>
        <w:left w:val="none" w:sz="0" w:space="0" w:color="auto"/>
        <w:bottom w:val="none" w:sz="0" w:space="0" w:color="auto"/>
        <w:right w:val="none" w:sz="0" w:space="0" w:color="auto"/>
      </w:divBdr>
    </w:div>
    <w:div w:id="422647355">
      <w:marLeft w:val="0"/>
      <w:marRight w:val="0"/>
      <w:marTop w:val="0"/>
      <w:marBottom w:val="180"/>
      <w:divBdr>
        <w:top w:val="none" w:sz="0" w:space="0" w:color="auto"/>
        <w:left w:val="none" w:sz="0" w:space="0" w:color="auto"/>
        <w:bottom w:val="none" w:sz="0" w:space="0" w:color="auto"/>
        <w:right w:val="none" w:sz="0" w:space="0" w:color="auto"/>
      </w:divBdr>
    </w:div>
    <w:div w:id="424153436">
      <w:marLeft w:val="0"/>
      <w:marRight w:val="0"/>
      <w:marTop w:val="0"/>
      <w:marBottom w:val="240"/>
      <w:divBdr>
        <w:top w:val="none" w:sz="0" w:space="0" w:color="auto"/>
        <w:left w:val="none" w:sz="0" w:space="0" w:color="auto"/>
        <w:bottom w:val="none" w:sz="0" w:space="0" w:color="auto"/>
        <w:right w:val="none" w:sz="0" w:space="0" w:color="auto"/>
      </w:divBdr>
    </w:div>
    <w:div w:id="426851547">
      <w:marLeft w:val="0"/>
      <w:marRight w:val="0"/>
      <w:marTop w:val="0"/>
      <w:marBottom w:val="0"/>
      <w:divBdr>
        <w:top w:val="none" w:sz="0" w:space="0" w:color="auto"/>
        <w:left w:val="none" w:sz="0" w:space="0" w:color="auto"/>
        <w:bottom w:val="none" w:sz="0" w:space="0" w:color="auto"/>
        <w:right w:val="none" w:sz="0" w:space="0" w:color="auto"/>
      </w:divBdr>
    </w:div>
    <w:div w:id="428039879">
      <w:marLeft w:val="0"/>
      <w:marRight w:val="0"/>
      <w:marTop w:val="240"/>
      <w:marBottom w:val="240"/>
      <w:divBdr>
        <w:top w:val="none" w:sz="0" w:space="0" w:color="auto"/>
        <w:left w:val="none" w:sz="0" w:space="0" w:color="auto"/>
        <w:bottom w:val="none" w:sz="0" w:space="0" w:color="auto"/>
        <w:right w:val="none" w:sz="0" w:space="0" w:color="auto"/>
      </w:divBdr>
    </w:div>
    <w:div w:id="428163985">
      <w:marLeft w:val="0"/>
      <w:marRight w:val="0"/>
      <w:marTop w:val="0"/>
      <w:marBottom w:val="240"/>
      <w:divBdr>
        <w:top w:val="none" w:sz="0" w:space="0" w:color="auto"/>
        <w:left w:val="none" w:sz="0" w:space="0" w:color="auto"/>
        <w:bottom w:val="none" w:sz="0" w:space="0" w:color="auto"/>
        <w:right w:val="none" w:sz="0" w:space="0" w:color="auto"/>
      </w:divBdr>
    </w:div>
    <w:div w:id="428703122">
      <w:marLeft w:val="0"/>
      <w:marRight w:val="0"/>
      <w:marTop w:val="0"/>
      <w:marBottom w:val="0"/>
      <w:divBdr>
        <w:top w:val="none" w:sz="0" w:space="0" w:color="auto"/>
        <w:left w:val="none" w:sz="0" w:space="0" w:color="auto"/>
        <w:bottom w:val="none" w:sz="0" w:space="0" w:color="auto"/>
        <w:right w:val="none" w:sz="0" w:space="0" w:color="auto"/>
      </w:divBdr>
      <w:divsChild>
        <w:div w:id="1036395603">
          <w:marLeft w:val="0"/>
          <w:marRight w:val="0"/>
          <w:marTop w:val="0"/>
          <w:marBottom w:val="0"/>
          <w:divBdr>
            <w:top w:val="none" w:sz="0" w:space="0" w:color="auto"/>
            <w:left w:val="none" w:sz="0" w:space="0" w:color="auto"/>
            <w:bottom w:val="none" w:sz="0" w:space="0" w:color="auto"/>
            <w:right w:val="none" w:sz="0" w:space="0" w:color="auto"/>
          </w:divBdr>
        </w:div>
      </w:divsChild>
    </w:div>
    <w:div w:id="430274460">
      <w:marLeft w:val="0"/>
      <w:marRight w:val="0"/>
      <w:marTop w:val="0"/>
      <w:marBottom w:val="240"/>
      <w:divBdr>
        <w:top w:val="none" w:sz="0" w:space="0" w:color="auto"/>
        <w:left w:val="none" w:sz="0" w:space="0" w:color="auto"/>
        <w:bottom w:val="none" w:sz="0" w:space="0" w:color="auto"/>
        <w:right w:val="none" w:sz="0" w:space="0" w:color="auto"/>
      </w:divBdr>
    </w:div>
    <w:div w:id="430976795">
      <w:marLeft w:val="0"/>
      <w:marRight w:val="0"/>
      <w:marTop w:val="0"/>
      <w:marBottom w:val="240"/>
      <w:divBdr>
        <w:top w:val="none" w:sz="0" w:space="0" w:color="auto"/>
        <w:left w:val="none" w:sz="0" w:space="0" w:color="auto"/>
        <w:bottom w:val="none" w:sz="0" w:space="0" w:color="auto"/>
        <w:right w:val="none" w:sz="0" w:space="0" w:color="auto"/>
      </w:divBdr>
    </w:div>
    <w:div w:id="432481282">
      <w:marLeft w:val="0"/>
      <w:marRight w:val="0"/>
      <w:marTop w:val="120"/>
      <w:marBottom w:val="120"/>
      <w:divBdr>
        <w:top w:val="none" w:sz="0" w:space="0" w:color="auto"/>
        <w:left w:val="none" w:sz="0" w:space="0" w:color="auto"/>
        <w:bottom w:val="none" w:sz="0" w:space="0" w:color="auto"/>
        <w:right w:val="none" w:sz="0" w:space="0" w:color="auto"/>
      </w:divBdr>
    </w:div>
    <w:div w:id="433987232">
      <w:marLeft w:val="0"/>
      <w:marRight w:val="0"/>
      <w:marTop w:val="0"/>
      <w:marBottom w:val="180"/>
      <w:divBdr>
        <w:top w:val="none" w:sz="0" w:space="0" w:color="auto"/>
        <w:left w:val="none" w:sz="0" w:space="0" w:color="auto"/>
        <w:bottom w:val="none" w:sz="0" w:space="0" w:color="auto"/>
        <w:right w:val="none" w:sz="0" w:space="0" w:color="auto"/>
      </w:divBdr>
    </w:div>
    <w:div w:id="434138251">
      <w:marLeft w:val="0"/>
      <w:marRight w:val="0"/>
      <w:marTop w:val="0"/>
      <w:marBottom w:val="180"/>
      <w:divBdr>
        <w:top w:val="none" w:sz="0" w:space="0" w:color="auto"/>
        <w:left w:val="none" w:sz="0" w:space="0" w:color="auto"/>
        <w:bottom w:val="none" w:sz="0" w:space="0" w:color="auto"/>
        <w:right w:val="none" w:sz="0" w:space="0" w:color="auto"/>
      </w:divBdr>
    </w:div>
    <w:div w:id="434325651">
      <w:marLeft w:val="0"/>
      <w:marRight w:val="0"/>
      <w:marTop w:val="0"/>
      <w:marBottom w:val="180"/>
      <w:divBdr>
        <w:top w:val="none" w:sz="0" w:space="0" w:color="auto"/>
        <w:left w:val="none" w:sz="0" w:space="0" w:color="auto"/>
        <w:bottom w:val="none" w:sz="0" w:space="0" w:color="auto"/>
        <w:right w:val="none" w:sz="0" w:space="0" w:color="auto"/>
      </w:divBdr>
    </w:div>
    <w:div w:id="434374223">
      <w:marLeft w:val="0"/>
      <w:marRight w:val="0"/>
      <w:marTop w:val="0"/>
      <w:marBottom w:val="0"/>
      <w:divBdr>
        <w:top w:val="none" w:sz="0" w:space="0" w:color="auto"/>
        <w:left w:val="none" w:sz="0" w:space="0" w:color="auto"/>
        <w:bottom w:val="none" w:sz="0" w:space="0" w:color="auto"/>
        <w:right w:val="none" w:sz="0" w:space="0" w:color="auto"/>
      </w:divBdr>
    </w:div>
    <w:div w:id="435059024">
      <w:marLeft w:val="0"/>
      <w:marRight w:val="0"/>
      <w:marTop w:val="0"/>
      <w:marBottom w:val="180"/>
      <w:divBdr>
        <w:top w:val="none" w:sz="0" w:space="0" w:color="auto"/>
        <w:left w:val="none" w:sz="0" w:space="0" w:color="auto"/>
        <w:bottom w:val="none" w:sz="0" w:space="0" w:color="auto"/>
        <w:right w:val="none" w:sz="0" w:space="0" w:color="auto"/>
      </w:divBdr>
    </w:div>
    <w:div w:id="437217922">
      <w:marLeft w:val="0"/>
      <w:marRight w:val="0"/>
      <w:marTop w:val="180"/>
      <w:marBottom w:val="180"/>
      <w:divBdr>
        <w:top w:val="none" w:sz="0" w:space="0" w:color="auto"/>
        <w:left w:val="none" w:sz="0" w:space="0" w:color="auto"/>
        <w:bottom w:val="none" w:sz="0" w:space="0" w:color="auto"/>
        <w:right w:val="none" w:sz="0" w:space="0" w:color="auto"/>
      </w:divBdr>
    </w:div>
    <w:div w:id="439765767">
      <w:marLeft w:val="0"/>
      <w:marRight w:val="0"/>
      <w:marTop w:val="120"/>
      <w:marBottom w:val="120"/>
      <w:divBdr>
        <w:top w:val="none" w:sz="0" w:space="0" w:color="auto"/>
        <w:left w:val="none" w:sz="0" w:space="0" w:color="auto"/>
        <w:bottom w:val="none" w:sz="0" w:space="0" w:color="auto"/>
        <w:right w:val="none" w:sz="0" w:space="0" w:color="auto"/>
      </w:divBdr>
    </w:div>
    <w:div w:id="440104801">
      <w:marLeft w:val="0"/>
      <w:marRight w:val="0"/>
      <w:marTop w:val="0"/>
      <w:marBottom w:val="0"/>
      <w:divBdr>
        <w:top w:val="none" w:sz="0" w:space="0" w:color="auto"/>
        <w:left w:val="none" w:sz="0" w:space="0" w:color="auto"/>
        <w:bottom w:val="none" w:sz="0" w:space="0" w:color="auto"/>
        <w:right w:val="none" w:sz="0" w:space="0" w:color="auto"/>
      </w:divBdr>
    </w:div>
    <w:div w:id="442383995">
      <w:marLeft w:val="0"/>
      <w:marRight w:val="0"/>
      <w:marTop w:val="0"/>
      <w:marBottom w:val="240"/>
      <w:divBdr>
        <w:top w:val="none" w:sz="0" w:space="0" w:color="auto"/>
        <w:left w:val="none" w:sz="0" w:space="0" w:color="auto"/>
        <w:bottom w:val="none" w:sz="0" w:space="0" w:color="auto"/>
        <w:right w:val="none" w:sz="0" w:space="0" w:color="auto"/>
      </w:divBdr>
    </w:div>
    <w:div w:id="445082271">
      <w:marLeft w:val="0"/>
      <w:marRight w:val="0"/>
      <w:marTop w:val="0"/>
      <w:marBottom w:val="0"/>
      <w:divBdr>
        <w:top w:val="none" w:sz="0" w:space="0" w:color="auto"/>
        <w:left w:val="none" w:sz="0" w:space="0" w:color="auto"/>
        <w:bottom w:val="none" w:sz="0" w:space="0" w:color="auto"/>
        <w:right w:val="none" w:sz="0" w:space="0" w:color="auto"/>
      </w:divBdr>
      <w:divsChild>
        <w:div w:id="256989935">
          <w:marLeft w:val="0"/>
          <w:marRight w:val="0"/>
          <w:marTop w:val="0"/>
          <w:marBottom w:val="0"/>
          <w:divBdr>
            <w:top w:val="none" w:sz="0" w:space="0" w:color="auto"/>
            <w:left w:val="none" w:sz="0" w:space="0" w:color="auto"/>
            <w:bottom w:val="none" w:sz="0" w:space="0" w:color="auto"/>
            <w:right w:val="none" w:sz="0" w:space="0" w:color="auto"/>
          </w:divBdr>
        </w:div>
      </w:divsChild>
    </w:div>
    <w:div w:id="446513706">
      <w:marLeft w:val="0"/>
      <w:marRight w:val="0"/>
      <w:marTop w:val="180"/>
      <w:marBottom w:val="180"/>
      <w:divBdr>
        <w:top w:val="none" w:sz="0" w:space="0" w:color="auto"/>
        <w:left w:val="none" w:sz="0" w:space="0" w:color="auto"/>
        <w:bottom w:val="none" w:sz="0" w:space="0" w:color="auto"/>
        <w:right w:val="none" w:sz="0" w:space="0" w:color="auto"/>
      </w:divBdr>
    </w:div>
    <w:div w:id="447044933">
      <w:marLeft w:val="0"/>
      <w:marRight w:val="0"/>
      <w:marTop w:val="180"/>
      <w:marBottom w:val="180"/>
      <w:divBdr>
        <w:top w:val="none" w:sz="0" w:space="0" w:color="auto"/>
        <w:left w:val="none" w:sz="0" w:space="0" w:color="auto"/>
        <w:bottom w:val="none" w:sz="0" w:space="0" w:color="auto"/>
        <w:right w:val="none" w:sz="0" w:space="0" w:color="auto"/>
      </w:divBdr>
    </w:div>
    <w:div w:id="447890622">
      <w:marLeft w:val="0"/>
      <w:marRight w:val="0"/>
      <w:marTop w:val="180"/>
      <w:marBottom w:val="180"/>
      <w:divBdr>
        <w:top w:val="none" w:sz="0" w:space="0" w:color="auto"/>
        <w:left w:val="none" w:sz="0" w:space="0" w:color="auto"/>
        <w:bottom w:val="none" w:sz="0" w:space="0" w:color="auto"/>
        <w:right w:val="none" w:sz="0" w:space="0" w:color="auto"/>
      </w:divBdr>
    </w:div>
    <w:div w:id="450244545">
      <w:marLeft w:val="0"/>
      <w:marRight w:val="0"/>
      <w:marTop w:val="0"/>
      <w:marBottom w:val="0"/>
      <w:divBdr>
        <w:top w:val="none" w:sz="0" w:space="0" w:color="auto"/>
        <w:left w:val="none" w:sz="0" w:space="0" w:color="auto"/>
        <w:bottom w:val="none" w:sz="0" w:space="0" w:color="auto"/>
        <w:right w:val="none" w:sz="0" w:space="0" w:color="auto"/>
      </w:divBdr>
      <w:divsChild>
        <w:div w:id="1442989241">
          <w:marLeft w:val="0"/>
          <w:marRight w:val="0"/>
          <w:marTop w:val="0"/>
          <w:marBottom w:val="0"/>
          <w:divBdr>
            <w:top w:val="none" w:sz="0" w:space="0" w:color="auto"/>
            <w:left w:val="none" w:sz="0" w:space="0" w:color="auto"/>
            <w:bottom w:val="none" w:sz="0" w:space="0" w:color="auto"/>
            <w:right w:val="none" w:sz="0" w:space="0" w:color="auto"/>
          </w:divBdr>
        </w:div>
      </w:divsChild>
    </w:div>
    <w:div w:id="451480759">
      <w:marLeft w:val="0"/>
      <w:marRight w:val="0"/>
      <w:marTop w:val="180"/>
      <w:marBottom w:val="180"/>
      <w:divBdr>
        <w:top w:val="none" w:sz="0" w:space="0" w:color="auto"/>
        <w:left w:val="none" w:sz="0" w:space="0" w:color="auto"/>
        <w:bottom w:val="none" w:sz="0" w:space="0" w:color="auto"/>
        <w:right w:val="none" w:sz="0" w:space="0" w:color="auto"/>
      </w:divBdr>
    </w:div>
    <w:div w:id="453910250">
      <w:marLeft w:val="0"/>
      <w:marRight w:val="0"/>
      <w:marTop w:val="0"/>
      <w:marBottom w:val="0"/>
      <w:divBdr>
        <w:top w:val="none" w:sz="0" w:space="0" w:color="auto"/>
        <w:left w:val="none" w:sz="0" w:space="0" w:color="auto"/>
        <w:bottom w:val="none" w:sz="0" w:space="0" w:color="auto"/>
        <w:right w:val="none" w:sz="0" w:space="0" w:color="auto"/>
      </w:divBdr>
    </w:div>
    <w:div w:id="455756278">
      <w:marLeft w:val="0"/>
      <w:marRight w:val="0"/>
      <w:marTop w:val="100"/>
      <w:marBottom w:val="0"/>
      <w:divBdr>
        <w:top w:val="none" w:sz="0" w:space="0" w:color="auto"/>
        <w:left w:val="none" w:sz="0" w:space="0" w:color="auto"/>
        <w:bottom w:val="none" w:sz="0" w:space="0" w:color="auto"/>
        <w:right w:val="none" w:sz="0" w:space="0" w:color="auto"/>
      </w:divBdr>
      <w:divsChild>
        <w:div w:id="2020113082">
          <w:marLeft w:val="0"/>
          <w:marRight w:val="0"/>
          <w:marTop w:val="0"/>
          <w:marBottom w:val="0"/>
          <w:divBdr>
            <w:top w:val="none" w:sz="0" w:space="0" w:color="auto"/>
            <w:left w:val="none" w:sz="0" w:space="0" w:color="auto"/>
            <w:bottom w:val="none" w:sz="0" w:space="0" w:color="auto"/>
            <w:right w:val="none" w:sz="0" w:space="0" w:color="auto"/>
          </w:divBdr>
        </w:div>
        <w:div w:id="1788693109">
          <w:marLeft w:val="0"/>
          <w:marRight w:val="0"/>
          <w:marTop w:val="0"/>
          <w:marBottom w:val="0"/>
          <w:divBdr>
            <w:top w:val="none" w:sz="0" w:space="0" w:color="auto"/>
            <w:left w:val="none" w:sz="0" w:space="0" w:color="auto"/>
            <w:bottom w:val="none" w:sz="0" w:space="0" w:color="auto"/>
            <w:right w:val="none" w:sz="0" w:space="0" w:color="auto"/>
          </w:divBdr>
        </w:div>
        <w:div w:id="2044206101">
          <w:marLeft w:val="0"/>
          <w:marRight w:val="0"/>
          <w:marTop w:val="0"/>
          <w:marBottom w:val="0"/>
          <w:divBdr>
            <w:top w:val="none" w:sz="0" w:space="0" w:color="auto"/>
            <w:left w:val="none" w:sz="0" w:space="0" w:color="auto"/>
            <w:bottom w:val="none" w:sz="0" w:space="0" w:color="auto"/>
            <w:right w:val="none" w:sz="0" w:space="0" w:color="auto"/>
          </w:divBdr>
        </w:div>
      </w:divsChild>
    </w:div>
    <w:div w:id="456414027">
      <w:marLeft w:val="0"/>
      <w:marRight w:val="0"/>
      <w:marTop w:val="0"/>
      <w:marBottom w:val="0"/>
      <w:divBdr>
        <w:top w:val="none" w:sz="0" w:space="0" w:color="auto"/>
        <w:left w:val="none" w:sz="0" w:space="0" w:color="auto"/>
        <w:bottom w:val="none" w:sz="0" w:space="0" w:color="auto"/>
        <w:right w:val="none" w:sz="0" w:space="0" w:color="auto"/>
      </w:divBdr>
    </w:div>
    <w:div w:id="456949246">
      <w:marLeft w:val="0"/>
      <w:marRight w:val="0"/>
      <w:marTop w:val="0"/>
      <w:marBottom w:val="180"/>
      <w:divBdr>
        <w:top w:val="none" w:sz="0" w:space="0" w:color="auto"/>
        <w:left w:val="none" w:sz="0" w:space="0" w:color="auto"/>
        <w:bottom w:val="none" w:sz="0" w:space="0" w:color="auto"/>
        <w:right w:val="none" w:sz="0" w:space="0" w:color="auto"/>
      </w:divBdr>
    </w:div>
    <w:div w:id="459149682">
      <w:marLeft w:val="0"/>
      <w:marRight w:val="0"/>
      <w:marTop w:val="120"/>
      <w:marBottom w:val="120"/>
      <w:divBdr>
        <w:top w:val="none" w:sz="0" w:space="0" w:color="auto"/>
        <w:left w:val="none" w:sz="0" w:space="0" w:color="auto"/>
        <w:bottom w:val="none" w:sz="0" w:space="0" w:color="auto"/>
        <w:right w:val="none" w:sz="0" w:space="0" w:color="auto"/>
      </w:divBdr>
    </w:div>
    <w:div w:id="460151754">
      <w:marLeft w:val="0"/>
      <w:marRight w:val="0"/>
      <w:marTop w:val="0"/>
      <w:marBottom w:val="240"/>
      <w:divBdr>
        <w:top w:val="none" w:sz="0" w:space="0" w:color="auto"/>
        <w:left w:val="none" w:sz="0" w:space="0" w:color="auto"/>
        <w:bottom w:val="none" w:sz="0" w:space="0" w:color="auto"/>
        <w:right w:val="none" w:sz="0" w:space="0" w:color="auto"/>
      </w:divBdr>
    </w:div>
    <w:div w:id="468594873">
      <w:marLeft w:val="0"/>
      <w:marRight w:val="0"/>
      <w:marTop w:val="0"/>
      <w:marBottom w:val="0"/>
      <w:divBdr>
        <w:top w:val="none" w:sz="0" w:space="0" w:color="auto"/>
        <w:left w:val="none" w:sz="0" w:space="0" w:color="auto"/>
        <w:bottom w:val="none" w:sz="0" w:space="0" w:color="auto"/>
        <w:right w:val="none" w:sz="0" w:space="0" w:color="auto"/>
      </w:divBdr>
      <w:divsChild>
        <w:div w:id="1895700516">
          <w:marLeft w:val="0"/>
          <w:marRight w:val="0"/>
          <w:marTop w:val="0"/>
          <w:marBottom w:val="0"/>
          <w:divBdr>
            <w:top w:val="none" w:sz="0" w:space="0" w:color="auto"/>
            <w:left w:val="none" w:sz="0" w:space="0" w:color="auto"/>
            <w:bottom w:val="none" w:sz="0" w:space="0" w:color="auto"/>
            <w:right w:val="none" w:sz="0" w:space="0" w:color="auto"/>
          </w:divBdr>
        </w:div>
      </w:divsChild>
    </w:div>
    <w:div w:id="469787837">
      <w:marLeft w:val="0"/>
      <w:marRight w:val="0"/>
      <w:marTop w:val="0"/>
      <w:marBottom w:val="180"/>
      <w:divBdr>
        <w:top w:val="none" w:sz="0" w:space="0" w:color="auto"/>
        <w:left w:val="none" w:sz="0" w:space="0" w:color="auto"/>
        <w:bottom w:val="none" w:sz="0" w:space="0" w:color="auto"/>
        <w:right w:val="none" w:sz="0" w:space="0" w:color="auto"/>
      </w:divBdr>
    </w:div>
    <w:div w:id="473449181">
      <w:marLeft w:val="0"/>
      <w:marRight w:val="0"/>
      <w:marTop w:val="0"/>
      <w:marBottom w:val="0"/>
      <w:divBdr>
        <w:top w:val="none" w:sz="0" w:space="0" w:color="auto"/>
        <w:left w:val="none" w:sz="0" w:space="0" w:color="auto"/>
        <w:bottom w:val="none" w:sz="0" w:space="0" w:color="auto"/>
        <w:right w:val="none" w:sz="0" w:space="0" w:color="auto"/>
      </w:divBdr>
      <w:divsChild>
        <w:div w:id="563954453">
          <w:marLeft w:val="0"/>
          <w:marRight w:val="0"/>
          <w:marTop w:val="0"/>
          <w:marBottom w:val="0"/>
          <w:divBdr>
            <w:top w:val="none" w:sz="0" w:space="0" w:color="auto"/>
            <w:left w:val="none" w:sz="0" w:space="0" w:color="auto"/>
            <w:bottom w:val="none" w:sz="0" w:space="0" w:color="auto"/>
            <w:right w:val="none" w:sz="0" w:space="0" w:color="auto"/>
          </w:divBdr>
        </w:div>
      </w:divsChild>
    </w:div>
    <w:div w:id="475029749">
      <w:marLeft w:val="0"/>
      <w:marRight w:val="0"/>
      <w:marTop w:val="180"/>
      <w:marBottom w:val="180"/>
      <w:divBdr>
        <w:top w:val="none" w:sz="0" w:space="0" w:color="auto"/>
        <w:left w:val="none" w:sz="0" w:space="0" w:color="auto"/>
        <w:bottom w:val="none" w:sz="0" w:space="0" w:color="auto"/>
        <w:right w:val="none" w:sz="0" w:space="0" w:color="auto"/>
      </w:divBdr>
    </w:div>
    <w:div w:id="478115497">
      <w:marLeft w:val="0"/>
      <w:marRight w:val="0"/>
      <w:marTop w:val="0"/>
      <w:marBottom w:val="180"/>
      <w:divBdr>
        <w:top w:val="none" w:sz="0" w:space="0" w:color="auto"/>
        <w:left w:val="none" w:sz="0" w:space="0" w:color="auto"/>
        <w:bottom w:val="none" w:sz="0" w:space="0" w:color="auto"/>
        <w:right w:val="none" w:sz="0" w:space="0" w:color="auto"/>
      </w:divBdr>
    </w:div>
    <w:div w:id="481702083">
      <w:marLeft w:val="0"/>
      <w:marRight w:val="0"/>
      <w:marTop w:val="100"/>
      <w:marBottom w:val="0"/>
      <w:divBdr>
        <w:top w:val="none" w:sz="0" w:space="0" w:color="auto"/>
        <w:left w:val="none" w:sz="0" w:space="0" w:color="auto"/>
        <w:bottom w:val="none" w:sz="0" w:space="0" w:color="auto"/>
        <w:right w:val="none" w:sz="0" w:space="0" w:color="auto"/>
      </w:divBdr>
    </w:div>
    <w:div w:id="483014624">
      <w:marLeft w:val="0"/>
      <w:marRight w:val="0"/>
      <w:marTop w:val="180"/>
      <w:marBottom w:val="180"/>
      <w:divBdr>
        <w:top w:val="none" w:sz="0" w:space="0" w:color="auto"/>
        <w:left w:val="none" w:sz="0" w:space="0" w:color="auto"/>
        <w:bottom w:val="none" w:sz="0" w:space="0" w:color="auto"/>
        <w:right w:val="none" w:sz="0" w:space="0" w:color="auto"/>
      </w:divBdr>
    </w:div>
    <w:div w:id="483277139">
      <w:marLeft w:val="0"/>
      <w:marRight w:val="0"/>
      <w:marTop w:val="0"/>
      <w:marBottom w:val="120"/>
      <w:divBdr>
        <w:top w:val="none" w:sz="0" w:space="0" w:color="auto"/>
        <w:left w:val="none" w:sz="0" w:space="0" w:color="auto"/>
        <w:bottom w:val="none" w:sz="0" w:space="0" w:color="auto"/>
        <w:right w:val="none" w:sz="0" w:space="0" w:color="auto"/>
      </w:divBdr>
    </w:div>
    <w:div w:id="484009847">
      <w:marLeft w:val="0"/>
      <w:marRight w:val="0"/>
      <w:marTop w:val="0"/>
      <w:marBottom w:val="240"/>
      <w:divBdr>
        <w:top w:val="none" w:sz="0" w:space="0" w:color="auto"/>
        <w:left w:val="none" w:sz="0" w:space="0" w:color="auto"/>
        <w:bottom w:val="none" w:sz="0" w:space="0" w:color="auto"/>
        <w:right w:val="none" w:sz="0" w:space="0" w:color="auto"/>
      </w:divBdr>
    </w:div>
    <w:div w:id="484904401">
      <w:marLeft w:val="0"/>
      <w:marRight w:val="0"/>
      <w:marTop w:val="180"/>
      <w:marBottom w:val="180"/>
      <w:divBdr>
        <w:top w:val="none" w:sz="0" w:space="0" w:color="auto"/>
        <w:left w:val="none" w:sz="0" w:space="0" w:color="auto"/>
        <w:bottom w:val="none" w:sz="0" w:space="0" w:color="auto"/>
        <w:right w:val="none" w:sz="0" w:space="0" w:color="auto"/>
      </w:divBdr>
    </w:div>
    <w:div w:id="485897555">
      <w:marLeft w:val="0"/>
      <w:marRight w:val="0"/>
      <w:marTop w:val="0"/>
      <w:marBottom w:val="0"/>
      <w:divBdr>
        <w:top w:val="none" w:sz="0" w:space="0" w:color="auto"/>
        <w:left w:val="none" w:sz="0" w:space="0" w:color="auto"/>
        <w:bottom w:val="none" w:sz="0" w:space="0" w:color="auto"/>
        <w:right w:val="none" w:sz="0" w:space="0" w:color="auto"/>
      </w:divBdr>
    </w:div>
    <w:div w:id="487212796">
      <w:marLeft w:val="0"/>
      <w:marRight w:val="0"/>
      <w:marTop w:val="0"/>
      <w:marBottom w:val="240"/>
      <w:divBdr>
        <w:top w:val="none" w:sz="0" w:space="0" w:color="auto"/>
        <w:left w:val="none" w:sz="0" w:space="0" w:color="auto"/>
        <w:bottom w:val="none" w:sz="0" w:space="0" w:color="auto"/>
        <w:right w:val="none" w:sz="0" w:space="0" w:color="auto"/>
      </w:divBdr>
    </w:div>
    <w:div w:id="488987915">
      <w:marLeft w:val="0"/>
      <w:marRight w:val="0"/>
      <w:marTop w:val="0"/>
      <w:marBottom w:val="180"/>
      <w:divBdr>
        <w:top w:val="none" w:sz="0" w:space="0" w:color="auto"/>
        <w:left w:val="none" w:sz="0" w:space="0" w:color="auto"/>
        <w:bottom w:val="none" w:sz="0" w:space="0" w:color="auto"/>
        <w:right w:val="none" w:sz="0" w:space="0" w:color="auto"/>
      </w:divBdr>
    </w:div>
    <w:div w:id="489911214">
      <w:marLeft w:val="0"/>
      <w:marRight w:val="0"/>
      <w:marTop w:val="120"/>
      <w:marBottom w:val="120"/>
      <w:divBdr>
        <w:top w:val="none" w:sz="0" w:space="0" w:color="auto"/>
        <w:left w:val="none" w:sz="0" w:space="0" w:color="auto"/>
        <w:bottom w:val="none" w:sz="0" w:space="0" w:color="auto"/>
        <w:right w:val="none" w:sz="0" w:space="0" w:color="auto"/>
      </w:divBdr>
    </w:div>
    <w:div w:id="492069442">
      <w:marLeft w:val="0"/>
      <w:marRight w:val="0"/>
      <w:marTop w:val="0"/>
      <w:marBottom w:val="0"/>
      <w:divBdr>
        <w:top w:val="none" w:sz="0" w:space="0" w:color="auto"/>
        <w:left w:val="none" w:sz="0" w:space="0" w:color="auto"/>
        <w:bottom w:val="none" w:sz="0" w:space="0" w:color="auto"/>
        <w:right w:val="none" w:sz="0" w:space="0" w:color="auto"/>
      </w:divBdr>
      <w:divsChild>
        <w:div w:id="372313917">
          <w:marLeft w:val="0"/>
          <w:marRight w:val="0"/>
          <w:marTop w:val="0"/>
          <w:marBottom w:val="0"/>
          <w:divBdr>
            <w:top w:val="none" w:sz="0" w:space="0" w:color="auto"/>
            <w:left w:val="none" w:sz="0" w:space="0" w:color="auto"/>
            <w:bottom w:val="none" w:sz="0" w:space="0" w:color="auto"/>
            <w:right w:val="none" w:sz="0" w:space="0" w:color="auto"/>
          </w:divBdr>
        </w:div>
      </w:divsChild>
    </w:div>
    <w:div w:id="492835967">
      <w:marLeft w:val="0"/>
      <w:marRight w:val="0"/>
      <w:marTop w:val="0"/>
      <w:marBottom w:val="0"/>
      <w:divBdr>
        <w:top w:val="none" w:sz="0" w:space="0" w:color="auto"/>
        <w:left w:val="none" w:sz="0" w:space="0" w:color="auto"/>
        <w:bottom w:val="none" w:sz="0" w:space="0" w:color="auto"/>
        <w:right w:val="none" w:sz="0" w:space="0" w:color="auto"/>
      </w:divBdr>
    </w:div>
    <w:div w:id="493304392">
      <w:marLeft w:val="0"/>
      <w:marRight w:val="0"/>
      <w:marTop w:val="0"/>
      <w:marBottom w:val="180"/>
      <w:divBdr>
        <w:top w:val="none" w:sz="0" w:space="0" w:color="auto"/>
        <w:left w:val="none" w:sz="0" w:space="0" w:color="auto"/>
        <w:bottom w:val="none" w:sz="0" w:space="0" w:color="auto"/>
        <w:right w:val="none" w:sz="0" w:space="0" w:color="auto"/>
      </w:divBdr>
    </w:div>
    <w:div w:id="493374294">
      <w:marLeft w:val="0"/>
      <w:marRight w:val="0"/>
      <w:marTop w:val="0"/>
      <w:marBottom w:val="0"/>
      <w:divBdr>
        <w:top w:val="none" w:sz="0" w:space="0" w:color="auto"/>
        <w:left w:val="none" w:sz="0" w:space="0" w:color="auto"/>
        <w:bottom w:val="none" w:sz="0" w:space="0" w:color="auto"/>
        <w:right w:val="none" w:sz="0" w:space="0" w:color="auto"/>
      </w:divBdr>
    </w:div>
    <w:div w:id="495340286">
      <w:marLeft w:val="0"/>
      <w:marRight w:val="0"/>
      <w:marTop w:val="0"/>
      <w:marBottom w:val="0"/>
      <w:divBdr>
        <w:top w:val="none" w:sz="0" w:space="0" w:color="auto"/>
        <w:left w:val="none" w:sz="0" w:space="0" w:color="auto"/>
        <w:bottom w:val="none" w:sz="0" w:space="0" w:color="auto"/>
        <w:right w:val="none" w:sz="0" w:space="0" w:color="auto"/>
      </w:divBdr>
    </w:div>
    <w:div w:id="495536764">
      <w:marLeft w:val="0"/>
      <w:marRight w:val="0"/>
      <w:marTop w:val="0"/>
      <w:marBottom w:val="240"/>
      <w:divBdr>
        <w:top w:val="none" w:sz="0" w:space="0" w:color="auto"/>
        <w:left w:val="none" w:sz="0" w:space="0" w:color="auto"/>
        <w:bottom w:val="none" w:sz="0" w:space="0" w:color="auto"/>
        <w:right w:val="none" w:sz="0" w:space="0" w:color="auto"/>
      </w:divBdr>
    </w:div>
    <w:div w:id="497618593">
      <w:marLeft w:val="0"/>
      <w:marRight w:val="0"/>
      <w:marTop w:val="120"/>
      <w:marBottom w:val="240"/>
      <w:divBdr>
        <w:top w:val="none" w:sz="0" w:space="0" w:color="auto"/>
        <w:left w:val="none" w:sz="0" w:space="0" w:color="auto"/>
        <w:bottom w:val="none" w:sz="0" w:space="0" w:color="auto"/>
        <w:right w:val="none" w:sz="0" w:space="0" w:color="auto"/>
      </w:divBdr>
    </w:div>
    <w:div w:id="497814747">
      <w:marLeft w:val="0"/>
      <w:marRight w:val="0"/>
      <w:marTop w:val="100"/>
      <w:marBottom w:val="0"/>
      <w:divBdr>
        <w:top w:val="none" w:sz="0" w:space="0" w:color="auto"/>
        <w:left w:val="none" w:sz="0" w:space="0" w:color="auto"/>
        <w:bottom w:val="none" w:sz="0" w:space="0" w:color="auto"/>
        <w:right w:val="none" w:sz="0" w:space="0" w:color="auto"/>
      </w:divBdr>
    </w:div>
    <w:div w:id="497883842">
      <w:marLeft w:val="0"/>
      <w:marRight w:val="0"/>
      <w:marTop w:val="0"/>
      <w:marBottom w:val="0"/>
      <w:divBdr>
        <w:top w:val="none" w:sz="0" w:space="0" w:color="auto"/>
        <w:left w:val="none" w:sz="0" w:space="0" w:color="auto"/>
        <w:bottom w:val="none" w:sz="0" w:space="0" w:color="auto"/>
        <w:right w:val="none" w:sz="0" w:space="0" w:color="auto"/>
      </w:divBdr>
    </w:div>
    <w:div w:id="499541686">
      <w:marLeft w:val="0"/>
      <w:marRight w:val="0"/>
      <w:marTop w:val="0"/>
      <w:marBottom w:val="0"/>
      <w:divBdr>
        <w:top w:val="none" w:sz="0" w:space="0" w:color="auto"/>
        <w:left w:val="none" w:sz="0" w:space="0" w:color="auto"/>
        <w:bottom w:val="none" w:sz="0" w:space="0" w:color="auto"/>
        <w:right w:val="none" w:sz="0" w:space="0" w:color="auto"/>
      </w:divBdr>
    </w:div>
    <w:div w:id="501553048">
      <w:marLeft w:val="0"/>
      <w:marRight w:val="0"/>
      <w:marTop w:val="120"/>
      <w:marBottom w:val="120"/>
      <w:divBdr>
        <w:top w:val="none" w:sz="0" w:space="0" w:color="auto"/>
        <w:left w:val="none" w:sz="0" w:space="0" w:color="auto"/>
        <w:bottom w:val="none" w:sz="0" w:space="0" w:color="auto"/>
        <w:right w:val="none" w:sz="0" w:space="0" w:color="auto"/>
      </w:divBdr>
    </w:div>
    <w:div w:id="501825011">
      <w:marLeft w:val="0"/>
      <w:marRight w:val="0"/>
      <w:marTop w:val="0"/>
      <w:marBottom w:val="240"/>
      <w:divBdr>
        <w:top w:val="none" w:sz="0" w:space="0" w:color="auto"/>
        <w:left w:val="none" w:sz="0" w:space="0" w:color="auto"/>
        <w:bottom w:val="none" w:sz="0" w:space="0" w:color="auto"/>
        <w:right w:val="none" w:sz="0" w:space="0" w:color="auto"/>
      </w:divBdr>
    </w:div>
    <w:div w:id="502359154">
      <w:marLeft w:val="0"/>
      <w:marRight w:val="0"/>
      <w:marTop w:val="180"/>
      <w:marBottom w:val="180"/>
      <w:divBdr>
        <w:top w:val="none" w:sz="0" w:space="0" w:color="auto"/>
        <w:left w:val="none" w:sz="0" w:space="0" w:color="auto"/>
        <w:bottom w:val="none" w:sz="0" w:space="0" w:color="auto"/>
        <w:right w:val="none" w:sz="0" w:space="0" w:color="auto"/>
      </w:divBdr>
    </w:div>
    <w:div w:id="503204840">
      <w:marLeft w:val="0"/>
      <w:marRight w:val="0"/>
      <w:marTop w:val="120"/>
      <w:marBottom w:val="120"/>
      <w:divBdr>
        <w:top w:val="none" w:sz="0" w:space="0" w:color="auto"/>
        <w:left w:val="none" w:sz="0" w:space="0" w:color="auto"/>
        <w:bottom w:val="none" w:sz="0" w:space="0" w:color="auto"/>
        <w:right w:val="none" w:sz="0" w:space="0" w:color="auto"/>
      </w:divBdr>
    </w:div>
    <w:div w:id="503862310">
      <w:marLeft w:val="0"/>
      <w:marRight w:val="0"/>
      <w:marTop w:val="0"/>
      <w:marBottom w:val="180"/>
      <w:divBdr>
        <w:top w:val="none" w:sz="0" w:space="0" w:color="auto"/>
        <w:left w:val="none" w:sz="0" w:space="0" w:color="auto"/>
        <w:bottom w:val="none" w:sz="0" w:space="0" w:color="auto"/>
        <w:right w:val="none" w:sz="0" w:space="0" w:color="auto"/>
      </w:divBdr>
    </w:div>
    <w:div w:id="504594387">
      <w:marLeft w:val="0"/>
      <w:marRight w:val="0"/>
      <w:marTop w:val="0"/>
      <w:marBottom w:val="180"/>
      <w:divBdr>
        <w:top w:val="none" w:sz="0" w:space="0" w:color="auto"/>
        <w:left w:val="none" w:sz="0" w:space="0" w:color="auto"/>
        <w:bottom w:val="none" w:sz="0" w:space="0" w:color="auto"/>
        <w:right w:val="none" w:sz="0" w:space="0" w:color="auto"/>
      </w:divBdr>
    </w:div>
    <w:div w:id="504979993">
      <w:marLeft w:val="0"/>
      <w:marRight w:val="0"/>
      <w:marTop w:val="0"/>
      <w:marBottom w:val="0"/>
      <w:divBdr>
        <w:top w:val="none" w:sz="0" w:space="0" w:color="auto"/>
        <w:left w:val="none" w:sz="0" w:space="0" w:color="auto"/>
        <w:bottom w:val="none" w:sz="0" w:space="0" w:color="auto"/>
        <w:right w:val="none" w:sz="0" w:space="0" w:color="auto"/>
      </w:divBdr>
    </w:div>
    <w:div w:id="505511065">
      <w:marLeft w:val="0"/>
      <w:marRight w:val="0"/>
      <w:marTop w:val="0"/>
      <w:marBottom w:val="0"/>
      <w:divBdr>
        <w:top w:val="none" w:sz="0" w:space="0" w:color="auto"/>
        <w:left w:val="none" w:sz="0" w:space="0" w:color="auto"/>
        <w:bottom w:val="none" w:sz="0" w:space="0" w:color="auto"/>
        <w:right w:val="none" w:sz="0" w:space="0" w:color="auto"/>
      </w:divBdr>
    </w:div>
    <w:div w:id="506016171">
      <w:marLeft w:val="0"/>
      <w:marRight w:val="0"/>
      <w:marTop w:val="100"/>
      <w:marBottom w:val="0"/>
      <w:divBdr>
        <w:top w:val="none" w:sz="0" w:space="0" w:color="auto"/>
        <w:left w:val="none" w:sz="0" w:space="0" w:color="auto"/>
        <w:bottom w:val="none" w:sz="0" w:space="0" w:color="auto"/>
        <w:right w:val="none" w:sz="0" w:space="0" w:color="auto"/>
      </w:divBdr>
    </w:div>
    <w:div w:id="506023118">
      <w:marLeft w:val="0"/>
      <w:marRight w:val="0"/>
      <w:marTop w:val="0"/>
      <w:marBottom w:val="240"/>
      <w:divBdr>
        <w:top w:val="none" w:sz="0" w:space="0" w:color="auto"/>
        <w:left w:val="none" w:sz="0" w:space="0" w:color="auto"/>
        <w:bottom w:val="none" w:sz="0" w:space="0" w:color="auto"/>
        <w:right w:val="none" w:sz="0" w:space="0" w:color="auto"/>
      </w:divBdr>
    </w:div>
    <w:div w:id="506091587">
      <w:marLeft w:val="0"/>
      <w:marRight w:val="0"/>
      <w:marTop w:val="120"/>
      <w:marBottom w:val="120"/>
      <w:divBdr>
        <w:top w:val="none" w:sz="0" w:space="0" w:color="auto"/>
        <w:left w:val="none" w:sz="0" w:space="0" w:color="auto"/>
        <w:bottom w:val="none" w:sz="0" w:space="0" w:color="auto"/>
        <w:right w:val="none" w:sz="0" w:space="0" w:color="auto"/>
      </w:divBdr>
    </w:div>
    <w:div w:id="506166923">
      <w:marLeft w:val="0"/>
      <w:marRight w:val="0"/>
      <w:marTop w:val="180"/>
      <w:marBottom w:val="180"/>
      <w:divBdr>
        <w:top w:val="none" w:sz="0" w:space="0" w:color="auto"/>
        <w:left w:val="none" w:sz="0" w:space="0" w:color="auto"/>
        <w:bottom w:val="none" w:sz="0" w:space="0" w:color="auto"/>
        <w:right w:val="none" w:sz="0" w:space="0" w:color="auto"/>
      </w:divBdr>
    </w:div>
    <w:div w:id="506791060">
      <w:marLeft w:val="0"/>
      <w:marRight w:val="0"/>
      <w:marTop w:val="0"/>
      <w:marBottom w:val="240"/>
      <w:divBdr>
        <w:top w:val="none" w:sz="0" w:space="0" w:color="auto"/>
        <w:left w:val="none" w:sz="0" w:space="0" w:color="auto"/>
        <w:bottom w:val="none" w:sz="0" w:space="0" w:color="auto"/>
        <w:right w:val="none" w:sz="0" w:space="0" w:color="auto"/>
      </w:divBdr>
    </w:div>
    <w:div w:id="508184260">
      <w:marLeft w:val="0"/>
      <w:marRight w:val="0"/>
      <w:marTop w:val="0"/>
      <w:marBottom w:val="180"/>
      <w:divBdr>
        <w:top w:val="none" w:sz="0" w:space="0" w:color="auto"/>
        <w:left w:val="none" w:sz="0" w:space="0" w:color="auto"/>
        <w:bottom w:val="none" w:sz="0" w:space="0" w:color="auto"/>
        <w:right w:val="none" w:sz="0" w:space="0" w:color="auto"/>
      </w:divBdr>
    </w:div>
    <w:div w:id="508329475">
      <w:marLeft w:val="0"/>
      <w:marRight w:val="0"/>
      <w:marTop w:val="180"/>
      <w:marBottom w:val="180"/>
      <w:divBdr>
        <w:top w:val="none" w:sz="0" w:space="0" w:color="auto"/>
        <w:left w:val="none" w:sz="0" w:space="0" w:color="auto"/>
        <w:bottom w:val="none" w:sz="0" w:space="0" w:color="auto"/>
        <w:right w:val="none" w:sz="0" w:space="0" w:color="auto"/>
      </w:divBdr>
    </w:div>
    <w:div w:id="509030501">
      <w:marLeft w:val="0"/>
      <w:marRight w:val="0"/>
      <w:marTop w:val="0"/>
      <w:marBottom w:val="240"/>
      <w:divBdr>
        <w:top w:val="none" w:sz="0" w:space="0" w:color="auto"/>
        <w:left w:val="none" w:sz="0" w:space="0" w:color="auto"/>
        <w:bottom w:val="none" w:sz="0" w:space="0" w:color="auto"/>
        <w:right w:val="none" w:sz="0" w:space="0" w:color="auto"/>
      </w:divBdr>
    </w:div>
    <w:div w:id="509561830">
      <w:marLeft w:val="0"/>
      <w:marRight w:val="0"/>
      <w:marTop w:val="0"/>
      <w:marBottom w:val="0"/>
      <w:divBdr>
        <w:top w:val="none" w:sz="0" w:space="0" w:color="auto"/>
        <w:left w:val="none" w:sz="0" w:space="0" w:color="auto"/>
        <w:bottom w:val="none" w:sz="0" w:space="0" w:color="auto"/>
        <w:right w:val="none" w:sz="0" w:space="0" w:color="auto"/>
      </w:divBdr>
    </w:div>
    <w:div w:id="511341228">
      <w:marLeft w:val="0"/>
      <w:marRight w:val="0"/>
      <w:marTop w:val="100"/>
      <w:marBottom w:val="0"/>
      <w:divBdr>
        <w:top w:val="none" w:sz="0" w:space="0" w:color="auto"/>
        <w:left w:val="none" w:sz="0" w:space="0" w:color="auto"/>
        <w:bottom w:val="none" w:sz="0" w:space="0" w:color="auto"/>
        <w:right w:val="none" w:sz="0" w:space="0" w:color="auto"/>
      </w:divBdr>
    </w:div>
    <w:div w:id="514268855">
      <w:marLeft w:val="0"/>
      <w:marRight w:val="0"/>
      <w:marTop w:val="140"/>
      <w:marBottom w:val="240"/>
      <w:divBdr>
        <w:top w:val="none" w:sz="0" w:space="0" w:color="auto"/>
        <w:left w:val="none" w:sz="0" w:space="0" w:color="auto"/>
        <w:bottom w:val="none" w:sz="0" w:space="0" w:color="auto"/>
        <w:right w:val="none" w:sz="0" w:space="0" w:color="auto"/>
      </w:divBdr>
    </w:div>
    <w:div w:id="514538552">
      <w:marLeft w:val="0"/>
      <w:marRight w:val="0"/>
      <w:marTop w:val="0"/>
      <w:marBottom w:val="240"/>
      <w:divBdr>
        <w:top w:val="none" w:sz="0" w:space="0" w:color="auto"/>
        <w:left w:val="none" w:sz="0" w:space="0" w:color="auto"/>
        <w:bottom w:val="none" w:sz="0" w:space="0" w:color="auto"/>
        <w:right w:val="none" w:sz="0" w:space="0" w:color="auto"/>
      </w:divBdr>
    </w:div>
    <w:div w:id="514659084">
      <w:marLeft w:val="0"/>
      <w:marRight w:val="0"/>
      <w:marTop w:val="120"/>
      <w:marBottom w:val="120"/>
      <w:divBdr>
        <w:top w:val="none" w:sz="0" w:space="0" w:color="auto"/>
        <w:left w:val="none" w:sz="0" w:space="0" w:color="auto"/>
        <w:bottom w:val="none" w:sz="0" w:space="0" w:color="auto"/>
        <w:right w:val="none" w:sz="0" w:space="0" w:color="auto"/>
      </w:divBdr>
    </w:div>
    <w:div w:id="516820764">
      <w:marLeft w:val="0"/>
      <w:marRight w:val="0"/>
      <w:marTop w:val="180"/>
      <w:marBottom w:val="180"/>
      <w:divBdr>
        <w:top w:val="none" w:sz="0" w:space="0" w:color="auto"/>
        <w:left w:val="none" w:sz="0" w:space="0" w:color="auto"/>
        <w:bottom w:val="none" w:sz="0" w:space="0" w:color="auto"/>
        <w:right w:val="none" w:sz="0" w:space="0" w:color="auto"/>
      </w:divBdr>
    </w:div>
    <w:div w:id="520701140">
      <w:marLeft w:val="0"/>
      <w:marRight w:val="0"/>
      <w:marTop w:val="0"/>
      <w:marBottom w:val="0"/>
      <w:divBdr>
        <w:top w:val="none" w:sz="0" w:space="0" w:color="auto"/>
        <w:left w:val="none" w:sz="0" w:space="0" w:color="auto"/>
        <w:bottom w:val="none" w:sz="0" w:space="0" w:color="auto"/>
        <w:right w:val="none" w:sz="0" w:space="0" w:color="auto"/>
      </w:divBdr>
      <w:divsChild>
        <w:div w:id="1420709457">
          <w:marLeft w:val="0"/>
          <w:marRight w:val="0"/>
          <w:marTop w:val="0"/>
          <w:marBottom w:val="0"/>
          <w:divBdr>
            <w:top w:val="none" w:sz="0" w:space="0" w:color="auto"/>
            <w:left w:val="none" w:sz="0" w:space="0" w:color="auto"/>
            <w:bottom w:val="none" w:sz="0" w:space="0" w:color="auto"/>
            <w:right w:val="none" w:sz="0" w:space="0" w:color="auto"/>
          </w:divBdr>
        </w:div>
      </w:divsChild>
    </w:div>
    <w:div w:id="521940722">
      <w:marLeft w:val="0"/>
      <w:marRight w:val="0"/>
      <w:marTop w:val="0"/>
      <w:marBottom w:val="0"/>
      <w:divBdr>
        <w:top w:val="none" w:sz="0" w:space="0" w:color="auto"/>
        <w:left w:val="none" w:sz="0" w:space="0" w:color="auto"/>
        <w:bottom w:val="none" w:sz="0" w:space="0" w:color="auto"/>
        <w:right w:val="none" w:sz="0" w:space="0" w:color="auto"/>
      </w:divBdr>
    </w:div>
    <w:div w:id="522401701">
      <w:marLeft w:val="0"/>
      <w:marRight w:val="0"/>
      <w:marTop w:val="60"/>
      <w:marBottom w:val="120"/>
      <w:divBdr>
        <w:top w:val="none" w:sz="0" w:space="0" w:color="auto"/>
        <w:left w:val="none" w:sz="0" w:space="0" w:color="auto"/>
        <w:bottom w:val="none" w:sz="0" w:space="0" w:color="auto"/>
        <w:right w:val="none" w:sz="0" w:space="0" w:color="auto"/>
      </w:divBdr>
    </w:div>
    <w:div w:id="524178433">
      <w:marLeft w:val="0"/>
      <w:marRight w:val="0"/>
      <w:marTop w:val="180"/>
      <w:marBottom w:val="180"/>
      <w:divBdr>
        <w:top w:val="none" w:sz="0" w:space="0" w:color="auto"/>
        <w:left w:val="none" w:sz="0" w:space="0" w:color="auto"/>
        <w:bottom w:val="none" w:sz="0" w:space="0" w:color="auto"/>
        <w:right w:val="none" w:sz="0" w:space="0" w:color="auto"/>
      </w:divBdr>
    </w:div>
    <w:div w:id="524443061">
      <w:marLeft w:val="0"/>
      <w:marRight w:val="0"/>
      <w:marTop w:val="0"/>
      <w:marBottom w:val="0"/>
      <w:divBdr>
        <w:top w:val="none" w:sz="0" w:space="0" w:color="auto"/>
        <w:left w:val="none" w:sz="0" w:space="0" w:color="auto"/>
        <w:bottom w:val="none" w:sz="0" w:space="0" w:color="auto"/>
        <w:right w:val="none" w:sz="0" w:space="0" w:color="auto"/>
      </w:divBdr>
      <w:divsChild>
        <w:div w:id="661926926">
          <w:marLeft w:val="0"/>
          <w:marRight w:val="0"/>
          <w:marTop w:val="0"/>
          <w:marBottom w:val="0"/>
          <w:divBdr>
            <w:top w:val="none" w:sz="0" w:space="0" w:color="auto"/>
            <w:left w:val="none" w:sz="0" w:space="0" w:color="auto"/>
            <w:bottom w:val="none" w:sz="0" w:space="0" w:color="auto"/>
            <w:right w:val="none" w:sz="0" w:space="0" w:color="auto"/>
          </w:divBdr>
        </w:div>
        <w:div w:id="197397092">
          <w:marLeft w:val="0"/>
          <w:marRight w:val="0"/>
          <w:marTop w:val="0"/>
          <w:marBottom w:val="0"/>
          <w:divBdr>
            <w:top w:val="none" w:sz="0" w:space="0" w:color="auto"/>
            <w:left w:val="none" w:sz="0" w:space="0" w:color="auto"/>
            <w:bottom w:val="none" w:sz="0" w:space="0" w:color="auto"/>
            <w:right w:val="none" w:sz="0" w:space="0" w:color="auto"/>
          </w:divBdr>
        </w:div>
      </w:divsChild>
    </w:div>
    <w:div w:id="524833429">
      <w:marLeft w:val="0"/>
      <w:marRight w:val="0"/>
      <w:marTop w:val="0"/>
      <w:marBottom w:val="240"/>
      <w:divBdr>
        <w:top w:val="none" w:sz="0" w:space="0" w:color="auto"/>
        <w:left w:val="none" w:sz="0" w:space="0" w:color="auto"/>
        <w:bottom w:val="none" w:sz="0" w:space="0" w:color="auto"/>
        <w:right w:val="none" w:sz="0" w:space="0" w:color="auto"/>
      </w:divBdr>
    </w:div>
    <w:div w:id="525169383">
      <w:marLeft w:val="0"/>
      <w:marRight w:val="0"/>
      <w:marTop w:val="0"/>
      <w:marBottom w:val="180"/>
      <w:divBdr>
        <w:top w:val="none" w:sz="0" w:space="0" w:color="auto"/>
        <w:left w:val="none" w:sz="0" w:space="0" w:color="auto"/>
        <w:bottom w:val="none" w:sz="0" w:space="0" w:color="auto"/>
        <w:right w:val="none" w:sz="0" w:space="0" w:color="auto"/>
      </w:divBdr>
    </w:div>
    <w:div w:id="525876584">
      <w:marLeft w:val="0"/>
      <w:marRight w:val="0"/>
      <w:marTop w:val="0"/>
      <w:marBottom w:val="0"/>
      <w:divBdr>
        <w:top w:val="none" w:sz="0" w:space="0" w:color="auto"/>
        <w:left w:val="none" w:sz="0" w:space="0" w:color="auto"/>
        <w:bottom w:val="none" w:sz="0" w:space="0" w:color="auto"/>
        <w:right w:val="none" w:sz="0" w:space="0" w:color="auto"/>
      </w:divBdr>
      <w:divsChild>
        <w:div w:id="1766151615">
          <w:marLeft w:val="0"/>
          <w:marRight w:val="0"/>
          <w:marTop w:val="0"/>
          <w:marBottom w:val="0"/>
          <w:divBdr>
            <w:top w:val="none" w:sz="0" w:space="0" w:color="auto"/>
            <w:left w:val="none" w:sz="0" w:space="0" w:color="auto"/>
            <w:bottom w:val="none" w:sz="0" w:space="0" w:color="auto"/>
            <w:right w:val="none" w:sz="0" w:space="0" w:color="auto"/>
          </w:divBdr>
        </w:div>
      </w:divsChild>
    </w:div>
    <w:div w:id="528379043">
      <w:marLeft w:val="0"/>
      <w:marRight w:val="0"/>
      <w:marTop w:val="0"/>
      <w:marBottom w:val="180"/>
      <w:divBdr>
        <w:top w:val="none" w:sz="0" w:space="0" w:color="auto"/>
        <w:left w:val="none" w:sz="0" w:space="0" w:color="auto"/>
        <w:bottom w:val="none" w:sz="0" w:space="0" w:color="auto"/>
        <w:right w:val="none" w:sz="0" w:space="0" w:color="auto"/>
      </w:divBdr>
    </w:div>
    <w:div w:id="529729345">
      <w:marLeft w:val="0"/>
      <w:marRight w:val="0"/>
      <w:marTop w:val="0"/>
      <w:marBottom w:val="240"/>
      <w:divBdr>
        <w:top w:val="none" w:sz="0" w:space="0" w:color="auto"/>
        <w:left w:val="none" w:sz="0" w:space="0" w:color="auto"/>
        <w:bottom w:val="none" w:sz="0" w:space="0" w:color="auto"/>
        <w:right w:val="none" w:sz="0" w:space="0" w:color="auto"/>
      </w:divBdr>
    </w:div>
    <w:div w:id="530260692">
      <w:marLeft w:val="0"/>
      <w:marRight w:val="0"/>
      <w:marTop w:val="120"/>
      <w:marBottom w:val="120"/>
      <w:divBdr>
        <w:top w:val="none" w:sz="0" w:space="0" w:color="auto"/>
        <w:left w:val="none" w:sz="0" w:space="0" w:color="auto"/>
        <w:bottom w:val="none" w:sz="0" w:space="0" w:color="auto"/>
        <w:right w:val="none" w:sz="0" w:space="0" w:color="auto"/>
      </w:divBdr>
    </w:div>
    <w:div w:id="530336948">
      <w:marLeft w:val="0"/>
      <w:marRight w:val="0"/>
      <w:marTop w:val="100"/>
      <w:marBottom w:val="0"/>
      <w:divBdr>
        <w:top w:val="none" w:sz="0" w:space="0" w:color="auto"/>
        <w:left w:val="none" w:sz="0" w:space="0" w:color="auto"/>
        <w:bottom w:val="none" w:sz="0" w:space="0" w:color="auto"/>
        <w:right w:val="none" w:sz="0" w:space="0" w:color="auto"/>
      </w:divBdr>
    </w:div>
    <w:div w:id="532620207">
      <w:marLeft w:val="0"/>
      <w:marRight w:val="0"/>
      <w:marTop w:val="0"/>
      <w:marBottom w:val="0"/>
      <w:divBdr>
        <w:top w:val="none" w:sz="0" w:space="0" w:color="auto"/>
        <w:left w:val="none" w:sz="0" w:space="0" w:color="auto"/>
        <w:bottom w:val="none" w:sz="0" w:space="0" w:color="auto"/>
        <w:right w:val="none" w:sz="0" w:space="0" w:color="auto"/>
      </w:divBdr>
    </w:div>
    <w:div w:id="534273591">
      <w:marLeft w:val="0"/>
      <w:marRight w:val="0"/>
      <w:marTop w:val="180"/>
      <w:marBottom w:val="180"/>
      <w:divBdr>
        <w:top w:val="none" w:sz="0" w:space="0" w:color="auto"/>
        <w:left w:val="none" w:sz="0" w:space="0" w:color="auto"/>
        <w:bottom w:val="none" w:sz="0" w:space="0" w:color="auto"/>
        <w:right w:val="none" w:sz="0" w:space="0" w:color="auto"/>
      </w:divBdr>
    </w:div>
    <w:div w:id="537158550">
      <w:marLeft w:val="0"/>
      <w:marRight w:val="0"/>
      <w:marTop w:val="0"/>
      <w:marBottom w:val="0"/>
      <w:divBdr>
        <w:top w:val="none" w:sz="0" w:space="0" w:color="auto"/>
        <w:left w:val="none" w:sz="0" w:space="0" w:color="auto"/>
        <w:bottom w:val="none" w:sz="0" w:space="0" w:color="auto"/>
        <w:right w:val="none" w:sz="0" w:space="0" w:color="auto"/>
      </w:divBdr>
    </w:div>
    <w:div w:id="537396186">
      <w:marLeft w:val="0"/>
      <w:marRight w:val="0"/>
      <w:marTop w:val="0"/>
      <w:marBottom w:val="180"/>
      <w:divBdr>
        <w:top w:val="none" w:sz="0" w:space="0" w:color="auto"/>
        <w:left w:val="none" w:sz="0" w:space="0" w:color="auto"/>
        <w:bottom w:val="none" w:sz="0" w:space="0" w:color="auto"/>
        <w:right w:val="none" w:sz="0" w:space="0" w:color="auto"/>
      </w:divBdr>
    </w:div>
    <w:div w:id="538275509">
      <w:marLeft w:val="0"/>
      <w:marRight w:val="0"/>
      <w:marTop w:val="0"/>
      <w:marBottom w:val="0"/>
      <w:divBdr>
        <w:top w:val="none" w:sz="0" w:space="0" w:color="auto"/>
        <w:left w:val="none" w:sz="0" w:space="0" w:color="auto"/>
        <w:bottom w:val="none" w:sz="0" w:space="0" w:color="auto"/>
        <w:right w:val="none" w:sz="0" w:space="0" w:color="auto"/>
      </w:divBdr>
    </w:div>
    <w:div w:id="540634190">
      <w:marLeft w:val="0"/>
      <w:marRight w:val="0"/>
      <w:marTop w:val="0"/>
      <w:marBottom w:val="180"/>
      <w:divBdr>
        <w:top w:val="none" w:sz="0" w:space="0" w:color="auto"/>
        <w:left w:val="none" w:sz="0" w:space="0" w:color="auto"/>
        <w:bottom w:val="none" w:sz="0" w:space="0" w:color="auto"/>
        <w:right w:val="none" w:sz="0" w:space="0" w:color="auto"/>
      </w:divBdr>
    </w:div>
    <w:div w:id="542206024">
      <w:marLeft w:val="0"/>
      <w:marRight w:val="0"/>
      <w:marTop w:val="0"/>
      <w:marBottom w:val="0"/>
      <w:divBdr>
        <w:top w:val="none" w:sz="0" w:space="0" w:color="auto"/>
        <w:left w:val="none" w:sz="0" w:space="0" w:color="auto"/>
        <w:bottom w:val="none" w:sz="0" w:space="0" w:color="auto"/>
        <w:right w:val="none" w:sz="0" w:space="0" w:color="auto"/>
      </w:divBdr>
      <w:divsChild>
        <w:div w:id="713383360">
          <w:marLeft w:val="0"/>
          <w:marRight w:val="0"/>
          <w:marTop w:val="0"/>
          <w:marBottom w:val="0"/>
          <w:divBdr>
            <w:top w:val="none" w:sz="0" w:space="0" w:color="auto"/>
            <w:left w:val="none" w:sz="0" w:space="0" w:color="auto"/>
            <w:bottom w:val="none" w:sz="0" w:space="0" w:color="auto"/>
            <w:right w:val="none" w:sz="0" w:space="0" w:color="auto"/>
          </w:divBdr>
        </w:div>
      </w:divsChild>
    </w:div>
    <w:div w:id="542450828">
      <w:marLeft w:val="0"/>
      <w:marRight w:val="0"/>
      <w:marTop w:val="0"/>
      <w:marBottom w:val="0"/>
      <w:divBdr>
        <w:top w:val="none" w:sz="0" w:space="0" w:color="auto"/>
        <w:left w:val="none" w:sz="0" w:space="0" w:color="auto"/>
        <w:bottom w:val="none" w:sz="0" w:space="0" w:color="auto"/>
        <w:right w:val="none" w:sz="0" w:space="0" w:color="auto"/>
      </w:divBdr>
      <w:divsChild>
        <w:div w:id="2144812724">
          <w:marLeft w:val="0"/>
          <w:marRight w:val="0"/>
          <w:marTop w:val="0"/>
          <w:marBottom w:val="0"/>
          <w:divBdr>
            <w:top w:val="none" w:sz="0" w:space="0" w:color="auto"/>
            <w:left w:val="none" w:sz="0" w:space="0" w:color="auto"/>
            <w:bottom w:val="none" w:sz="0" w:space="0" w:color="auto"/>
            <w:right w:val="none" w:sz="0" w:space="0" w:color="auto"/>
          </w:divBdr>
        </w:div>
      </w:divsChild>
    </w:div>
    <w:div w:id="543911369">
      <w:marLeft w:val="0"/>
      <w:marRight w:val="0"/>
      <w:marTop w:val="180"/>
      <w:marBottom w:val="180"/>
      <w:divBdr>
        <w:top w:val="none" w:sz="0" w:space="0" w:color="auto"/>
        <w:left w:val="none" w:sz="0" w:space="0" w:color="auto"/>
        <w:bottom w:val="none" w:sz="0" w:space="0" w:color="auto"/>
        <w:right w:val="none" w:sz="0" w:space="0" w:color="auto"/>
      </w:divBdr>
    </w:div>
    <w:div w:id="545259663">
      <w:marLeft w:val="0"/>
      <w:marRight w:val="0"/>
      <w:marTop w:val="0"/>
      <w:marBottom w:val="0"/>
      <w:divBdr>
        <w:top w:val="none" w:sz="0" w:space="0" w:color="auto"/>
        <w:left w:val="none" w:sz="0" w:space="0" w:color="auto"/>
        <w:bottom w:val="none" w:sz="0" w:space="0" w:color="auto"/>
        <w:right w:val="none" w:sz="0" w:space="0" w:color="auto"/>
      </w:divBdr>
    </w:div>
    <w:div w:id="545416215">
      <w:marLeft w:val="0"/>
      <w:marRight w:val="0"/>
      <w:marTop w:val="0"/>
      <w:marBottom w:val="180"/>
      <w:divBdr>
        <w:top w:val="none" w:sz="0" w:space="0" w:color="auto"/>
        <w:left w:val="none" w:sz="0" w:space="0" w:color="auto"/>
        <w:bottom w:val="none" w:sz="0" w:space="0" w:color="auto"/>
        <w:right w:val="none" w:sz="0" w:space="0" w:color="auto"/>
      </w:divBdr>
    </w:div>
    <w:div w:id="545534723">
      <w:marLeft w:val="0"/>
      <w:marRight w:val="0"/>
      <w:marTop w:val="0"/>
      <w:marBottom w:val="180"/>
      <w:divBdr>
        <w:top w:val="none" w:sz="0" w:space="0" w:color="auto"/>
        <w:left w:val="none" w:sz="0" w:space="0" w:color="auto"/>
        <w:bottom w:val="none" w:sz="0" w:space="0" w:color="auto"/>
        <w:right w:val="none" w:sz="0" w:space="0" w:color="auto"/>
      </w:divBdr>
    </w:div>
    <w:div w:id="554047848">
      <w:marLeft w:val="0"/>
      <w:marRight w:val="0"/>
      <w:marTop w:val="0"/>
      <w:marBottom w:val="240"/>
      <w:divBdr>
        <w:top w:val="none" w:sz="0" w:space="0" w:color="auto"/>
        <w:left w:val="none" w:sz="0" w:space="0" w:color="auto"/>
        <w:bottom w:val="none" w:sz="0" w:space="0" w:color="auto"/>
        <w:right w:val="none" w:sz="0" w:space="0" w:color="auto"/>
      </w:divBdr>
    </w:div>
    <w:div w:id="556282192">
      <w:marLeft w:val="0"/>
      <w:marRight w:val="0"/>
      <w:marTop w:val="100"/>
      <w:marBottom w:val="0"/>
      <w:divBdr>
        <w:top w:val="none" w:sz="0" w:space="0" w:color="auto"/>
        <w:left w:val="none" w:sz="0" w:space="0" w:color="auto"/>
        <w:bottom w:val="none" w:sz="0" w:space="0" w:color="auto"/>
        <w:right w:val="none" w:sz="0" w:space="0" w:color="auto"/>
      </w:divBdr>
      <w:divsChild>
        <w:div w:id="266279688">
          <w:marLeft w:val="0"/>
          <w:marRight w:val="0"/>
          <w:marTop w:val="0"/>
          <w:marBottom w:val="0"/>
          <w:divBdr>
            <w:top w:val="none" w:sz="0" w:space="0" w:color="auto"/>
            <w:left w:val="none" w:sz="0" w:space="0" w:color="auto"/>
            <w:bottom w:val="none" w:sz="0" w:space="0" w:color="auto"/>
            <w:right w:val="none" w:sz="0" w:space="0" w:color="auto"/>
          </w:divBdr>
        </w:div>
      </w:divsChild>
    </w:div>
    <w:div w:id="557862138">
      <w:marLeft w:val="0"/>
      <w:marRight w:val="0"/>
      <w:marTop w:val="0"/>
      <w:marBottom w:val="0"/>
      <w:divBdr>
        <w:top w:val="none" w:sz="0" w:space="0" w:color="auto"/>
        <w:left w:val="none" w:sz="0" w:space="0" w:color="auto"/>
        <w:bottom w:val="none" w:sz="0" w:space="0" w:color="auto"/>
        <w:right w:val="none" w:sz="0" w:space="0" w:color="auto"/>
      </w:divBdr>
      <w:divsChild>
        <w:div w:id="1266419177">
          <w:marLeft w:val="0"/>
          <w:marRight w:val="0"/>
          <w:marTop w:val="0"/>
          <w:marBottom w:val="0"/>
          <w:divBdr>
            <w:top w:val="none" w:sz="0" w:space="0" w:color="auto"/>
            <w:left w:val="none" w:sz="0" w:space="0" w:color="auto"/>
            <w:bottom w:val="none" w:sz="0" w:space="0" w:color="auto"/>
            <w:right w:val="none" w:sz="0" w:space="0" w:color="auto"/>
          </w:divBdr>
        </w:div>
        <w:div w:id="1319305544">
          <w:marLeft w:val="0"/>
          <w:marRight w:val="0"/>
          <w:marTop w:val="0"/>
          <w:marBottom w:val="0"/>
          <w:divBdr>
            <w:top w:val="none" w:sz="0" w:space="0" w:color="auto"/>
            <w:left w:val="none" w:sz="0" w:space="0" w:color="auto"/>
            <w:bottom w:val="none" w:sz="0" w:space="0" w:color="auto"/>
            <w:right w:val="none" w:sz="0" w:space="0" w:color="auto"/>
          </w:divBdr>
        </w:div>
      </w:divsChild>
    </w:div>
    <w:div w:id="560989765">
      <w:marLeft w:val="0"/>
      <w:marRight w:val="0"/>
      <w:marTop w:val="120"/>
      <w:marBottom w:val="120"/>
      <w:divBdr>
        <w:top w:val="none" w:sz="0" w:space="0" w:color="auto"/>
        <w:left w:val="none" w:sz="0" w:space="0" w:color="auto"/>
        <w:bottom w:val="none" w:sz="0" w:space="0" w:color="auto"/>
        <w:right w:val="none" w:sz="0" w:space="0" w:color="auto"/>
      </w:divBdr>
    </w:div>
    <w:div w:id="561409833">
      <w:marLeft w:val="0"/>
      <w:marRight w:val="0"/>
      <w:marTop w:val="120"/>
      <w:marBottom w:val="240"/>
      <w:divBdr>
        <w:top w:val="none" w:sz="0" w:space="0" w:color="auto"/>
        <w:left w:val="none" w:sz="0" w:space="0" w:color="auto"/>
        <w:bottom w:val="none" w:sz="0" w:space="0" w:color="auto"/>
        <w:right w:val="none" w:sz="0" w:space="0" w:color="auto"/>
      </w:divBdr>
    </w:div>
    <w:div w:id="561450173">
      <w:marLeft w:val="0"/>
      <w:marRight w:val="0"/>
      <w:marTop w:val="0"/>
      <w:marBottom w:val="0"/>
      <w:divBdr>
        <w:top w:val="none" w:sz="0" w:space="0" w:color="auto"/>
        <w:left w:val="none" w:sz="0" w:space="0" w:color="auto"/>
        <w:bottom w:val="none" w:sz="0" w:space="0" w:color="auto"/>
        <w:right w:val="none" w:sz="0" w:space="0" w:color="auto"/>
      </w:divBdr>
      <w:divsChild>
        <w:div w:id="2142652014">
          <w:marLeft w:val="0"/>
          <w:marRight w:val="0"/>
          <w:marTop w:val="0"/>
          <w:marBottom w:val="0"/>
          <w:divBdr>
            <w:top w:val="none" w:sz="0" w:space="0" w:color="auto"/>
            <w:left w:val="none" w:sz="0" w:space="0" w:color="auto"/>
            <w:bottom w:val="none" w:sz="0" w:space="0" w:color="auto"/>
            <w:right w:val="none" w:sz="0" w:space="0" w:color="auto"/>
          </w:divBdr>
        </w:div>
        <w:div w:id="297302986">
          <w:marLeft w:val="0"/>
          <w:marRight w:val="0"/>
          <w:marTop w:val="0"/>
          <w:marBottom w:val="0"/>
          <w:divBdr>
            <w:top w:val="none" w:sz="0" w:space="0" w:color="auto"/>
            <w:left w:val="none" w:sz="0" w:space="0" w:color="auto"/>
            <w:bottom w:val="none" w:sz="0" w:space="0" w:color="auto"/>
            <w:right w:val="none" w:sz="0" w:space="0" w:color="auto"/>
          </w:divBdr>
        </w:div>
      </w:divsChild>
    </w:div>
    <w:div w:id="561646969">
      <w:marLeft w:val="0"/>
      <w:marRight w:val="0"/>
      <w:marTop w:val="0"/>
      <w:marBottom w:val="180"/>
      <w:divBdr>
        <w:top w:val="none" w:sz="0" w:space="0" w:color="auto"/>
        <w:left w:val="none" w:sz="0" w:space="0" w:color="auto"/>
        <w:bottom w:val="none" w:sz="0" w:space="0" w:color="auto"/>
        <w:right w:val="none" w:sz="0" w:space="0" w:color="auto"/>
      </w:divBdr>
    </w:div>
    <w:div w:id="563687831">
      <w:marLeft w:val="0"/>
      <w:marRight w:val="0"/>
      <w:marTop w:val="180"/>
      <w:marBottom w:val="180"/>
      <w:divBdr>
        <w:top w:val="none" w:sz="0" w:space="0" w:color="auto"/>
        <w:left w:val="none" w:sz="0" w:space="0" w:color="auto"/>
        <w:bottom w:val="none" w:sz="0" w:space="0" w:color="auto"/>
        <w:right w:val="none" w:sz="0" w:space="0" w:color="auto"/>
      </w:divBdr>
    </w:div>
    <w:div w:id="565725349">
      <w:marLeft w:val="0"/>
      <w:marRight w:val="0"/>
      <w:marTop w:val="0"/>
      <w:marBottom w:val="0"/>
      <w:divBdr>
        <w:top w:val="none" w:sz="0" w:space="0" w:color="auto"/>
        <w:left w:val="none" w:sz="0" w:space="0" w:color="auto"/>
        <w:bottom w:val="none" w:sz="0" w:space="0" w:color="auto"/>
        <w:right w:val="none" w:sz="0" w:space="0" w:color="auto"/>
      </w:divBdr>
      <w:divsChild>
        <w:div w:id="1816220929">
          <w:marLeft w:val="0"/>
          <w:marRight w:val="0"/>
          <w:marTop w:val="0"/>
          <w:marBottom w:val="0"/>
          <w:divBdr>
            <w:top w:val="none" w:sz="0" w:space="0" w:color="auto"/>
            <w:left w:val="none" w:sz="0" w:space="0" w:color="auto"/>
            <w:bottom w:val="none" w:sz="0" w:space="0" w:color="auto"/>
            <w:right w:val="none" w:sz="0" w:space="0" w:color="auto"/>
          </w:divBdr>
        </w:div>
      </w:divsChild>
    </w:div>
    <w:div w:id="567151024">
      <w:marLeft w:val="0"/>
      <w:marRight w:val="0"/>
      <w:marTop w:val="0"/>
      <w:marBottom w:val="180"/>
      <w:divBdr>
        <w:top w:val="none" w:sz="0" w:space="0" w:color="auto"/>
        <w:left w:val="none" w:sz="0" w:space="0" w:color="auto"/>
        <w:bottom w:val="none" w:sz="0" w:space="0" w:color="auto"/>
        <w:right w:val="none" w:sz="0" w:space="0" w:color="auto"/>
      </w:divBdr>
    </w:div>
    <w:div w:id="570233400">
      <w:marLeft w:val="0"/>
      <w:marRight w:val="0"/>
      <w:marTop w:val="120"/>
      <w:marBottom w:val="120"/>
      <w:divBdr>
        <w:top w:val="none" w:sz="0" w:space="0" w:color="auto"/>
        <w:left w:val="none" w:sz="0" w:space="0" w:color="auto"/>
        <w:bottom w:val="none" w:sz="0" w:space="0" w:color="auto"/>
        <w:right w:val="none" w:sz="0" w:space="0" w:color="auto"/>
      </w:divBdr>
    </w:div>
    <w:div w:id="570237777">
      <w:marLeft w:val="0"/>
      <w:marRight w:val="0"/>
      <w:marTop w:val="180"/>
      <w:marBottom w:val="180"/>
      <w:divBdr>
        <w:top w:val="none" w:sz="0" w:space="0" w:color="auto"/>
        <w:left w:val="none" w:sz="0" w:space="0" w:color="auto"/>
        <w:bottom w:val="none" w:sz="0" w:space="0" w:color="auto"/>
        <w:right w:val="none" w:sz="0" w:space="0" w:color="auto"/>
      </w:divBdr>
    </w:div>
    <w:div w:id="572397587">
      <w:marLeft w:val="0"/>
      <w:marRight w:val="0"/>
      <w:marTop w:val="0"/>
      <w:marBottom w:val="180"/>
      <w:divBdr>
        <w:top w:val="none" w:sz="0" w:space="0" w:color="auto"/>
        <w:left w:val="none" w:sz="0" w:space="0" w:color="auto"/>
        <w:bottom w:val="none" w:sz="0" w:space="0" w:color="auto"/>
        <w:right w:val="none" w:sz="0" w:space="0" w:color="auto"/>
      </w:divBdr>
    </w:div>
    <w:div w:id="572852947">
      <w:marLeft w:val="0"/>
      <w:marRight w:val="0"/>
      <w:marTop w:val="0"/>
      <w:marBottom w:val="0"/>
      <w:divBdr>
        <w:top w:val="none" w:sz="0" w:space="0" w:color="auto"/>
        <w:left w:val="none" w:sz="0" w:space="0" w:color="auto"/>
        <w:bottom w:val="none" w:sz="0" w:space="0" w:color="auto"/>
        <w:right w:val="none" w:sz="0" w:space="0" w:color="auto"/>
      </w:divBdr>
    </w:div>
    <w:div w:id="573900042">
      <w:marLeft w:val="0"/>
      <w:marRight w:val="0"/>
      <w:marTop w:val="0"/>
      <w:marBottom w:val="0"/>
      <w:divBdr>
        <w:top w:val="none" w:sz="0" w:space="0" w:color="auto"/>
        <w:left w:val="none" w:sz="0" w:space="0" w:color="auto"/>
        <w:bottom w:val="none" w:sz="0" w:space="0" w:color="auto"/>
        <w:right w:val="none" w:sz="0" w:space="0" w:color="auto"/>
      </w:divBdr>
    </w:div>
    <w:div w:id="577909389">
      <w:marLeft w:val="0"/>
      <w:marRight w:val="0"/>
      <w:marTop w:val="0"/>
      <w:marBottom w:val="0"/>
      <w:divBdr>
        <w:top w:val="none" w:sz="0" w:space="0" w:color="auto"/>
        <w:left w:val="none" w:sz="0" w:space="0" w:color="auto"/>
        <w:bottom w:val="none" w:sz="0" w:space="0" w:color="auto"/>
        <w:right w:val="none" w:sz="0" w:space="0" w:color="auto"/>
      </w:divBdr>
      <w:divsChild>
        <w:div w:id="1067610768">
          <w:marLeft w:val="0"/>
          <w:marRight w:val="0"/>
          <w:marTop w:val="0"/>
          <w:marBottom w:val="0"/>
          <w:divBdr>
            <w:top w:val="none" w:sz="0" w:space="0" w:color="auto"/>
            <w:left w:val="none" w:sz="0" w:space="0" w:color="auto"/>
            <w:bottom w:val="none" w:sz="0" w:space="0" w:color="auto"/>
            <w:right w:val="none" w:sz="0" w:space="0" w:color="auto"/>
          </w:divBdr>
        </w:div>
      </w:divsChild>
    </w:div>
    <w:div w:id="581524474">
      <w:marLeft w:val="0"/>
      <w:marRight w:val="0"/>
      <w:marTop w:val="0"/>
      <w:marBottom w:val="0"/>
      <w:divBdr>
        <w:top w:val="none" w:sz="0" w:space="0" w:color="auto"/>
        <w:left w:val="none" w:sz="0" w:space="0" w:color="auto"/>
        <w:bottom w:val="none" w:sz="0" w:space="0" w:color="auto"/>
        <w:right w:val="none" w:sz="0" w:space="0" w:color="auto"/>
      </w:divBdr>
    </w:div>
    <w:div w:id="583033157">
      <w:marLeft w:val="0"/>
      <w:marRight w:val="0"/>
      <w:marTop w:val="0"/>
      <w:marBottom w:val="0"/>
      <w:divBdr>
        <w:top w:val="none" w:sz="0" w:space="0" w:color="auto"/>
        <w:left w:val="none" w:sz="0" w:space="0" w:color="auto"/>
        <w:bottom w:val="none" w:sz="0" w:space="0" w:color="auto"/>
        <w:right w:val="none" w:sz="0" w:space="0" w:color="auto"/>
      </w:divBdr>
    </w:div>
    <w:div w:id="585072185">
      <w:marLeft w:val="0"/>
      <w:marRight w:val="0"/>
      <w:marTop w:val="120"/>
      <w:marBottom w:val="120"/>
      <w:divBdr>
        <w:top w:val="none" w:sz="0" w:space="0" w:color="auto"/>
        <w:left w:val="none" w:sz="0" w:space="0" w:color="auto"/>
        <w:bottom w:val="none" w:sz="0" w:space="0" w:color="auto"/>
        <w:right w:val="none" w:sz="0" w:space="0" w:color="auto"/>
      </w:divBdr>
    </w:div>
    <w:div w:id="585842493">
      <w:marLeft w:val="0"/>
      <w:marRight w:val="0"/>
      <w:marTop w:val="0"/>
      <w:marBottom w:val="180"/>
      <w:divBdr>
        <w:top w:val="none" w:sz="0" w:space="0" w:color="auto"/>
        <w:left w:val="none" w:sz="0" w:space="0" w:color="auto"/>
        <w:bottom w:val="none" w:sz="0" w:space="0" w:color="auto"/>
        <w:right w:val="none" w:sz="0" w:space="0" w:color="auto"/>
      </w:divBdr>
    </w:div>
    <w:div w:id="586428067">
      <w:marLeft w:val="0"/>
      <w:marRight w:val="0"/>
      <w:marTop w:val="0"/>
      <w:marBottom w:val="0"/>
      <w:divBdr>
        <w:top w:val="none" w:sz="0" w:space="0" w:color="auto"/>
        <w:left w:val="none" w:sz="0" w:space="0" w:color="auto"/>
        <w:bottom w:val="none" w:sz="0" w:space="0" w:color="auto"/>
        <w:right w:val="none" w:sz="0" w:space="0" w:color="auto"/>
      </w:divBdr>
    </w:div>
    <w:div w:id="589311453">
      <w:marLeft w:val="0"/>
      <w:marRight w:val="0"/>
      <w:marTop w:val="180"/>
      <w:marBottom w:val="180"/>
      <w:divBdr>
        <w:top w:val="none" w:sz="0" w:space="0" w:color="auto"/>
        <w:left w:val="none" w:sz="0" w:space="0" w:color="auto"/>
        <w:bottom w:val="none" w:sz="0" w:space="0" w:color="auto"/>
        <w:right w:val="none" w:sz="0" w:space="0" w:color="auto"/>
      </w:divBdr>
    </w:div>
    <w:div w:id="592972959">
      <w:marLeft w:val="0"/>
      <w:marRight w:val="0"/>
      <w:marTop w:val="0"/>
      <w:marBottom w:val="0"/>
      <w:divBdr>
        <w:top w:val="none" w:sz="0" w:space="0" w:color="auto"/>
        <w:left w:val="none" w:sz="0" w:space="0" w:color="auto"/>
        <w:bottom w:val="none" w:sz="0" w:space="0" w:color="auto"/>
        <w:right w:val="none" w:sz="0" w:space="0" w:color="auto"/>
      </w:divBdr>
    </w:div>
    <w:div w:id="595288876">
      <w:marLeft w:val="0"/>
      <w:marRight w:val="0"/>
      <w:marTop w:val="0"/>
      <w:marBottom w:val="240"/>
      <w:divBdr>
        <w:top w:val="none" w:sz="0" w:space="0" w:color="auto"/>
        <w:left w:val="none" w:sz="0" w:space="0" w:color="auto"/>
        <w:bottom w:val="none" w:sz="0" w:space="0" w:color="auto"/>
        <w:right w:val="none" w:sz="0" w:space="0" w:color="auto"/>
      </w:divBdr>
    </w:div>
    <w:div w:id="597562458">
      <w:marLeft w:val="0"/>
      <w:marRight w:val="0"/>
      <w:marTop w:val="100"/>
      <w:marBottom w:val="0"/>
      <w:divBdr>
        <w:top w:val="none" w:sz="0" w:space="0" w:color="auto"/>
        <w:left w:val="none" w:sz="0" w:space="0" w:color="auto"/>
        <w:bottom w:val="none" w:sz="0" w:space="0" w:color="auto"/>
        <w:right w:val="none" w:sz="0" w:space="0" w:color="auto"/>
      </w:divBdr>
    </w:div>
    <w:div w:id="598559490">
      <w:marLeft w:val="0"/>
      <w:marRight w:val="0"/>
      <w:marTop w:val="0"/>
      <w:marBottom w:val="0"/>
      <w:divBdr>
        <w:top w:val="none" w:sz="0" w:space="0" w:color="auto"/>
        <w:left w:val="none" w:sz="0" w:space="0" w:color="auto"/>
        <w:bottom w:val="none" w:sz="0" w:space="0" w:color="auto"/>
        <w:right w:val="none" w:sz="0" w:space="0" w:color="auto"/>
      </w:divBdr>
    </w:div>
    <w:div w:id="601183533">
      <w:marLeft w:val="0"/>
      <w:marRight w:val="0"/>
      <w:marTop w:val="180"/>
      <w:marBottom w:val="180"/>
      <w:divBdr>
        <w:top w:val="none" w:sz="0" w:space="0" w:color="auto"/>
        <w:left w:val="none" w:sz="0" w:space="0" w:color="auto"/>
        <w:bottom w:val="none" w:sz="0" w:space="0" w:color="auto"/>
        <w:right w:val="none" w:sz="0" w:space="0" w:color="auto"/>
      </w:divBdr>
    </w:div>
    <w:div w:id="603852981">
      <w:marLeft w:val="0"/>
      <w:marRight w:val="0"/>
      <w:marTop w:val="0"/>
      <w:marBottom w:val="0"/>
      <w:divBdr>
        <w:top w:val="none" w:sz="0" w:space="0" w:color="auto"/>
        <w:left w:val="none" w:sz="0" w:space="0" w:color="auto"/>
        <w:bottom w:val="none" w:sz="0" w:space="0" w:color="auto"/>
        <w:right w:val="none" w:sz="0" w:space="0" w:color="auto"/>
      </w:divBdr>
      <w:divsChild>
        <w:div w:id="330763122">
          <w:marLeft w:val="0"/>
          <w:marRight w:val="0"/>
          <w:marTop w:val="0"/>
          <w:marBottom w:val="0"/>
          <w:divBdr>
            <w:top w:val="none" w:sz="0" w:space="0" w:color="auto"/>
            <w:left w:val="none" w:sz="0" w:space="0" w:color="auto"/>
            <w:bottom w:val="none" w:sz="0" w:space="0" w:color="auto"/>
            <w:right w:val="none" w:sz="0" w:space="0" w:color="auto"/>
          </w:divBdr>
        </w:div>
        <w:div w:id="692652894">
          <w:marLeft w:val="0"/>
          <w:marRight w:val="0"/>
          <w:marTop w:val="0"/>
          <w:marBottom w:val="0"/>
          <w:divBdr>
            <w:top w:val="none" w:sz="0" w:space="0" w:color="auto"/>
            <w:left w:val="none" w:sz="0" w:space="0" w:color="auto"/>
            <w:bottom w:val="none" w:sz="0" w:space="0" w:color="auto"/>
            <w:right w:val="none" w:sz="0" w:space="0" w:color="auto"/>
          </w:divBdr>
        </w:div>
      </w:divsChild>
    </w:div>
    <w:div w:id="605426579">
      <w:marLeft w:val="0"/>
      <w:marRight w:val="0"/>
      <w:marTop w:val="0"/>
      <w:marBottom w:val="240"/>
      <w:divBdr>
        <w:top w:val="none" w:sz="0" w:space="0" w:color="auto"/>
        <w:left w:val="none" w:sz="0" w:space="0" w:color="auto"/>
        <w:bottom w:val="none" w:sz="0" w:space="0" w:color="auto"/>
        <w:right w:val="none" w:sz="0" w:space="0" w:color="auto"/>
      </w:divBdr>
    </w:div>
    <w:div w:id="605816121">
      <w:marLeft w:val="0"/>
      <w:marRight w:val="0"/>
      <w:marTop w:val="0"/>
      <w:marBottom w:val="0"/>
      <w:divBdr>
        <w:top w:val="none" w:sz="0" w:space="0" w:color="auto"/>
        <w:left w:val="none" w:sz="0" w:space="0" w:color="auto"/>
        <w:bottom w:val="none" w:sz="0" w:space="0" w:color="auto"/>
        <w:right w:val="none" w:sz="0" w:space="0" w:color="auto"/>
      </w:divBdr>
    </w:div>
    <w:div w:id="605964498">
      <w:marLeft w:val="0"/>
      <w:marRight w:val="0"/>
      <w:marTop w:val="0"/>
      <w:marBottom w:val="0"/>
      <w:divBdr>
        <w:top w:val="none" w:sz="0" w:space="0" w:color="auto"/>
        <w:left w:val="none" w:sz="0" w:space="0" w:color="auto"/>
        <w:bottom w:val="none" w:sz="0" w:space="0" w:color="auto"/>
        <w:right w:val="none" w:sz="0" w:space="0" w:color="auto"/>
      </w:divBdr>
    </w:div>
    <w:div w:id="609318271">
      <w:marLeft w:val="0"/>
      <w:marRight w:val="0"/>
      <w:marTop w:val="100"/>
      <w:marBottom w:val="0"/>
      <w:divBdr>
        <w:top w:val="none" w:sz="0" w:space="0" w:color="auto"/>
        <w:left w:val="none" w:sz="0" w:space="0" w:color="auto"/>
        <w:bottom w:val="none" w:sz="0" w:space="0" w:color="auto"/>
        <w:right w:val="none" w:sz="0" w:space="0" w:color="auto"/>
      </w:divBdr>
    </w:div>
    <w:div w:id="610668385">
      <w:marLeft w:val="0"/>
      <w:marRight w:val="0"/>
      <w:marTop w:val="120"/>
      <w:marBottom w:val="120"/>
      <w:divBdr>
        <w:top w:val="none" w:sz="0" w:space="0" w:color="auto"/>
        <w:left w:val="none" w:sz="0" w:space="0" w:color="auto"/>
        <w:bottom w:val="none" w:sz="0" w:space="0" w:color="auto"/>
        <w:right w:val="none" w:sz="0" w:space="0" w:color="auto"/>
      </w:divBdr>
    </w:div>
    <w:div w:id="611398762">
      <w:marLeft w:val="0"/>
      <w:marRight w:val="0"/>
      <w:marTop w:val="0"/>
      <w:marBottom w:val="0"/>
      <w:divBdr>
        <w:top w:val="none" w:sz="0" w:space="0" w:color="auto"/>
        <w:left w:val="none" w:sz="0" w:space="0" w:color="auto"/>
        <w:bottom w:val="none" w:sz="0" w:space="0" w:color="auto"/>
        <w:right w:val="none" w:sz="0" w:space="0" w:color="auto"/>
      </w:divBdr>
      <w:divsChild>
        <w:div w:id="566770099">
          <w:marLeft w:val="0"/>
          <w:marRight w:val="0"/>
          <w:marTop w:val="0"/>
          <w:marBottom w:val="0"/>
          <w:divBdr>
            <w:top w:val="none" w:sz="0" w:space="0" w:color="auto"/>
            <w:left w:val="none" w:sz="0" w:space="0" w:color="auto"/>
            <w:bottom w:val="none" w:sz="0" w:space="0" w:color="auto"/>
            <w:right w:val="none" w:sz="0" w:space="0" w:color="auto"/>
          </w:divBdr>
        </w:div>
      </w:divsChild>
    </w:div>
    <w:div w:id="611866259">
      <w:marLeft w:val="0"/>
      <w:marRight w:val="0"/>
      <w:marTop w:val="0"/>
      <w:marBottom w:val="180"/>
      <w:divBdr>
        <w:top w:val="none" w:sz="0" w:space="0" w:color="auto"/>
        <w:left w:val="none" w:sz="0" w:space="0" w:color="auto"/>
        <w:bottom w:val="none" w:sz="0" w:space="0" w:color="auto"/>
        <w:right w:val="none" w:sz="0" w:space="0" w:color="auto"/>
      </w:divBdr>
    </w:div>
    <w:div w:id="612249884">
      <w:marLeft w:val="0"/>
      <w:marRight w:val="0"/>
      <w:marTop w:val="100"/>
      <w:marBottom w:val="100"/>
      <w:divBdr>
        <w:top w:val="none" w:sz="0" w:space="0" w:color="auto"/>
        <w:left w:val="none" w:sz="0" w:space="0" w:color="auto"/>
        <w:bottom w:val="none" w:sz="0" w:space="0" w:color="auto"/>
        <w:right w:val="none" w:sz="0" w:space="0" w:color="auto"/>
      </w:divBdr>
    </w:div>
    <w:div w:id="613636865">
      <w:marLeft w:val="0"/>
      <w:marRight w:val="0"/>
      <w:marTop w:val="0"/>
      <w:marBottom w:val="0"/>
      <w:divBdr>
        <w:top w:val="none" w:sz="0" w:space="0" w:color="auto"/>
        <w:left w:val="none" w:sz="0" w:space="0" w:color="auto"/>
        <w:bottom w:val="none" w:sz="0" w:space="0" w:color="auto"/>
        <w:right w:val="none" w:sz="0" w:space="0" w:color="auto"/>
      </w:divBdr>
    </w:div>
    <w:div w:id="614754389">
      <w:marLeft w:val="0"/>
      <w:marRight w:val="0"/>
      <w:marTop w:val="120"/>
      <w:marBottom w:val="120"/>
      <w:divBdr>
        <w:top w:val="none" w:sz="0" w:space="0" w:color="auto"/>
        <w:left w:val="none" w:sz="0" w:space="0" w:color="auto"/>
        <w:bottom w:val="none" w:sz="0" w:space="0" w:color="auto"/>
        <w:right w:val="none" w:sz="0" w:space="0" w:color="auto"/>
      </w:divBdr>
    </w:div>
    <w:div w:id="619141877">
      <w:marLeft w:val="0"/>
      <w:marRight w:val="0"/>
      <w:marTop w:val="0"/>
      <w:marBottom w:val="0"/>
      <w:divBdr>
        <w:top w:val="none" w:sz="0" w:space="0" w:color="auto"/>
        <w:left w:val="none" w:sz="0" w:space="0" w:color="auto"/>
        <w:bottom w:val="none" w:sz="0" w:space="0" w:color="auto"/>
        <w:right w:val="none" w:sz="0" w:space="0" w:color="auto"/>
      </w:divBdr>
      <w:divsChild>
        <w:div w:id="610942267">
          <w:marLeft w:val="0"/>
          <w:marRight w:val="0"/>
          <w:marTop w:val="0"/>
          <w:marBottom w:val="0"/>
          <w:divBdr>
            <w:top w:val="none" w:sz="0" w:space="0" w:color="auto"/>
            <w:left w:val="none" w:sz="0" w:space="0" w:color="auto"/>
            <w:bottom w:val="none" w:sz="0" w:space="0" w:color="auto"/>
            <w:right w:val="none" w:sz="0" w:space="0" w:color="auto"/>
          </w:divBdr>
        </w:div>
        <w:div w:id="680667974">
          <w:marLeft w:val="0"/>
          <w:marRight w:val="0"/>
          <w:marTop w:val="0"/>
          <w:marBottom w:val="0"/>
          <w:divBdr>
            <w:top w:val="none" w:sz="0" w:space="0" w:color="auto"/>
            <w:left w:val="none" w:sz="0" w:space="0" w:color="auto"/>
            <w:bottom w:val="none" w:sz="0" w:space="0" w:color="auto"/>
            <w:right w:val="none" w:sz="0" w:space="0" w:color="auto"/>
          </w:divBdr>
        </w:div>
      </w:divsChild>
    </w:div>
    <w:div w:id="620772531">
      <w:marLeft w:val="0"/>
      <w:marRight w:val="0"/>
      <w:marTop w:val="240"/>
      <w:marBottom w:val="0"/>
      <w:divBdr>
        <w:top w:val="none" w:sz="0" w:space="0" w:color="auto"/>
        <w:left w:val="none" w:sz="0" w:space="0" w:color="auto"/>
        <w:bottom w:val="none" w:sz="0" w:space="0" w:color="auto"/>
        <w:right w:val="none" w:sz="0" w:space="0" w:color="auto"/>
      </w:divBdr>
    </w:div>
    <w:div w:id="620918956">
      <w:marLeft w:val="0"/>
      <w:marRight w:val="0"/>
      <w:marTop w:val="0"/>
      <w:marBottom w:val="0"/>
      <w:divBdr>
        <w:top w:val="none" w:sz="0" w:space="0" w:color="auto"/>
        <w:left w:val="none" w:sz="0" w:space="0" w:color="auto"/>
        <w:bottom w:val="none" w:sz="0" w:space="0" w:color="auto"/>
        <w:right w:val="none" w:sz="0" w:space="0" w:color="auto"/>
      </w:divBdr>
      <w:divsChild>
        <w:div w:id="1925800948">
          <w:marLeft w:val="0"/>
          <w:marRight w:val="0"/>
          <w:marTop w:val="0"/>
          <w:marBottom w:val="0"/>
          <w:divBdr>
            <w:top w:val="none" w:sz="0" w:space="0" w:color="auto"/>
            <w:left w:val="none" w:sz="0" w:space="0" w:color="auto"/>
            <w:bottom w:val="none" w:sz="0" w:space="0" w:color="auto"/>
            <w:right w:val="none" w:sz="0" w:space="0" w:color="auto"/>
          </w:divBdr>
        </w:div>
      </w:divsChild>
    </w:div>
    <w:div w:id="621420755">
      <w:marLeft w:val="0"/>
      <w:marRight w:val="0"/>
      <w:marTop w:val="0"/>
      <w:marBottom w:val="0"/>
      <w:divBdr>
        <w:top w:val="none" w:sz="0" w:space="0" w:color="auto"/>
        <w:left w:val="none" w:sz="0" w:space="0" w:color="auto"/>
        <w:bottom w:val="none" w:sz="0" w:space="0" w:color="auto"/>
        <w:right w:val="none" w:sz="0" w:space="0" w:color="auto"/>
      </w:divBdr>
    </w:div>
    <w:div w:id="622007287">
      <w:marLeft w:val="0"/>
      <w:marRight w:val="0"/>
      <w:marTop w:val="0"/>
      <w:marBottom w:val="240"/>
      <w:divBdr>
        <w:top w:val="none" w:sz="0" w:space="0" w:color="auto"/>
        <w:left w:val="none" w:sz="0" w:space="0" w:color="auto"/>
        <w:bottom w:val="none" w:sz="0" w:space="0" w:color="auto"/>
        <w:right w:val="none" w:sz="0" w:space="0" w:color="auto"/>
      </w:divBdr>
    </w:div>
    <w:div w:id="623929181">
      <w:marLeft w:val="0"/>
      <w:marRight w:val="0"/>
      <w:marTop w:val="0"/>
      <w:marBottom w:val="180"/>
      <w:divBdr>
        <w:top w:val="none" w:sz="0" w:space="0" w:color="auto"/>
        <w:left w:val="none" w:sz="0" w:space="0" w:color="auto"/>
        <w:bottom w:val="none" w:sz="0" w:space="0" w:color="auto"/>
        <w:right w:val="none" w:sz="0" w:space="0" w:color="auto"/>
      </w:divBdr>
    </w:div>
    <w:div w:id="624777469">
      <w:marLeft w:val="0"/>
      <w:marRight w:val="0"/>
      <w:marTop w:val="0"/>
      <w:marBottom w:val="0"/>
      <w:divBdr>
        <w:top w:val="none" w:sz="0" w:space="0" w:color="auto"/>
        <w:left w:val="none" w:sz="0" w:space="0" w:color="auto"/>
        <w:bottom w:val="none" w:sz="0" w:space="0" w:color="auto"/>
        <w:right w:val="none" w:sz="0" w:space="0" w:color="auto"/>
      </w:divBdr>
    </w:div>
    <w:div w:id="625505891">
      <w:marLeft w:val="0"/>
      <w:marRight w:val="0"/>
      <w:marTop w:val="0"/>
      <w:marBottom w:val="240"/>
      <w:divBdr>
        <w:top w:val="none" w:sz="0" w:space="0" w:color="auto"/>
        <w:left w:val="none" w:sz="0" w:space="0" w:color="auto"/>
        <w:bottom w:val="none" w:sz="0" w:space="0" w:color="auto"/>
        <w:right w:val="none" w:sz="0" w:space="0" w:color="auto"/>
      </w:divBdr>
    </w:div>
    <w:div w:id="625621129">
      <w:marLeft w:val="0"/>
      <w:marRight w:val="0"/>
      <w:marTop w:val="180"/>
      <w:marBottom w:val="180"/>
      <w:divBdr>
        <w:top w:val="none" w:sz="0" w:space="0" w:color="auto"/>
        <w:left w:val="none" w:sz="0" w:space="0" w:color="auto"/>
        <w:bottom w:val="none" w:sz="0" w:space="0" w:color="auto"/>
        <w:right w:val="none" w:sz="0" w:space="0" w:color="auto"/>
      </w:divBdr>
    </w:div>
    <w:div w:id="629289585">
      <w:marLeft w:val="0"/>
      <w:marRight w:val="0"/>
      <w:marTop w:val="0"/>
      <w:marBottom w:val="180"/>
      <w:divBdr>
        <w:top w:val="none" w:sz="0" w:space="0" w:color="auto"/>
        <w:left w:val="none" w:sz="0" w:space="0" w:color="auto"/>
        <w:bottom w:val="none" w:sz="0" w:space="0" w:color="auto"/>
        <w:right w:val="none" w:sz="0" w:space="0" w:color="auto"/>
      </w:divBdr>
    </w:div>
    <w:div w:id="630403000">
      <w:marLeft w:val="0"/>
      <w:marRight w:val="0"/>
      <w:marTop w:val="0"/>
      <w:marBottom w:val="180"/>
      <w:divBdr>
        <w:top w:val="none" w:sz="0" w:space="0" w:color="auto"/>
        <w:left w:val="none" w:sz="0" w:space="0" w:color="auto"/>
        <w:bottom w:val="none" w:sz="0" w:space="0" w:color="auto"/>
        <w:right w:val="none" w:sz="0" w:space="0" w:color="auto"/>
      </w:divBdr>
    </w:div>
    <w:div w:id="630866777">
      <w:marLeft w:val="0"/>
      <w:marRight w:val="0"/>
      <w:marTop w:val="100"/>
      <w:marBottom w:val="0"/>
      <w:divBdr>
        <w:top w:val="none" w:sz="0" w:space="0" w:color="auto"/>
        <w:left w:val="none" w:sz="0" w:space="0" w:color="auto"/>
        <w:bottom w:val="none" w:sz="0" w:space="0" w:color="auto"/>
        <w:right w:val="none" w:sz="0" w:space="0" w:color="auto"/>
      </w:divBdr>
    </w:div>
    <w:div w:id="631525085">
      <w:marLeft w:val="0"/>
      <w:marRight w:val="0"/>
      <w:marTop w:val="0"/>
      <w:marBottom w:val="180"/>
      <w:divBdr>
        <w:top w:val="none" w:sz="0" w:space="0" w:color="auto"/>
        <w:left w:val="none" w:sz="0" w:space="0" w:color="auto"/>
        <w:bottom w:val="none" w:sz="0" w:space="0" w:color="auto"/>
        <w:right w:val="none" w:sz="0" w:space="0" w:color="auto"/>
      </w:divBdr>
    </w:div>
    <w:div w:id="631600752">
      <w:marLeft w:val="0"/>
      <w:marRight w:val="0"/>
      <w:marTop w:val="0"/>
      <w:marBottom w:val="0"/>
      <w:divBdr>
        <w:top w:val="none" w:sz="0" w:space="0" w:color="auto"/>
        <w:left w:val="none" w:sz="0" w:space="0" w:color="auto"/>
        <w:bottom w:val="none" w:sz="0" w:space="0" w:color="auto"/>
        <w:right w:val="none" w:sz="0" w:space="0" w:color="auto"/>
      </w:divBdr>
      <w:divsChild>
        <w:div w:id="2087415733">
          <w:marLeft w:val="0"/>
          <w:marRight w:val="0"/>
          <w:marTop w:val="0"/>
          <w:marBottom w:val="0"/>
          <w:divBdr>
            <w:top w:val="none" w:sz="0" w:space="0" w:color="auto"/>
            <w:left w:val="none" w:sz="0" w:space="0" w:color="auto"/>
            <w:bottom w:val="none" w:sz="0" w:space="0" w:color="auto"/>
            <w:right w:val="none" w:sz="0" w:space="0" w:color="auto"/>
          </w:divBdr>
        </w:div>
      </w:divsChild>
    </w:div>
    <w:div w:id="632753634">
      <w:marLeft w:val="0"/>
      <w:marRight w:val="0"/>
      <w:marTop w:val="0"/>
      <w:marBottom w:val="0"/>
      <w:divBdr>
        <w:top w:val="none" w:sz="0" w:space="0" w:color="auto"/>
        <w:left w:val="none" w:sz="0" w:space="0" w:color="auto"/>
        <w:bottom w:val="none" w:sz="0" w:space="0" w:color="auto"/>
        <w:right w:val="none" w:sz="0" w:space="0" w:color="auto"/>
      </w:divBdr>
    </w:div>
    <w:div w:id="634871688">
      <w:marLeft w:val="0"/>
      <w:marRight w:val="0"/>
      <w:marTop w:val="120"/>
      <w:marBottom w:val="120"/>
      <w:divBdr>
        <w:top w:val="none" w:sz="0" w:space="0" w:color="auto"/>
        <w:left w:val="none" w:sz="0" w:space="0" w:color="auto"/>
        <w:bottom w:val="none" w:sz="0" w:space="0" w:color="auto"/>
        <w:right w:val="none" w:sz="0" w:space="0" w:color="auto"/>
      </w:divBdr>
    </w:div>
    <w:div w:id="635188358">
      <w:marLeft w:val="0"/>
      <w:marRight w:val="0"/>
      <w:marTop w:val="0"/>
      <w:marBottom w:val="180"/>
      <w:divBdr>
        <w:top w:val="none" w:sz="0" w:space="0" w:color="auto"/>
        <w:left w:val="none" w:sz="0" w:space="0" w:color="auto"/>
        <w:bottom w:val="none" w:sz="0" w:space="0" w:color="auto"/>
        <w:right w:val="none" w:sz="0" w:space="0" w:color="auto"/>
      </w:divBdr>
    </w:div>
    <w:div w:id="635834346">
      <w:marLeft w:val="0"/>
      <w:marRight w:val="0"/>
      <w:marTop w:val="0"/>
      <w:marBottom w:val="0"/>
      <w:divBdr>
        <w:top w:val="none" w:sz="0" w:space="0" w:color="auto"/>
        <w:left w:val="none" w:sz="0" w:space="0" w:color="auto"/>
        <w:bottom w:val="none" w:sz="0" w:space="0" w:color="auto"/>
        <w:right w:val="none" w:sz="0" w:space="0" w:color="auto"/>
      </w:divBdr>
      <w:divsChild>
        <w:div w:id="520121302">
          <w:marLeft w:val="0"/>
          <w:marRight w:val="0"/>
          <w:marTop w:val="0"/>
          <w:marBottom w:val="0"/>
          <w:divBdr>
            <w:top w:val="none" w:sz="0" w:space="0" w:color="auto"/>
            <w:left w:val="none" w:sz="0" w:space="0" w:color="auto"/>
            <w:bottom w:val="none" w:sz="0" w:space="0" w:color="auto"/>
            <w:right w:val="none" w:sz="0" w:space="0" w:color="auto"/>
          </w:divBdr>
        </w:div>
      </w:divsChild>
    </w:div>
    <w:div w:id="636304817">
      <w:marLeft w:val="0"/>
      <w:marRight w:val="0"/>
      <w:marTop w:val="0"/>
      <w:marBottom w:val="0"/>
      <w:divBdr>
        <w:top w:val="none" w:sz="0" w:space="0" w:color="auto"/>
        <w:left w:val="none" w:sz="0" w:space="0" w:color="auto"/>
        <w:bottom w:val="none" w:sz="0" w:space="0" w:color="auto"/>
        <w:right w:val="none" w:sz="0" w:space="0" w:color="auto"/>
      </w:divBdr>
    </w:div>
    <w:div w:id="637807102">
      <w:marLeft w:val="0"/>
      <w:marRight w:val="0"/>
      <w:marTop w:val="0"/>
      <w:marBottom w:val="240"/>
      <w:divBdr>
        <w:top w:val="none" w:sz="0" w:space="0" w:color="auto"/>
        <w:left w:val="none" w:sz="0" w:space="0" w:color="auto"/>
        <w:bottom w:val="none" w:sz="0" w:space="0" w:color="auto"/>
        <w:right w:val="none" w:sz="0" w:space="0" w:color="auto"/>
      </w:divBdr>
    </w:div>
    <w:div w:id="638268133">
      <w:marLeft w:val="0"/>
      <w:marRight w:val="0"/>
      <w:marTop w:val="0"/>
      <w:marBottom w:val="180"/>
      <w:divBdr>
        <w:top w:val="none" w:sz="0" w:space="0" w:color="auto"/>
        <w:left w:val="none" w:sz="0" w:space="0" w:color="auto"/>
        <w:bottom w:val="none" w:sz="0" w:space="0" w:color="auto"/>
        <w:right w:val="none" w:sz="0" w:space="0" w:color="auto"/>
      </w:divBdr>
    </w:div>
    <w:div w:id="640964965">
      <w:marLeft w:val="0"/>
      <w:marRight w:val="0"/>
      <w:marTop w:val="0"/>
      <w:marBottom w:val="180"/>
      <w:divBdr>
        <w:top w:val="none" w:sz="0" w:space="0" w:color="auto"/>
        <w:left w:val="none" w:sz="0" w:space="0" w:color="auto"/>
        <w:bottom w:val="none" w:sz="0" w:space="0" w:color="auto"/>
        <w:right w:val="none" w:sz="0" w:space="0" w:color="auto"/>
      </w:divBdr>
    </w:div>
    <w:div w:id="641158092">
      <w:marLeft w:val="0"/>
      <w:marRight w:val="0"/>
      <w:marTop w:val="0"/>
      <w:marBottom w:val="180"/>
      <w:divBdr>
        <w:top w:val="none" w:sz="0" w:space="0" w:color="auto"/>
        <w:left w:val="none" w:sz="0" w:space="0" w:color="auto"/>
        <w:bottom w:val="none" w:sz="0" w:space="0" w:color="auto"/>
        <w:right w:val="none" w:sz="0" w:space="0" w:color="auto"/>
      </w:divBdr>
    </w:div>
    <w:div w:id="641428746">
      <w:marLeft w:val="0"/>
      <w:marRight w:val="0"/>
      <w:marTop w:val="100"/>
      <w:marBottom w:val="0"/>
      <w:divBdr>
        <w:top w:val="none" w:sz="0" w:space="0" w:color="auto"/>
        <w:left w:val="none" w:sz="0" w:space="0" w:color="auto"/>
        <w:bottom w:val="none" w:sz="0" w:space="0" w:color="auto"/>
        <w:right w:val="none" w:sz="0" w:space="0" w:color="auto"/>
      </w:divBdr>
    </w:div>
    <w:div w:id="644622501">
      <w:marLeft w:val="0"/>
      <w:marRight w:val="0"/>
      <w:marTop w:val="0"/>
      <w:marBottom w:val="0"/>
      <w:divBdr>
        <w:top w:val="none" w:sz="0" w:space="0" w:color="auto"/>
        <w:left w:val="none" w:sz="0" w:space="0" w:color="auto"/>
        <w:bottom w:val="none" w:sz="0" w:space="0" w:color="auto"/>
        <w:right w:val="none" w:sz="0" w:space="0" w:color="auto"/>
      </w:divBdr>
      <w:divsChild>
        <w:div w:id="229537426">
          <w:marLeft w:val="0"/>
          <w:marRight w:val="0"/>
          <w:marTop w:val="0"/>
          <w:marBottom w:val="0"/>
          <w:divBdr>
            <w:top w:val="none" w:sz="0" w:space="0" w:color="auto"/>
            <w:left w:val="none" w:sz="0" w:space="0" w:color="auto"/>
            <w:bottom w:val="none" w:sz="0" w:space="0" w:color="auto"/>
            <w:right w:val="none" w:sz="0" w:space="0" w:color="auto"/>
          </w:divBdr>
        </w:div>
        <w:div w:id="1961380483">
          <w:marLeft w:val="0"/>
          <w:marRight w:val="0"/>
          <w:marTop w:val="0"/>
          <w:marBottom w:val="0"/>
          <w:divBdr>
            <w:top w:val="none" w:sz="0" w:space="0" w:color="auto"/>
            <w:left w:val="none" w:sz="0" w:space="0" w:color="auto"/>
            <w:bottom w:val="none" w:sz="0" w:space="0" w:color="auto"/>
            <w:right w:val="none" w:sz="0" w:space="0" w:color="auto"/>
          </w:divBdr>
        </w:div>
      </w:divsChild>
    </w:div>
    <w:div w:id="646596627">
      <w:marLeft w:val="0"/>
      <w:marRight w:val="0"/>
      <w:marTop w:val="0"/>
      <w:marBottom w:val="0"/>
      <w:divBdr>
        <w:top w:val="none" w:sz="0" w:space="0" w:color="auto"/>
        <w:left w:val="none" w:sz="0" w:space="0" w:color="auto"/>
        <w:bottom w:val="none" w:sz="0" w:space="0" w:color="auto"/>
        <w:right w:val="none" w:sz="0" w:space="0" w:color="auto"/>
      </w:divBdr>
    </w:div>
    <w:div w:id="647438877">
      <w:marLeft w:val="0"/>
      <w:marRight w:val="0"/>
      <w:marTop w:val="0"/>
      <w:marBottom w:val="0"/>
      <w:divBdr>
        <w:top w:val="none" w:sz="0" w:space="0" w:color="auto"/>
        <w:left w:val="none" w:sz="0" w:space="0" w:color="auto"/>
        <w:bottom w:val="none" w:sz="0" w:space="0" w:color="auto"/>
        <w:right w:val="none" w:sz="0" w:space="0" w:color="auto"/>
      </w:divBdr>
      <w:divsChild>
        <w:div w:id="839582821">
          <w:marLeft w:val="0"/>
          <w:marRight w:val="0"/>
          <w:marTop w:val="0"/>
          <w:marBottom w:val="0"/>
          <w:divBdr>
            <w:top w:val="none" w:sz="0" w:space="0" w:color="auto"/>
            <w:left w:val="none" w:sz="0" w:space="0" w:color="auto"/>
            <w:bottom w:val="none" w:sz="0" w:space="0" w:color="auto"/>
            <w:right w:val="none" w:sz="0" w:space="0" w:color="auto"/>
          </w:divBdr>
        </w:div>
      </w:divsChild>
    </w:div>
    <w:div w:id="648364865">
      <w:marLeft w:val="0"/>
      <w:marRight w:val="0"/>
      <w:marTop w:val="0"/>
      <w:marBottom w:val="240"/>
      <w:divBdr>
        <w:top w:val="none" w:sz="0" w:space="0" w:color="auto"/>
        <w:left w:val="none" w:sz="0" w:space="0" w:color="auto"/>
        <w:bottom w:val="none" w:sz="0" w:space="0" w:color="auto"/>
        <w:right w:val="none" w:sz="0" w:space="0" w:color="auto"/>
      </w:divBdr>
    </w:div>
    <w:div w:id="649870156">
      <w:marLeft w:val="0"/>
      <w:marRight w:val="0"/>
      <w:marTop w:val="0"/>
      <w:marBottom w:val="240"/>
      <w:divBdr>
        <w:top w:val="none" w:sz="0" w:space="0" w:color="auto"/>
        <w:left w:val="none" w:sz="0" w:space="0" w:color="auto"/>
        <w:bottom w:val="none" w:sz="0" w:space="0" w:color="auto"/>
        <w:right w:val="none" w:sz="0" w:space="0" w:color="auto"/>
      </w:divBdr>
    </w:div>
    <w:div w:id="653993462">
      <w:marLeft w:val="0"/>
      <w:marRight w:val="0"/>
      <w:marTop w:val="0"/>
      <w:marBottom w:val="0"/>
      <w:divBdr>
        <w:top w:val="none" w:sz="0" w:space="0" w:color="auto"/>
        <w:left w:val="none" w:sz="0" w:space="0" w:color="auto"/>
        <w:bottom w:val="none" w:sz="0" w:space="0" w:color="auto"/>
        <w:right w:val="none" w:sz="0" w:space="0" w:color="auto"/>
      </w:divBdr>
      <w:divsChild>
        <w:div w:id="52848575">
          <w:marLeft w:val="0"/>
          <w:marRight w:val="0"/>
          <w:marTop w:val="0"/>
          <w:marBottom w:val="0"/>
          <w:divBdr>
            <w:top w:val="none" w:sz="0" w:space="0" w:color="auto"/>
            <w:left w:val="none" w:sz="0" w:space="0" w:color="auto"/>
            <w:bottom w:val="none" w:sz="0" w:space="0" w:color="auto"/>
            <w:right w:val="none" w:sz="0" w:space="0" w:color="auto"/>
          </w:divBdr>
        </w:div>
      </w:divsChild>
    </w:div>
    <w:div w:id="656033549">
      <w:marLeft w:val="0"/>
      <w:marRight w:val="0"/>
      <w:marTop w:val="0"/>
      <w:marBottom w:val="240"/>
      <w:divBdr>
        <w:top w:val="none" w:sz="0" w:space="0" w:color="auto"/>
        <w:left w:val="none" w:sz="0" w:space="0" w:color="auto"/>
        <w:bottom w:val="none" w:sz="0" w:space="0" w:color="auto"/>
        <w:right w:val="none" w:sz="0" w:space="0" w:color="auto"/>
      </w:divBdr>
    </w:div>
    <w:div w:id="660625945">
      <w:marLeft w:val="0"/>
      <w:marRight w:val="0"/>
      <w:marTop w:val="180"/>
      <w:marBottom w:val="180"/>
      <w:divBdr>
        <w:top w:val="none" w:sz="0" w:space="0" w:color="auto"/>
        <w:left w:val="none" w:sz="0" w:space="0" w:color="auto"/>
        <w:bottom w:val="none" w:sz="0" w:space="0" w:color="auto"/>
        <w:right w:val="none" w:sz="0" w:space="0" w:color="auto"/>
      </w:divBdr>
    </w:div>
    <w:div w:id="660699464">
      <w:marLeft w:val="0"/>
      <w:marRight w:val="0"/>
      <w:marTop w:val="0"/>
      <w:marBottom w:val="240"/>
      <w:divBdr>
        <w:top w:val="none" w:sz="0" w:space="0" w:color="auto"/>
        <w:left w:val="none" w:sz="0" w:space="0" w:color="auto"/>
        <w:bottom w:val="none" w:sz="0" w:space="0" w:color="auto"/>
        <w:right w:val="none" w:sz="0" w:space="0" w:color="auto"/>
      </w:divBdr>
    </w:div>
    <w:div w:id="661158889">
      <w:marLeft w:val="0"/>
      <w:marRight w:val="0"/>
      <w:marTop w:val="120"/>
      <w:marBottom w:val="120"/>
      <w:divBdr>
        <w:top w:val="none" w:sz="0" w:space="0" w:color="auto"/>
        <w:left w:val="none" w:sz="0" w:space="0" w:color="auto"/>
        <w:bottom w:val="none" w:sz="0" w:space="0" w:color="auto"/>
        <w:right w:val="none" w:sz="0" w:space="0" w:color="auto"/>
      </w:divBdr>
    </w:div>
    <w:div w:id="662120878">
      <w:marLeft w:val="0"/>
      <w:marRight w:val="0"/>
      <w:marTop w:val="0"/>
      <w:marBottom w:val="180"/>
      <w:divBdr>
        <w:top w:val="none" w:sz="0" w:space="0" w:color="auto"/>
        <w:left w:val="none" w:sz="0" w:space="0" w:color="auto"/>
        <w:bottom w:val="none" w:sz="0" w:space="0" w:color="auto"/>
        <w:right w:val="none" w:sz="0" w:space="0" w:color="auto"/>
      </w:divBdr>
    </w:div>
    <w:div w:id="662969440">
      <w:marLeft w:val="0"/>
      <w:marRight w:val="0"/>
      <w:marTop w:val="0"/>
      <w:marBottom w:val="0"/>
      <w:divBdr>
        <w:top w:val="none" w:sz="0" w:space="0" w:color="auto"/>
        <w:left w:val="none" w:sz="0" w:space="0" w:color="auto"/>
        <w:bottom w:val="none" w:sz="0" w:space="0" w:color="auto"/>
        <w:right w:val="none" w:sz="0" w:space="0" w:color="auto"/>
      </w:divBdr>
      <w:divsChild>
        <w:div w:id="289478372">
          <w:marLeft w:val="0"/>
          <w:marRight w:val="0"/>
          <w:marTop w:val="0"/>
          <w:marBottom w:val="0"/>
          <w:divBdr>
            <w:top w:val="none" w:sz="0" w:space="0" w:color="auto"/>
            <w:left w:val="none" w:sz="0" w:space="0" w:color="auto"/>
            <w:bottom w:val="none" w:sz="0" w:space="0" w:color="auto"/>
            <w:right w:val="none" w:sz="0" w:space="0" w:color="auto"/>
          </w:divBdr>
        </w:div>
      </w:divsChild>
    </w:div>
    <w:div w:id="666059622">
      <w:marLeft w:val="0"/>
      <w:marRight w:val="0"/>
      <w:marTop w:val="0"/>
      <w:marBottom w:val="0"/>
      <w:divBdr>
        <w:top w:val="none" w:sz="0" w:space="0" w:color="auto"/>
        <w:left w:val="none" w:sz="0" w:space="0" w:color="auto"/>
        <w:bottom w:val="none" w:sz="0" w:space="0" w:color="auto"/>
        <w:right w:val="none" w:sz="0" w:space="0" w:color="auto"/>
      </w:divBdr>
      <w:divsChild>
        <w:div w:id="1127043076">
          <w:marLeft w:val="0"/>
          <w:marRight w:val="0"/>
          <w:marTop w:val="0"/>
          <w:marBottom w:val="0"/>
          <w:divBdr>
            <w:top w:val="none" w:sz="0" w:space="0" w:color="auto"/>
            <w:left w:val="none" w:sz="0" w:space="0" w:color="auto"/>
            <w:bottom w:val="none" w:sz="0" w:space="0" w:color="auto"/>
            <w:right w:val="none" w:sz="0" w:space="0" w:color="auto"/>
          </w:divBdr>
        </w:div>
        <w:div w:id="1297251071">
          <w:marLeft w:val="0"/>
          <w:marRight w:val="0"/>
          <w:marTop w:val="0"/>
          <w:marBottom w:val="0"/>
          <w:divBdr>
            <w:top w:val="none" w:sz="0" w:space="0" w:color="auto"/>
            <w:left w:val="none" w:sz="0" w:space="0" w:color="auto"/>
            <w:bottom w:val="none" w:sz="0" w:space="0" w:color="auto"/>
            <w:right w:val="none" w:sz="0" w:space="0" w:color="auto"/>
          </w:divBdr>
        </w:div>
      </w:divsChild>
    </w:div>
    <w:div w:id="666516949">
      <w:marLeft w:val="0"/>
      <w:marRight w:val="0"/>
      <w:marTop w:val="0"/>
      <w:marBottom w:val="0"/>
      <w:divBdr>
        <w:top w:val="none" w:sz="0" w:space="0" w:color="auto"/>
        <w:left w:val="none" w:sz="0" w:space="0" w:color="auto"/>
        <w:bottom w:val="none" w:sz="0" w:space="0" w:color="auto"/>
        <w:right w:val="none" w:sz="0" w:space="0" w:color="auto"/>
      </w:divBdr>
    </w:div>
    <w:div w:id="667946312">
      <w:marLeft w:val="0"/>
      <w:marRight w:val="0"/>
      <w:marTop w:val="0"/>
      <w:marBottom w:val="180"/>
      <w:divBdr>
        <w:top w:val="none" w:sz="0" w:space="0" w:color="auto"/>
        <w:left w:val="none" w:sz="0" w:space="0" w:color="auto"/>
        <w:bottom w:val="none" w:sz="0" w:space="0" w:color="auto"/>
        <w:right w:val="none" w:sz="0" w:space="0" w:color="auto"/>
      </w:divBdr>
    </w:div>
    <w:div w:id="672923943">
      <w:marLeft w:val="0"/>
      <w:marRight w:val="0"/>
      <w:marTop w:val="0"/>
      <w:marBottom w:val="0"/>
      <w:divBdr>
        <w:top w:val="none" w:sz="0" w:space="0" w:color="auto"/>
        <w:left w:val="none" w:sz="0" w:space="0" w:color="auto"/>
        <w:bottom w:val="none" w:sz="0" w:space="0" w:color="auto"/>
        <w:right w:val="none" w:sz="0" w:space="0" w:color="auto"/>
      </w:divBdr>
    </w:div>
    <w:div w:id="672953251">
      <w:marLeft w:val="0"/>
      <w:marRight w:val="0"/>
      <w:marTop w:val="0"/>
      <w:marBottom w:val="60"/>
      <w:divBdr>
        <w:top w:val="none" w:sz="0" w:space="0" w:color="auto"/>
        <w:left w:val="none" w:sz="0" w:space="0" w:color="auto"/>
        <w:bottom w:val="none" w:sz="0" w:space="0" w:color="auto"/>
        <w:right w:val="none" w:sz="0" w:space="0" w:color="auto"/>
      </w:divBdr>
    </w:div>
    <w:div w:id="673414291">
      <w:marLeft w:val="0"/>
      <w:marRight w:val="0"/>
      <w:marTop w:val="120"/>
      <w:marBottom w:val="120"/>
      <w:divBdr>
        <w:top w:val="none" w:sz="0" w:space="0" w:color="auto"/>
        <w:left w:val="none" w:sz="0" w:space="0" w:color="auto"/>
        <w:bottom w:val="none" w:sz="0" w:space="0" w:color="auto"/>
        <w:right w:val="none" w:sz="0" w:space="0" w:color="auto"/>
      </w:divBdr>
    </w:div>
    <w:div w:id="674504433">
      <w:marLeft w:val="0"/>
      <w:marRight w:val="0"/>
      <w:marTop w:val="0"/>
      <w:marBottom w:val="180"/>
      <w:divBdr>
        <w:top w:val="none" w:sz="0" w:space="0" w:color="auto"/>
        <w:left w:val="none" w:sz="0" w:space="0" w:color="auto"/>
        <w:bottom w:val="none" w:sz="0" w:space="0" w:color="auto"/>
        <w:right w:val="none" w:sz="0" w:space="0" w:color="auto"/>
      </w:divBdr>
    </w:div>
    <w:div w:id="675034750">
      <w:marLeft w:val="0"/>
      <w:marRight w:val="0"/>
      <w:marTop w:val="0"/>
      <w:marBottom w:val="180"/>
      <w:divBdr>
        <w:top w:val="none" w:sz="0" w:space="0" w:color="auto"/>
        <w:left w:val="none" w:sz="0" w:space="0" w:color="auto"/>
        <w:bottom w:val="none" w:sz="0" w:space="0" w:color="auto"/>
        <w:right w:val="none" w:sz="0" w:space="0" w:color="auto"/>
      </w:divBdr>
    </w:div>
    <w:div w:id="675153325">
      <w:marLeft w:val="0"/>
      <w:marRight w:val="0"/>
      <w:marTop w:val="0"/>
      <w:marBottom w:val="0"/>
      <w:divBdr>
        <w:top w:val="none" w:sz="0" w:space="0" w:color="auto"/>
        <w:left w:val="none" w:sz="0" w:space="0" w:color="auto"/>
        <w:bottom w:val="none" w:sz="0" w:space="0" w:color="auto"/>
        <w:right w:val="none" w:sz="0" w:space="0" w:color="auto"/>
      </w:divBdr>
      <w:divsChild>
        <w:div w:id="1005132386">
          <w:marLeft w:val="0"/>
          <w:marRight w:val="0"/>
          <w:marTop w:val="0"/>
          <w:marBottom w:val="0"/>
          <w:divBdr>
            <w:top w:val="none" w:sz="0" w:space="0" w:color="auto"/>
            <w:left w:val="none" w:sz="0" w:space="0" w:color="auto"/>
            <w:bottom w:val="none" w:sz="0" w:space="0" w:color="auto"/>
            <w:right w:val="none" w:sz="0" w:space="0" w:color="auto"/>
          </w:divBdr>
        </w:div>
      </w:divsChild>
    </w:div>
    <w:div w:id="676805230">
      <w:marLeft w:val="0"/>
      <w:marRight w:val="0"/>
      <w:marTop w:val="0"/>
      <w:marBottom w:val="0"/>
      <w:divBdr>
        <w:top w:val="none" w:sz="0" w:space="0" w:color="auto"/>
        <w:left w:val="none" w:sz="0" w:space="0" w:color="auto"/>
        <w:bottom w:val="none" w:sz="0" w:space="0" w:color="auto"/>
        <w:right w:val="none" w:sz="0" w:space="0" w:color="auto"/>
      </w:divBdr>
    </w:div>
    <w:div w:id="677200049">
      <w:marLeft w:val="0"/>
      <w:marRight w:val="0"/>
      <w:marTop w:val="0"/>
      <w:marBottom w:val="240"/>
      <w:divBdr>
        <w:top w:val="none" w:sz="0" w:space="0" w:color="auto"/>
        <w:left w:val="none" w:sz="0" w:space="0" w:color="auto"/>
        <w:bottom w:val="none" w:sz="0" w:space="0" w:color="auto"/>
        <w:right w:val="none" w:sz="0" w:space="0" w:color="auto"/>
      </w:divBdr>
    </w:div>
    <w:div w:id="679545309">
      <w:marLeft w:val="0"/>
      <w:marRight w:val="0"/>
      <w:marTop w:val="0"/>
      <w:marBottom w:val="0"/>
      <w:divBdr>
        <w:top w:val="none" w:sz="0" w:space="0" w:color="auto"/>
        <w:left w:val="none" w:sz="0" w:space="0" w:color="auto"/>
        <w:bottom w:val="none" w:sz="0" w:space="0" w:color="auto"/>
        <w:right w:val="none" w:sz="0" w:space="0" w:color="auto"/>
      </w:divBdr>
      <w:divsChild>
        <w:div w:id="99951946">
          <w:marLeft w:val="0"/>
          <w:marRight w:val="0"/>
          <w:marTop w:val="0"/>
          <w:marBottom w:val="0"/>
          <w:divBdr>
            <w:top w:val="none" w:sz="0" w:space="0" w:color="auto"/>
            <w:left w:val="none" w:sz="0" w:space="0" w:color="auto"/>
            <w:bottom w:val="none" w:sz="0" w:space="0" w:color="auto"/>
            <w:right w:val="none" w:sz="0" w:space="0" w:color="auto"/>
          </w:divBdr>
        </w:div>
      </w:divsChild>
    </w:div>
    <w:div w:id="680938512">
      <w:marLeft w:val="0"/>
      <w:marRight w:val="0"/>
      <w:marTop w:val="0"/>
      <w:marBottom w:val="180"/>
      <w:divBdr>
        <w:top w:val="none" w:sz="0" w:space="0" w:color="auto"/>
        <w:left w:val="none" w:sz="0" w:space="0" w:color="auto"/>
        <w:bottom w:val="none" w:sz="0" w:space="0" w:color="auto"/>
        <w:right w:val="none" w:sz="0" w:space="0" w:color="auto"/>
      </w:divBdr>
    </w:div>
    <w:div w:id="681203153">
      <w:marLeft w:val="0"/>
      <w:marRight w:val="0"/>
      <w:marTop w:val="0"/>
      <w:marBottom w:val="240"/>
      <w:divBdr>
        <w:top w:val="none" w:sz="0" w:space="0" w:color="auto"/>
        <w:left w:val="none" w:sz="0" w:space="0" w:color="auto"/>
        <w:bottom w:val="none" w:sz="0" w:space="0" w:color="auto"/>
        <w:right w:val="none" w:sz="0" w:space="0" w:color="auto"/>
      </w:divBdr>
    </w:div>
    <w:div w:id="684065152">
      <w:marLeft w:val="0"/>
      <w:marRight w:val="0"/>
      <w:marTop w:val="180"/>
      <w:marBottom w:val="180"/>
      <w:divBdr>
        <w:top w:val="none" w:sz="0" w:space="0" w:color="auto"/>
        <w:left w:val="none" w:sz="0" w:space="0" w:color="auto"/>
        <w:bottom w:val="none" w:sz="0" w:space="0" w:color="auto"/>
        <w:right w:val="none" w:sz="0" w:space="0" w:color="auto"/>
      </w:divBdr>
    </w:div>
    <w:div w:id="684985477">
      <w:marLeft w:val="0"/>
      <w:marRight w:val="0"/>
      <w:marTop w:val="0"/>
      <w:marBottom w:val="180"/>
      <w:divBdr>
        <w:top w:val="none" w:sz="0" w:space="0" w:color="auto"/>
        <w:left w:val="none" w:sz="0" w:space="0" w:color="auto"/>
        <w:bottom w:val="none" w:sz="0" w:space="0" w:color="auto"/>
        <w:right w:val="none" w:sz="0" w:space="0" w:color="auto"/>
      </w:divBdr>
    </w:div>
    <w:div w:id="685210736">
      <w:marLeft w:val="0"/>
      <w:marRight w:val="0"/>
      <w:marTop w:val="180"/>
      <w:marBottom w:val="180"/>
      <w:divBdr>
        <w:top w:val="none" w:sz="0" w:space="0" w:color="auto"/>
        <w:left w:val="none" w:sz="0" w:space="0" w:color="auto"/>
        <w:bottom w:val="none" w:sz="0" w:space="0" w:color="auto"/>
        <w:right w:val="none" w:sz="0" w:space="0" w:color="auto"/>
      </w:divBdr>
    </w:div>
    <w:div w:id="687608468">
      <w:marLeft w:val="0"/>
      <w:marRight w:val="0"/>
      <w:marTop w:val="0"/>
      <w:marBottom w:val="240"/>
      <w:divBdr>
        <w:top w:val="none" w:sz="0" w:space="0" w:color="auto"/>
        <w:left w:val="none" w:sz="0" w:space="0" w:color="auto"/>
        <w:bottom w:val="none" w:sz="0" w:space="0" w:color="auto"/>
        <w:right w:val="none" w:sz="0" w:space="0" w:color="auto"/>
      </w:divBdr>
    </w:div>
    <w:div w:id="690423250">
      <w:marLeft w:val="0"/>
      <w:marRight w:val="0"/>
      <w:marTop w:val="0"/>
      <w:marBottom w:val="0"/>
      <w:divBdr>
        <w:top w:val="none" w:sz="0" w:space="0" w:color="auto"/>
        <w:left w:val="none" w:sz="0" w:space="0" w:color="auto"/>
        <w:bottom w:val="none" w:sz="0" w:space="0" w:color="auto"/>
        <w:right w:val="none" w:sz="0" w:space="0" w:color="auto"/>
      </w:divBdr>
      <w:divsChild>
        <w:div w:id="1633444585">
          <w:marLeft w:val="0"/>
          <w:marRight w:val="0"/>
          <w:marTop w:val="0"/>
          <w:marBottom w:val="0"/>
          <w:divBdr>
            <w:top w:val="none" w:sz="0" w:space="0" w:color="auto"/>
            <w:left w:val="none" w:sz="0" w:space="0" w:color="auto"/>
            <w:bottom w:val="none" w:sz="0" w:space="0" w:color="auto"/>
            <w:right w:val="none" w:sz="0" w:space="0" w:color="auto"/>
          </w:divBdr>
        </w:div>
      </w:divsChild>
    </w:div>
    <w:div w:id="690961379">
      <w:marLeft w:val="0"/>
      <w:marRight w:val="0"/>
      <w:marTop w:val="0"/>
      <w:marBottom w:val="240"/>
      <w:divBdr>
        <w:top w:val="none" w:sz="0" w:space="0" w:color="auto"/>
        <w:left w:val="none" w:sz="0" w:space="0" w:color="auto"/>
        <w:bottom w:val="none" w:sz="0" w:space="0" w:color="auto"/>
        <w:right w:val="none" w:sz="0" w:space="0" w:color="auto"/>
      </w:divBdr>
    </w:div>
    <w:div w:id="692417568">
      <w:marLeft w:val="0"/>
      <w:marRight w:val="0"/>
      <w:marTop w:val="0"/>
      <w:marBottom w:val="180"/>
      <w:divBdr>
        <w:top w:val="none" w:sz="0" w:space="0" w:color="auto"/>
        <w:left w:val="none" w:sz="0" w:space="0" w:color="auto"/>
        <w:bottom w:val="none" w:sz="0" w:space="0" w:color="auto"/>
        <w:right w:val="none" w:sz="0" w:space="0" w:color="auto"/>
      </w:divBdr>
    </w:div>
    <w:div w:id="692612634">
      <w:marLeft w:val="0"/>
      <w:marRight w:val="0"/>
      <w:marTop w:val="180"/>
      <w:marBottom w:val="180"/>
      <w:divBdr>
        <w:top w:val="none" w:sz="0" w:space="0" w:color="auto"/>
        <w:left w:val="none" w:sz="0" w:space="0" w:color="auto"/>
        <w:bottom w:val="none" w:sz="0" w:space="0" w:color="auto"/>
        <w:right w:val="none" w:sz="0" w:space="0" w:color="auto"/>
      </w:divBdr>
    </w:div>
    <w:div w:id="692879182">
      <w:marLeft w:val="0"/>
      <w:marRight w:val="0"/>
      <w:marTop w:val="0"/>
      <w:marBottom w:val="240"/>
      <w:divBdr>
        <w:top w:val="none" w:sz="0" w:space="0" w:color="auto"/>
        <w:left w:val="none" w:sz="0" w:space="0" w:color="auto"/>
        <w:bottom w:val="none" w:sz="0" w:space="0" w:color="auto"/>
        <w:right w:val="none" w:sz="0" w:space="0" w:color="auto"/>
      </w:divBdr>
    </w:div>
    <w:div w:id="693000637">
      <w:marLeft w:val="0"/>
      <w:marRight w:val="0"/>
      <w:marTop w:val="0"/>
      <w:marBottom w:val="180"/>
      <w:divBdr>
        <w:top w:val="none" w:sz="0" w:space="0" w:color="auto"/>
        <w:left w:val="none" w:sz="0" w:space="0" w:color="auto"/>
        <w:bottom w:val="none" w:sz="0" w:space="0" w:color="auto"/>
        <w:right w:val="none" w:sz="0" w:space="0" w:color="auto"/>
      </w:divBdr>
    </w:div>
    <w:div w:id="693921881">
      <w:marLeft w:val="0"/>
      <w:marRight w:val="0"/>
      <w:marTop w:val="0"/>
      <w:marBottom w:val="0"/>
      <w:divBdr>
        <w:top w:val="none" w:sz="0" w:space="0" w:color="auto"/>
        <w:left w:val="none" w:sz="0" w:space="0" w:color="auto"/>
        <w:bottom w:val="none" w:sz="0" w:space="0" w:color="auto"/>
        <w:right w:val="none" w:sz="0" w:space="0" w:color="auto"/>
      </w:divBdr>
    </w:div>
    <w:div w:id="695227749">
      <w:marLeft w:val="0"/>
      <w:marRight w:val="0"/>
      <w:marTop w:val="0"/>
      <w:marBottom w:val="180"/>
      <w:divBdr>
        <w:top w:val="none" w:sz="0" w:space="0" w:color="auto"/>
        <w:left w:val="none" w:sz="0" w:space="0" w:color="auto"/>
        <w:bottom w:val="none" w:sz="0" w:space="0" w:color="auto"/>
        <w:right w:val="none" w:sz="0" w:space="0" w:color="auto"/>
      </w:divBdr>
    </w:div>
    <w:div w:id="695934151">
      <w:marLeft w:val="0"/>
      <w:marRight w:val="0"/>
      <w:marTop w:val="120"/>
      <w:marBottom w:val="240"/>
      <w:divBdr>
        <w:top w:val="none" w:sz="0" w:space="0" w:color="auto"/>
        <w:left w:val="none" w:sz="0" w:space="0" w:color="auto"/>
        <w:bottom w:val="none" w:sz="0" w:space="0" w:color="auto"/>
        <w:right w:val="none" w:sz="0" w:space="0" w:color="auto"/>
      </w:divBdr>
    </w:div>
    <w:div w:id="697660871">
      <w:marLeft w:val="0"/>
      <w:marRight w:val="0"/>
      <w:marTop w:val="0"/>
      <w:marBottom w:val="240"/>
      <w:divBdr>
        <w:top w:val="none" w:sz="0" w:space="0" w:color="auto"/>
        <w:left w:val="none" w:sz="0" w:space="0" w:color="auto"/>
        <w:bottom w:val="none" w:sz="0" w:space="0" w:color="auto"/>
        <w:right w:val="none" w:sz="0" w:space="0" w:color="auto"/>
      </w:divBdr>
    </w:div>
    <w:div w:id="697852731">
      <w:marLeft w:val="0"/>
      <w:marRight w:val="0"/>
      <w:marTop w:val="0"/>
      <w:marBottom w:val="240"/>
      <w:divBdr>
        <w:top w:val="none" w:sz="0" w:space="0" w:color="auto"/>
        <w:left w:val="none" w:sz="0" w:space="0" w:color="auto"/>
        <w:bottom w:val="none" w:sz="0" w:space="0" w:color="auto"/>
        <w:right w:val="none" w:sz="0" w:space="0" w:color="auto"/>
      </w:divBdr>
    </w:div>
    <w:div w:id="700671810">
      <w:marLeft w:val="0"/>
      <w:marRight w:val="0"/>
      <w:marTop w:val="0"/>
      <w:marBottom w:val="0"/>
      <w:divBdr>
        <w:top w:val="none" w:sz="0" w:space="0" w:color="auto"/>
        <w:left w:val="none" w:sz="0" w:space="0" w:color="auto"/>
        <w:bottom w:val="none" w:sz="0" w:space="0" w:color="auto"/>
        <w:right w:val="none" w:sz="0" w:space="0" w:color="auto"/>
      </w:divBdr>
      <w:divsChild>
        <w:div w:id="1089080098">
          <w:marLeft w:val="0"/>
          <w:marRight w:val="0"/>
          <w:marTop w:val="0"/>
          <w:marBottom w:val="0"/>
          <w:divBdr>
            <w:top w:val="none" w:sz="0" w:space="0" w:color="auto"/>
            <w:left w:val="none" w:sz="0" w:space="0" w:color="auto"/>
            <w:bottom w:val="none" w:sz="0" w:space="0" w:color="auto"/>
            <w:right w:val="none" w:sz="0" w:space="0" w:color="auto"/>
          </w:divBdr>
        </w:div>
      </w:divsChild>
    </w:div>
    <w:div w:id="703021838">
      <w:marLeft w:val="0"/>
      <w:marRight w:val="0"/>
      <w:marTop w:val="180"/>
      <w:marBottom w:val="180"/>
      <w:divBdr>
        <w:top w:val="none" w:sz="0" w:space="0" w:color="auto"/>
        <w:left w:val="none" w:sz="0" w:space="0" w:color="auto"/>
        <w:bottom w:val="none" w:sz="0" w:space="0" w:color="auto"/>
        <w:right w:val="none" w:sz="0" w:space="0" w:color="auto"/>
      </w:divBdr>
    </w:div>
    <w:div w:id="704062220">
      <w:marLeft w:val="0"/>
      <w:marRight w:val="0"/>
      <w:marTop w:val="0"/>
      <w:marBottom w:val="0"/>
      <w:divBdr>
        <w:top w:val="none" w:sz="0" w:space="0" w:color="auto"/>
        <w:left w:val="none" w:sz="0" w:space="0" w:color="auto"/>
        <w:bottom w:val="none" w:sz="0" w:space="0" w:color="auto"/>
        <w:right w:val="none" w:sz="0" w:space="0" w:color="auto"/>
      </w:divBdr>
    </w:div>
    <w:div w:id="704600333">
      <w:marLeft w:val="0"/>
      <w:marRight w:val="0"/>
      <w:marTop w:val="180"/>
      <w:marBottom w:val="180"/>
      <w:divBdr>
        <w:top w:val="none" w:sz="0" w:space="0" w:color="auto"/>
        <w:left w:val="none" w:sz="0" w:space="0" w:color="auto"/>
        <w:bottom w:val="none" w:sz="0" w:space="0" w:color="auto"/>
        <w:right w:val="none" w:sz="0" w:space="0" w:color="auto"/>
      </w:divBdr>
    </w:div>
    <w:div w:id="705182477">
      <w:marLeft w:val="0"/>
      <w:marRight w:val="0"/>
      <w:marTop w:val="180"/>
      <w:marBottom w:val="180"/>
      <w:divBdr>
        <w:top w:val="none" w:sz="0" w:space="0" w:color="auto"/>
        <w:left w:val="none" w:sz="0" w:space="0" w:color="auto"/>
        <w:bottom w:val="none" w:sz="0" w:space="0" w:color="auto"/>
        <w:right w:val="none" w:sz="0" w:space="0" w:color="auto"/>
      </w:divBdr>
    </w:div>
    <w:div w:id="706756654">
      <w:marLeft w:val="0"/>
      <w:marRight w:val="0"/>
      <w:marTop w:val="0"/>
      <w:marBottom w:val="240"/>
      <w:divBdr>
        <w:top w:val="none" w:sz="0" w:space="0" w:color="auto"/>
        <w:left w:val="none" w:sz="0" w:space="0" w:color="auto"/>
        <w:bottom w:val="none" w:sz="0" w:space="0" w:color="auto"/>
        <w:right w:val="none" w:sz="0" w:space="0" w:color="auto"/>
      </w:divBdr>
    </w:div>
    <w:div w:id="706831207">
      <w:marLeft w:val="0"/>
      <w:marRight w:val="0"/>
      <w:marTop w:val="180"/>
      <w:marBottom w:val="180"/>
      <w:divBdr>
        <w:top w:val="none" w:sz="0" w:space="0" w:color="auto"/>
        <w:left w:val="none" w:sz="0" w:space="0" w:color="auto"/>
        <w:bottom w:val="none" w:sz="0" w:space="0" w:color="auto"/>
        <w:right w:val="none" w:sz="0" w:space="0" w:color="auto"/>
      </w:divBdr>
    </w:div>
    <w:div w:id="707880547">
      <w:marLeft w:val="0"/>
      <w:marRight w:val="0"/>
      <w:marTop w:val="0"/>
      <w:marBottom w:val="0"/>
      <w:divBdr>
        <w:top w:val="none" w:sz="0" w:space="0" w:color="auto"/>
        <w:left w:val="none" w:sz="0" w:space="0" w:color="auto"/>
        <w:bottom w:val="none" w:sz="0" w:space="0" w:color="auto"/>
        <w:right w:val="none" w:sz="0" w:space="0" w:color="auto"/>
      </w:divBdr>
      <w:divsChild>
        <w:div w:id="595409418">
          <w:marLeft w:val="0"/>
          <w:marRight w:val="0"/>
          <w:marTop w:val="0"/>
          <w:marBottom w:val="0"/>
          <w:divBdr>
            <w:top w:val="none" w:sz="0" w:space="0" w:color="auto"/>
            <w:left w:val="none" w:sz="0" w:space="0" w:color="auto"/>
            <w:bottom w:val="none" w:sz="0" w:space="0" w:color="auto"/>
            <w:right w:val="none" w:sz="0" w:space="0" w:color="auto"/>
          </w:divBdr>
        </w:div>
      </w:divsChild>
    </w:div>
    <w:div w:id="709107721">
      <w:marLeft w:val="0"/>
      <w:marRight w:val="0"/>
      <w:marTop w:val="0"/>
      <w:marBottom w:val="240"/>
      <w:divBdr>
        <w:top w:val="none" w:sz="0" w:space="0" w:color="auto"/>
        <w:left w:val="none" w:sz="0" w:space="0" w:color="auto"/>
        <w:bottom w:val="none" w:sz="0" w:space="0" w:color="auto"/>
        <w:right w:val="none" w:sz="0" w:space="0" w:color="auto"/>
      </w:divBdr>
    </w:div>
    <w:div w:id="709257372">
      <w:marLeft w:val="0"/>
      <w:marRight w:val="0"/>
      <w:marTop w:val="180"/>
      <w:marBottom w:val="180"/>
      <w:divBdr>
        <w:top w:val="none" w:sz="0" w:space="0" w:color="auto"/>
        <w:left w:val="none" w:sz="0" w:space="0" w:color="auto"/>
        <w:bottom w:val="none" w:sz="0" w:space="0" w:color="auto"/>
        <w:right w:val="none" w:sz="0" w:space="0" w:color="auto"/>
      </w:divBdr>
    </w:div>
    <w:div w:id="712385448">
      <w:marLeft w:val="0"/>
      <w:marRight w:val="0"/>
      <w:marTop w:val="100"/>
      <w:marBottom w:val="120"/>
      <w:divBdr>
        <w:top w:val="none" w:sz="0" w:space="0" w:color="auto"/>
        <w:left w:val="none" w:sz="0" w:space="0" w:color="auto"/>
        <w:bottom w:val="none" w:sz="0" w:space="0" w:color="auto"/>
        <w:right w:val="none" w:sz="0" w:space="0" w:color="auto"/>
      </w:divBdr>
    </w:div>
    <w:div w:id="712510320">
      <w:marLeft w:val="0"/>
      <w:marRight w:val="0"/>
      <w:marTop w:val="0"/>
      <w:marBottom w:val="0"/>
      <w:divBdr>
        <w:top w:val="none" w:sz="0" w:space="0" w:color="auto"/>
        <w:left w:val="none" w:sz="0" w:space="0" w:color="auto"/>
        <w:bottom w:val="none" w:sz="0" w:space="0" w:color="auto"/>
        <w:right w:val="none" w:sz="0" w:space="0" w:color="auto"/>
      </w:divBdr>
      <w:divsChild>
        <w:div w:id="1225410426">
          <w:marLeft w:val="0"/>
          <w:marRight w:val="0"/>
          <w:marTop w:val="0"/>
          <w:marBottom w:val="0"/>
          <w:divBdr>
            <w:top w:val="none" w:sz="0" w:space="0" w:color="auto"/>
            <w:left w:val="none" w:sz="0" w:space="0" w:color="auto"/>
            <w:bottom w:val="none" w:sz="0" w:space="0" w:color="auto"/>
            <w:right w:val="none" w:sz="0" w:space="0" w:color="auto"/>
          </w:divBdr>
        </w:div>
      </w:divsChild>
    </w:div>
    <w:div w:id="714160794">
      <w:marLeft w:val="0"/>
      <w:marRight w:val="0"/>
      <w:marTop w:val="0"/>
      <w:marBottom w:val="240"/>
      <w:divBdr>
        <w:top w:val="none" w:sz="0" w:space="0" w:color="auto"/>
        <w:left w:val="none" w:sz="0" w:space="0" w:color="auto"/>
        <w:bottom w:val="none" w:sz="0" w:space="0" w:color="auto"/>
        <w:right w:val="none" w:sz="0" w:space="0" w:color="auto"/>
      </w:divBdr>
    </w:div>
    <w:div w:id="714617208">
      <w:marLeft w:val="0"/>
      <w:marRight w:val="0"/>
      <w:marTop w:val="0"/>
      <w:marBottom w:val="0"/>
      <w:divBdr>
        <w:top w:val="none" w:sz="0" w:space="0" w:color="auto"/>
        <w:left w:val="none" w:sz="0" w:space="0" w:color="auto"/>
        <w:bottom w:val="none" w:sz="0" w:space="0" w:color="auto"/>
        <w:right w:val="none" w:sz="0" w:space="0" w:color="auto"/>
      </w:divBdr>
      <w:divsChild>
        <w:div w:id="1984191042">
          <w:marLeft w:val="0"/>
          <w:marRight w:val="0"/>
          <w:marTop w:val="0"/>
          <w:marBottom w:val="0"/>
          <w:divBdr>
            <w:top w:val="none" w:sz="0" w:space="0" w:color="auto"/>
            <w:left w:val="none" w:sz="0" w:space="0" w:color="auto"/>
            <w:bottom w:val="none" w:sz="0" w:space="0" w:color="auto"/>
            <w:right w:val="none" w:sz="0" w:space="0" w:color="auto"/>
          </w:divBdr>
        </w:div>
      </w:divsChild>
    </w:div>
    <w:div w:id="715355709">
      <w:marLeft w:val="0"/>
      <w:marRight w:val="0"/>
      <w:marTop w:val="240"/>
      <w:marBottom w:val="240"/>
      <w:divBdr>
        <w:top w:val="none" w:sz="0" w:space="0" w:color="auto"/>
        <w:left w:val="none" w:sz="0" w:space="0" w:color="auto"/>
        <w:bottom w:val="none" w:sz="0" w:space="0" w:color="auto"/>
        <w:right w:val="none" w:sz="0" w:space="0" w:color="auto"/>
      </w:divBdr>
    </w:div>
    <w:div w:id="717433135">
      <w:marLeft w:val="0"/>
      <w:marRight w:val="0"/>
      <w:marTop w:val="180"/>
      <w:marBottom w:val="180"/>
      <w:divBdr>
        <w:top w:val="none" w:sz="0" w:space="0" w:color="auto"/>
        <w:left w:val="none" w:sz="0" w:space="0" w:color="auto"/>
        <w:bottom w:val="none" w:sz="0" w:space="0" w:color="auto"/>
        <w:right w:val="none" w:sz="0" w:space="0" w:color="auto"/>
      </w:divBdr>
    </w:div>
    <w:div w:id="721371524">
      <w:marLeft w:val="0"/>
      <w:marRight w:val="0"/>
      <w:marTop w:val="0"/>
      <w:marBottom w:val="240"/>
      <w:divBdr>
        <w:top w:val="none" w:sz="0" w:space="0" w:color="auto"/>
        <w:left w:val="none" w:sz="0" w:space="0" w:color="auto"/>
        <w:bottom w:val="none" w:sz="0" w:space="0" w:color="auto"/>
        <w:right w:val="none" w:sz="0" w:space="0" w:color="auto"/>
      </w:divBdr>
    </w:div>
    <w:div w:id="721446058">
      <w:marLeft w:val="0"/>
      <w:marRight w:val="0"/>
      <w:marTop w:val="0"/>
      <w:marBottom w:val="0"/>
      <w:divBdr>
        <w:top w:val="none" w:sz="0" w:space="0" w:color="auto"/>
        <w:left w:val="none" w:sz="0" w:space="0" w:color="auto"/>
        <w:bottom w:val="none" w:sz="0" w:space="0" w:color="auto"/>
        <w:right w:val="none" w:sz="0" w:space="0" w:color="auto"/>
      </w:divBdr>
      <w:divsChild>
        <w:div w:id="718629062">
          <w:marLeft w:val="0"/>
          <w:marRight w:val="0"/>
          <w:marTop w:val="0"/>
          <w:marBottom w:val="0"/>
          <w:divBdr>
            <w:top w:val="none" w:sz="0" w:space="0" w:color="auto"/>
            <w:left w:val="none" w:sz="0" w:space="0" w:color="auto"/>
            <w:bottom w:val="none" w:sz="0" w:space="0" w:color="auto"/>
            <w:right w:val="none" w:sz="0" w:space="0" w:color="auto"/>
          </w:divBdr>
        </w:div>
      </w:divsChild>
    </w:div>
    <w:div w:id="721557761">
      <w:marLeft w:val="0"/>
      <w:marRight w:val="0"/>
      <w:marTop w:val="0"/>
      <w:marBottom w:val="0"/>
      <w:divBdr>
        <w:top w:val="none" w:sz="0" w:space="0" w:color="auto"/>
        <w:left w:val="none" w:sz="0" w:space="0" w:color="auto"/>
        <w:bottom w:val="none" w:sz="0" w:space="0" w:color="auto"/>
        <w:right w:val="none" w:sz="0" w:space="0" w:color="auto"/>
      </w:divBdr>
    </w:div>
    <w:div w:id="722682404">
      <w:marLeft w:val="0"/>
      <w:marRight w:val="0"/>
      <w:marTop w:val="0"/>
      <w:marBottom w:val="0"/>
      <w:divBdr>
        <w:top w:val="none" w:sz="0" w:space="0" w:color="auto"/>
        <w:left w:val="none" w:sz="0" w:space="0" w:color="auto"/>
        <w:bottom w:val="none" w:sz="0" w:space="0" w:color="auto"/>
        <w:right w:val="none" w:sz="0" w:space="0" w:color="auto"/>
      </w:divBdr>
    </w:div>
    <w:div w:id="723528901">
      <w:marLeft w:val="0"/>
      <w:marRight w:val="0"/>
      <w:marTop w:val="0"/>
      <w:marBottom w:val="240"/>
      <w:divBdr>
        <w:top w:val="none" w:sz="0" w:space="0" w:color="auto"/>
        <w:left w:val="none" w:sz="0" w:space="0" w:color="auto"/>
        <w:bottom w:val="none" w:sz="0" w:space="0" w:color="auto"/>
        <w:right w:val="none" w:sz="0" w:space="0" w:color="auto"/>
      </w:divBdr>
    </w:div>
    <w:div w:id="723790864">
      <w:marLeft w:val="0"/>
      <w:marRight w:val="0"/>
      <w:marTop w:val="0"/>
      <w:marBottom w:val="180"/>
      <w:divBdr>
        <w:top w:val="none" w:sz="0" w:space="0" w:color="auto"/>
        <w:left w:val="none" w:sz="0" w:space="0" w:color="auto"/>
        <w:bottom w:val="none" w:sz="0" w:space="0" w:color="auto"/>
        <w:right w:val="none" w:sz="0" w:space="0" w:color="auto"/>
      </w:divBdr>
    </w:div>
    <w:div w:id="726338656">
      <w:marLeft w:val="0"/>
      <w:marRight w:val="0"/>
      <w:marTop w:val="60"/>
      <w:marBottom w:val="0"/>
      <w:divBdr>
        <w:top w:val="none" w:sz="0" w:space="0" w:color="auto"/>
        <w:left w:val="none" w:sz="0" w:space="0" w:color="auto"/>
        <w:bottom w:val="none" w:sz="0" w:space="0" w:color="auto"/>
        <w:right w:val="none" w:sz="0" w:space="0" w:color="auto"/>
      </w:divBdr>
    </w:div>
    <w:div w:id="728840162">
      <w:marLeft w:val="0"/>
      <w:marRight w:val="0"/>
      <w:marTop w:val="0"/>
      <w:marBottom w:val="180"/>
      <w:divBdr>
        <w:top w:val="none" w:sz="0" w:space="0" w:color="auto"/>
        <w:left w:val="none" w:sz="0" w:space="0" w:color="auto"/>
        <w:bottom w:val="none" w:sz="0" w:space="0" w:color="auto"/>
        <w:right w:val="none" w:sz="0" w:space="0" w:color="auto"/>
      </w:divBdr>
    </w:div>
    <w:div w:id="729419920">
      <w:marLeft w:val="0"/>
      <w:marRight w:val="0"/>
      <w:marTop w:val="0"/>
      <w:marBottom w:val="60"/>
      <w:divBdr>
        <w:top w:val="none" w:sz="0" w:space="0" w:color="auto"/>
        <w:left w:val="none" w:sz="0" w:space="0" w:color="auto"/>
        <w:bottom w:val="none" w:sz="0" w:space="0" w:color="auto"/>
        <w:right w:val="none" w:sz="0" w:space="0" w:color="auto"/>
      </w:divBdr>
    </w:div>
    <w:div w:id="730034450">
      <w:marLeft w:val="0"/>
      <w:marRight w:val="0"/>
      <w:marTop w:val="0"/>
      <w:marBottom w:val="240"/>
      <w:divBdr>
        <w:top w:val="none" w:sz="0" w:space="0" w:color="auto"/>
        <w:left w:val="none" w:sz="0" w:space="0" w:color="auto"/>
        <w:bottom w:val="none" w:sz="0" w:space="0" w:color="auto"/>
        <w:right w:val="none" w:sz="0" w:space="0" w:color="auto"/>
      </w:divBdr>
    </w:div>
    <w:div w:id="731855814">
      <w:marLeft w:val="0"/>
      <w:marRight w:val="0"/>
      <w:marTop w:val="0"/>
      <w:marBottom w:val="180"/>
      <w:divBdr>
        <w:top w:val="none" w:sz="0" w:space="0" w:color="auto"/>
        <w:left w:val="none" w:sz="0" w:space="0" w:color="auto"/>
        <w:bottom w:val="none" w:sz="0" w:space="0" w:color="auto"/>
        <w:right w:val="none" w:sz="0" w:space="0" w:color="auto"/>
      </w:divBdr>
    </w:div>
    <w:div w:id="733234651">
      <w:marLeft w:val="0"/>
      <w:marRight w:val="0"/>
      <w:marTop w:val="0"/>
      <w:marBottom w:val="180"/>
      <w:divBdr>
        <w:top w:val="none" w:sz="0" w:space="0" w:color="auto"/>
        <w:left w:val="none" w:sz="0" w:space="0" w:color="auto"/>
        <w:bottom w:val="none" w:sz="0" w:space="0" w:color="auto"/>
        <w:right w:val="none" w:sz="0" w:space="0" w:color="auto"/>
      </w:divBdr>
    </w:div>
    <w:div w:id="735083613">
      <w:marLeft w:val="0"/>
      <w:marRight w:val="0"/>
      <w:marTop w:val="100"/>
      <w:marBottom w:val="0"/>
      <w:divBdr>
        <w:top w:val="none" w:sz="0" w:space="0" w:color="auto"/>
        <w:left w:val="none" w:sz="0" w:space="0" w:color="auto"/>
        <w:bottom w:val="none" w:sz="0" w:space="0" w:color="auto"/>
        <w:right w:val="none" w:sz="0" w:space="0" w:color="auto"/>
      </w:divBdr>
    </w:div>
    <w:div w:id="735975542">
      <w:marLeft w:val="0"/>
      <w:marRight w:val="0"/>
      <w:marTop w:val="120"/>
      <w:marBottom w:val="120"/>
      <w:divBdr>
        <w:top w:val="none" w:sz="0" w:space="0" w:color="auto"/>
        <w:left w:val="none" w:sz="0" w:space="0" w:color="auto"/>
        <w:bottom w:val="none" w:sz="0" w:space="0" w:color="auto"/>
        <w:right w:val="none" w:sz="0" w:space="0" w:color="auto"/>
      </w:divBdr>
    </w:div>
    <w:div w:id="736366508">
      <w:marLeft w:val="0"/>
      <w:marRight w:val="0"/>
      <w:marTop w:val="0"/>
      <w:marBottom w:val="180"/>
      <w:divBdr>
        <w:top w:val="none" w:sz="0" w:space="0" w:color="auto"/>
        <w:left w:val="none" w:sz="0" w:space="0" w:color="auto"/>
        <w:bottom w:val="none" w:sz="0" w:space="0" w:color="auto"/>
        <w:right w:val="none" w:sz="0" w:space="0" w:color="auto"/>
      </w:divBdr>
    </w:div>
    <w:div w:id="736778589">
      <w:marLeft w:val="0"/>
      <w:marRight w:val="0"/>
      <w:marTop w:val="0"/>
      <w:marBottom w:val="180"/>
      <w:divBdr>
        <w:top w:val="none" w:sz="0" w:space="0" w:color="auto"/>
        <w:left w:val="none" w:sz="0" w:space="0" w:color="auto"/>
        <w:bottom w:val="none" w:sz="0" w:space="0" w:color="auto"/>
        <w:right w:val="none" w:sz="0" w:space="0" w:color="auto"/>
      </w:divBdr>
    </w:div>
    <w:div w:id="737553317">
      <w:marLeft w:val="0"/>
      <w:marRight w:val="0"/>
      <w:marTop w:val="120"/>
      <w:marBottom w:val="120"/>
      <w:divBdr>
        <w:top w:val="none" w:sz="0" w:space="0" w:color="auto"/>
        <w:left w:val="none" w:sz="0" w:space="0" w:color="auto"/>
        <w:bottom w:val="none" w:sz="0" w:space="0" w:color="auto"/>
        <w:right w:val="none" w:sz="0" w:space="0" w:color="auto"/>
      </w:divBdr>
    </w:div>
    <w:div w:id="740493026">
      <w:marLeft w:val="0"/>
      <w:marRight w:val="0"/>
      <w:marTop w:val="0"/>
      <w:marBottom w:val="0"/>
      <w:divBdr>
        <w:top w:val="none" w:sz="0" w:space="0" w:color="auto"/>
        <w:left w:val="none" w:sz="0" w:space="0" w:color="auto"/>
        <w:bottom w:val="none" w:sz="0" w:space="0" w:color="auto"/>
        <w:right w:val="none" w:sz="0" w:space="0" w:color="auto"/>
      </w:divBdr>
      <w:divsChild>
        <w:div w:id="887573774">
          <w:marLeft w:val="0"/>
          <w:marRight w:val="0"/>
          <w:marTop w:val="0"/>
          <w:marBottom w:val="0"/>
          <w:divBdr>
            <w:top w:val="none" w:sz="0" w:space="0" w:color="auto"/>
            <w:left w:val="none" w:sz="0" w:space="0" w:color="auto"/>
            <w:bottom w:val="none" w:sz="0" w:space="0" w:color="auto"/>
            <w:right w:val="none" w:sz="0" w:space="0" w:color="auto"/>
          </w:divBdr>
        </w:div>
      </w:divsChild>
    </w:div>
    <w:div w:id="741559225">
      <w:marLeft w:val="0"/>
      <w:marRight w:val="0"/>
      <w:marTop w:val="0"/>
      <w:marBottom w:val="180"/>
      <w:divBdr>
        <w:top w:val="none" w:sz="0" w:space="0" w:color="auto"/>
        <w:left w:val="none" w:sz="0" w:space="0" w:color="auto"/>
        <w:bottom w:val="none" w:sz="0" w:space="0" w:color="auto"/>
        <w:right w:val="none" w:sz="0" w:space="0" w:color="auto"/>
      </w:divBdr>
    </w:div>
    <w:div w:id="743839464">
      <w:marLeft w:val="0"/>
      <w:marRight w:val="0"/>
      <w:marTop w:val="0"/>
      <w:marBottom w:val="0"/>
      <w:divBdr>
        <w:top w:val="none" w:sz="0" w:space="0" w:color="auto"/>
        <w:left w:val="none" w:sz="0" w:space="0" w:color="auto"/>
        <w:bottom w:val="none" w:sz="0" w:space="0" w:color="auto"/>
        <w:right w:val="none" w:sz="0" w:space="0" w:color="auto"/>
      </w:divBdr>
      <w:divsChild>
        <w:div w:id="1658654237">
          <w:marLeft w:val="0"/>
          <w:marRight w:val="0"/>
          <w:marTop w:val="0"/>
          <w:marBottom w:val="0"/>
          <w:divBdr>
            <w:top w:val="none" w:sz="0" w:space="0" w:color="auto"/>
            <w:left w:val="none" w:sz="0" w:space="0" w:color="auto"/>
            <w:bottom w:val="none" w:sz="0" w:space="0" w:color="auto"/>
            <w:right w:val="none" w:sz="0" w:space="0" w:color="auto"/>
          </w:divBdr>
        </w:div>
        <w:div w:id="139736592">
          <w:marLeft w:val="0"/>
          <w:marRight w:val="0"/>
          <w:marTop w:val="0"/>
          <w:marBottom w:val="0"/>
          <w:divBdr>
            <w:top w:val="none" w:sz="0" w:space="0" w:color="auto"/>
            <w:left w:val="none" w:sz="0" w:space="0" w:color="auto"/>
            <w:bottom w:val="none" w:sz="0" w:space="0" w:color="auto"/>
            <w:right w:val="none" w:sz="0" w:space="0" w:color="auto"/>
          </w:divBdr>
        </w:div>
      </w:divsChild>
    </w:div>
    <w:div w:id="744185442">
      <w:marLeft w:val="0"/>
      <w:marRight w:val="0"/>
      <w:marTop w:val="0"/>
      <w:marBottom w:val="180"/>
      <w:divBdr>
        <w:top w:val="none" w:sz="0" w:space="0" w:color="auto"/>
        <w:left w:val="none" w:sz="0" w:space="0" w:color="auto"/>
        <w:bottom w:val="none" w:sz="0" w:space="0" w:color="auto"/>
        <w:right w:val="none" w:sz="0" w:space="0" w:color="auto"/>
      </w:divBdr>
    </w:div>
    <w:div w:id="747576017">
      <w:marLeft w:val="0"/>
      <w:marRight w:val="0"/>
      <w:marTop w:val="0"/>
      <w:marBottom w:val="0"/>
      <w:divBdr>
        <w:top w:val="none" w:sz="0" w:space="0" w:color="auto"/>
        <w:left w:val="none" w:sz="0" w:space="0" w:color="auto"/>
        <w:bottom w:val="none" w:sz="0" w:space="0" w:color="auto"/>
        <w:right w:val="none" w:sz="0" w:space="0" w:color="auto"/>
      </w:divBdr>
    </w:div>
    <w:div w:id="751513134">
      <w:marLeft w:val="0"/>
      <w:marRight w:val="0"/>
      <w:marTop w:val="0"/>
      <w:marBottom w:val="0"/>
      <w:divBdr>
        <w:top w:val="none" w:sz="0" w:space="0" w:color="auto"/>
        <w:left w:val="none" w:sz="0" w:space="0" w:color="auto"/>
        <w:bottom w:val="none" w:sz="0" w:space="0" w:color="auto"/>
        <w:right w:val="none" w:sz="0" w:space="0" w:color="auto"/>
      </w:divBdr>
      <w:divsChild>
        <w:div w:id="656887795">
          <w:marLeft w:val="0"/>
          <w:marRight w:val="0"/>
          <w:marTop w:val="0"/>
          <w:marBottom w:val="0"/>
          <w:divBdr>
            <w:top w:val="none" w:sz="0" w:space="0" w:color="auto"/>
            <w:left w:val="none" w:sz="0" w:space="0" w:color="auto"/>
            <w:bottom w:val="none" w:sz="0" w:space="0" w:color="auto"/>
            <w:right w:val="none" w:sz="0" w:space="0" w:color="auto"/>
          </w:divBdr>
        </w:div>
        <w:div w:id="803238678">
          <w:marLeft w:val="0"/>
          <w:marRight w:val="0"/>
          <w:marTop w:val="0"/>
          <w:marBottom w:val="0"/>
          <w:divBdr>
            <w:top w:val="none" w:sz="0" w:space="0" w:color="auto"/>
            <w:left w:val="none" w:sz="0" w:space="0" w:color="auto"/>
            <w:bottom w:val="none" w:sz="0" w:space="0" w:color="auto"/>
            <w:right w:val="none" w:sz="0" w:space="0" w:color="auto"/>
          </w:divBdr>
        </w:div>
      </w:divsChild>
    </w:div>
    <w:div w:id="752311844">
      <w:marLeft w:val="0"/>
      <w:marRight w:val="0"/>
      <w:marTop w:val="0"/>
      <w:marBottom w:val="240"/>
      <w:divBdr>
        <w:top w:val="none" w:sz="0" w:space="0" w:color="auto"/>
        <w:left w:val="none" w:sz="0" w:space="0" w:color="auto"/>
        <w:bottom w:val="none" w:sz="0" w:space="0" w:color="auto"/>
        <w:right w:val="none" w:sz="0" w:space="0" w:color="auto"/>
      </w:divBdr>
    </w:div>
    <w:div w:id="754596771">
      <w:marLeft w:val="0"/>
      <w:marRight w:val="0"/>
      <w:marTop w:val="0"/>
      <w:marBottom w:val="0"/>
      <w:divBdr>
        <w:top w:val="none" w:sz="0" w:space="0" w:color="auto"/>
        <w:left w:val="none" w:sz="0" w:space="0" w:color="auto"/>
        <w:bottom w:val="none" w:sz="0" w:space="0" w:color="auto"/>
        <w:right w:val="none" w:sz="0" w:space="0" w:color="auto"/>
      </w:divBdr>
    </w:div>
    <w:div w:id="754715116">
      <w:marLeft w:val="0"/>
      <w:marRight w:val="0"/>
      <w:marTop w:val="0"/>
      <w:marBottom w:val="240"/>
      <w:divBdr>
        <w:top w:val="none" w:sz="0" w:space="0" w:color="auto"/>
        <w:left w:val="none" w:sz="0" w:space="0" w:color="auto"/>
        <w:bottom w:val="none" w:sz="0" w:space="0" w:color="auto"/>
        <w:right w:val="none" w:sz="0" w:space="0" w:color="auto"/>
      </w:divBdr>
    </w:div>
    <w:div w:id="755325166">
      <w:marLeft w:val="0"/>
      <w:marRight w:val="0"/>
      <w:marTop w:val="180"/>
      <w:marBottom w:val="180"/>
      <w:divBdr>
        <w:top w:val="none" w:sz="0" w:space="0" w:color="auto"/>
        <w:left w:val="none" w:sz="0" w:space="0" w:color="auto"/>
        <w:bottom w:val="none" w:sz="0" w:space="0" w:color="auto"/>
        <w:right w:val="none" w:sz="0" w:space="0" w:color="auto"/>
      </w:divBdr>
    </w:div>
    <w:div w:id="755981926">
      <w:marLeft w:val="0"/>
      <w:marRight w:val="0"/>
      <w:marTop w:val="0"/>
      <w:marBottom w:val="0"/>
      <w:divBdr>
        <w:top w:val="none" w:sz="0" w:space="0" w:color="auto"/>
        <w:left w:val="none" w:sz="0" w:space="0" w:color="auto"/>
        <w:bottom w:val="none" w:sz="0" w:space="0" w:color="auto"/>
        <w:right w:val="none" w:sz="0" w:space="0" w:color="auto"/>
      </w:divBdr>
    </w:div>
    <w:div w:id="757025503">
      <w:marLeft w:val="0"/>
      <w:marRight w:val="0"/>
      <w:marTop w:val="180"/>
      <w:marBottom w:val="180"/>
      <w:divBdr>
        <w:top w:val="none" w:sz="0" w:space="0" w:color="auto"/>
        <w:left w:val="none" w:sz="0" w:space="0" w:color="auto"/>
        <w:bottom w:val="none" w:sz="0" w:space="0" w:color="auto"/>
        <w:right w:val="none" w:sz="0" w:space="0" w:color="auto"/>
      </w:divBdr>
    </w:div>
    <w:div w:id="758215368">
      <w:marLeft w:val="0"/>
      <w:marRight w:val="0"/>
      <w:marTop w:val="120"/>
      <w:marBottom w:val="120"/>
      <w:divBdr>
        <w:top w:val="none" w:sz="0" w:space="0" w:color="auto"/>
        <w:left w:val="none" w:sz="0" w:space="0" w:color="auto"/>
        <w:bottom w:val="none" w:sz="0" w:space="0" w:color="auto"/>
        <w:right w:val="none" w:sz="0" w:space="0" w:color="auto"/>
      </w:divBdr>
    </w:div>
    <w:div w:id="758719106">
      <w:marLeft w:val="0"/>
      <w:marRight w:val="0"/>
      <w:marTop w:val="0"/>
      <w:marBottom w:val="240"/>
      <w:divBdr>
        <w:top w:val="none" w:sz="0" w:space="0" w:color="auto"/>
        <w:left w:val="none" w:sz="0" w:space="0" w:color="auto"/>
        <w:bottom w:val="none" w:sz="0" w:space="0" w:color="auto"/>
        <w:right w:val="none" w:sz="0" w:space="0" w:color="auto"/>
      </w:divBdr>
    </w:div>
    <w:div w:id="761684613">
      <w:marLeft w:val="0"/>
      <w:marRight w:val="0"/>
      <w:marTop w:val="180"/>
      <w:marBottom w:val="180"/>
      <w:divBdr>
        <w:top w:val="none" w:sz="0" w:space="0" w:color="auto"/>
        <w:left w:val="none" w:sz="0" w:space="0" w:color="auto"/>
        <w:bottom w:val="none" w:sz="0" w:space="0" w:color="auto"/>
        <w:right w:val="none" w:sz="0" w:space="0" w:color="auto"/>
      </w:divBdr>
    </w:div>
    <w:div w:id="763648903">
      <w:marLeft w:val="0"/>
      <w:marRight w:val="0"/>
      <w:marTop w:val="180"/>
      <w:marBottom w:val="180"/>
      <w:divBdr>
        <w:top w:val="none" w:sz="0" w:space="0" w:color="auto"/>
        <w:left w:val="none" w:sz="0" w:space="0" w:color="auto"/>
        <w:bottom w:val="none" w:sz="0" w:space="0" w:color="auto"/>
        <w:right w:val="none" w:sz="0" w:space="0" w:color="auto"/>
      </w:divBdr>
    </w:div>
    <w:div w:id="763843691">
      <w:marLeft w:val="0"/>
      <w:marRight w:val="0"/>
      <w:marTop w:val="100"/>
      <w:marBottom w:val="0"/>
      <w:divBdr>
        <w:top w:val="none" w:sz="0" w:space="0" w:color="auto"/>
        <w:left w:val="none" w:sz="0" w:space="0" w:color="auto"/>
        <w:bottom w:val="none" w:sz="0" w:space="0" w:color="auto"/>
        <w:right w:val="none" w:sz="0" w:space="0" w:color="auto"/>
      </w:divBdr>
    </w:div>
    <w:div w:id="765345501">
      <w:marLeft w:val="0"/>
      <w:marRight w:val="0"/>
      <w:marTop w:val="0"/>
      <w:marBottom w:val="0"/>
      <w:divBdr>
        <w:top w:val="none" w:sz="0" w:space="0" w:color="auto"/>
        <w:left w:val="none" w:sz="0" w:space="0" w:color="auto"/>
        <w:bottom w:val="none" w:sz="0" w:space="0" w:color="auto"/>
        <w:right w:val="none" w:sz="0" w:space="0" w:color="auto"/>
      </w:divBdr>
      <w:divsChild>
        <w:div w:id="904218006">
          <w:marLeft w:val="0"/>
          <w:marRight w:val="0"/>
          <w:marTop w:val="0"/>
          <w:marBottom w:val="0"/>
          <w:divBdr>
            <w:top w:val="none" w:sz="0" w:space="0" w:color="auto"/>
            <w:left w:val="none" w:sz="0" w:space="0" w:color="auto"/>
            <w:bottom w:val="none" w:sz="0" w:space="0" w:color="auto"/>
            <w:right w:val="none" w:sz="0" w:space="0" w:color="auto"/>
          </w:divBdr>
        </w:div>
      </w:divsChild>
    </w:div>
    <w:div w:id="765659814">
      <w:marLeft w:val="0"/>
      <w:marRight w:val="0"/>
      <w:marTop w:val="0"/>
      <w:marBottom w:val="0"/>
      <w:divBdr>
        <w:top w:val="none" w:sz="0" w:space="0" w:color="auto"/>
        <w:left w:val="none" w:sz="0" w:space="0" w:color="auto"/>
        <w:bottom w:val="none" w:sz="0" w:space="0" w:color="auto"/>
        <w:right w:val="none" w:sz="0" w:space="0" w:color="auto"/>
      </w:divBdr>
    </w:div>
    <w:div w:id="765689682">
      <w:marLeft w:val="0"/>
      <w:marRight w:val="0"/>
      <w:marTop w:val="100"/>
      <w:marBottom w:val="0"/>
      <w:divBdr>
        <w:top w:val="none" w:sz="0" w:space="0" w:color="auto"/>
        <w:left w:val="none" w:sz="0" w:space="0" w:color="auto"/>
        <w:bottom w:val="none" w:sz="0" w:space="0" w:color="auto"/>
        <w:right w:val="none" w:sz="0" w:space="0" w:color="auto"/>
      </w:divBdr>
      <w:divsChild>
        <w:div w:id="1202405094">
          <w:marLeft w:val="0"/>
          <w:marRight w:val="0"/>
          <w:marTop w:val="0"/>
          <w:marBottom w:val="0"/>
          <w:divBdr>
            <w:top w:val="none" w:sz="0" w:space="0" w:color="auto"/>
            <w:left w:val="none" w:sz="0" w:space="0" w:color="auto"/>
            <w:bottom w:val="none" w:sz="0" w:space="0" w:color="auto"/>
            <w:right w:val="none" w:sz="0" w:space="0" w:color="auto"/>
          </w:divBdr>
        </w:div>
        <w:div w:id="264264886">
          <w:marLeft w:val="0"/>
          <w:marRight w:val="0"/>
          <w:marTop w:val="0"/>
          <w:marBottom w:val="0"/>
          <w:divBdr>
            <w:top w:val="none" w:sz="0" w:space="0" w:color="auto"/>
            <w:left w:val="none" w:sz="0" w:space="0" w:color="auto"/>
            <w:bottom w:val="none" w:sz="0" w:space="0" w:color="auto"/>
            <w:right w:val="none" w:sz="0" w:space="0" w:color="auto"/>
          </w:divBdr>
        </w:div>
      </w:divsChild>
    </w:div>
    <w:div w:id="766190819">
      <w:marLeft w:val="0"/>
      <w:marRight w:val="0"/>
      <w:marTop w:val="0"/>
      <w:marBottom w:val="0"/>
      <w:divBdr>
        <w:top w:val="none" w:sz="0" w:space="0" w:color="auto"/>
        <w:left w:val="none" w:sz="0" w:space="0" w:color="auto"/>
        <w:bottom w:val="none" w:sz="0" w:space="0" w:color="auto"/>
        <w:right w:val="none" w:sz="0" w:space="0" w:color="auto"/>
      </w:divBdr>
    </w:div>
    <w:div w:id="766390308">
      <w:marLeft w:val="0"/>
      <w:marRight w:val="0"/>
      <w:marTop w:val="0"/>
      <w:marBottom w:val="0"/>
      <w:divBdr>
        <w:top w:val="none" w:sz="0" w:space="0" w:color="auto"/>
        <w:left w:val="none" w:sz="0" w:space="0" w:color="auto"/>
        <w:bottom w:val="none" w:sz="0" w:space="0" w:color="auto"/>
        <w:right w:val="none" w:sz="0" w:space="0" w:color="auto"/>
      </w:divBdr>
      <w:divsChild>
        <w:div w:id="981157919">
          <w:marLeft w:val="0"/>
          <w:marRight w:val="0"/>
          <w:marTop w:val="0"/>
          <w:marBottom w:val="0"/>
          <w:divBdr>
            <w:top w:val="none" w:sz="0" w:space="0" w:color="auto"/>
            <w:left w:val="none" w:sz="0" w:space="0" w:color="auto"/>
            <w:bottom w:val="none" w:sz="0" w:space="0" w:color="auto"/>
            <w:right w:val="none" w:sz="0" w:space="0" w:color="auto"/>
          </w:divBdr>
        </w:div>
        <w:div w:id="1503426713">
          <w:marLeft w:val="0"/>
          <w:marRight w:val="0"/>
          <w:marTop w:val="0"/>
          <w:marBottom w:val="0"/>
          <w:divBdr>
            <w:top w:val="none" w:sz="0" w:space="0" w:color="auto"/>
            <w:left w:val="none" w:sz="0" w:space="0" w:color="auto"/>
            <w:bottom w:val="none" w:sz="0" w:space="0" w:color="auto"/>
            <w:right w:val="none" w:sz="0" w:space="0" w:color="auto"/>
          </w:divBdr>
        </w:div>
      </w:divsChild>
    </w:div>
    <w:div w:id="771389981">
      <w:marLeft w:val="0"/>
      <w:marRight w:val="0"/>
      <w:marTop w:val="0"/>
      <w:marBottom w:val="0"/>
      <w:divBdr>
        <w:top w:val="none" w:sz="0" w:space="0" w:color="auto"/>
        <w:left w:val="none" w:sz="0" w:space="0" w:color="auto"/>
        <w:bottom w:val="none" w:sz="0" w:space="0" w:color="auto"/>
        <w:right w:val="none" w:sz="0" w:space="0" w:color="auto"/>
      </w:divBdr>
    </w:div>
    <w:div w:id="772014364">
      <w:marLeft w:val="0"/>
      <w:marRight w:val="0"/>
      <w:marTop w:val="0"/>
      <w:marBottom w:val="180"/>
      <w:divBdr>
        <w:top w:val="none" w:sz="0" w:space="0" w:color="auto"/>
        <w:left w:val="none" w:sz="0" w:space="0" w:color="auto"/>
        <w:bottom w:val="none" w:sz="0" w:space="0" w:color="auto"/>
        <w:right w:val="none" w:sz="0" w:space="0" w:color="auto"/>
      </w:divBdr>
    </w:div>
    <w:div w:id="772171814">
      <w:marLeft w:val="0"/>
      <w:marRight w:val="0"/>
      <w:marTop w:val="0"/>
      <w:marBottom w:val="0"/>
      <w:divBdr>
        <w:top w:val="none" w:sz="0" w:space="0" w:color="auto"/>
        <w:left w:val="none" w:sz="0" w:space="0" w:color="auto"/>
        <w:bottom w:val="none" w:sz="0" w:space="0" w:color="auto"/>
        <w:right w:val="none" w:sz="0" w:space="0" w:color="auto"/>
      </w:divBdr>
      <w:divsChild>
        <w:div w:id="369651209">
          <w:marLeft w:val="0"/>
          <w:marRight w:val="0"/>
          <w:marTop w:val="0"/>
          <w:marBottom w:val="0"/>
          <w:divBdr>
            <w:top w:val="none" w:sz="0" w:space="0" w:color="auto"/>
            <w:left w:val="none" w:sz="0" w:space="0" w:color="auto"/>
            <w:bottom w:val="none" w:sz="0" w:space="0" w:color="auto"/>
            <w:right w:val="none" w:sz="0" w:space="0" w:color="auto"/>
          </w:divBdr>
        </w:div>
        <w:div w:id="1795981269">
          <w:marLeft w:val="0"/>
          <w:marRight w:val="0"/>
          <w:marTop w:val="0"/>
          <w:marBottom w:val="0"/>
          <w:divBdr>
            <w:top w:val="none" w:sz="0" w:space="0" w:color="auto"/>
            <w:left w:val="none" w:sz="0" w:space="0" w:color="auto"/>
            <w:bottom w:val="none" w:sz="0" w:space="0" w:color="auto"/>
            <w:right w:val="none" w:sz="0" w:space="0" w:color="auto"/>
          </w:divBdr>
        </w:div>
      </w:divsChild>
    </w:div>
    <w:div w:id="773211520">
      <w:marLeft w:val="0"/>
      <w:marRight w:val="0"/>
      <w:marTop w:val="120"/>
      <w:marBottom w:val="120"/>
      <w:divBdr>
        <w:top w:val="none" w:sz="0" w:space="0" w:color="auto"/>
        <w:left w:val="none" w:sz="0" w:space="0" w:color="auto"/>
        <w:bottom w:val="none" w:sz="0" w:space="0" w:color="auto"/>
        <w:right w:val="none" w:sz="0" w:space="0" w:color="auto"/>
      </w:divBdr>
    </w:div>
    <w:div w:id="773987147">
      <w:marLeft w:val="0"/>
      <w:marRight w:val="0"/>
      <w:marTop w:val="0"/>
      <w:marBottom w:val="0"/>
      <w:divBdr>
        <w:top w:val="none" w:sz="0" w:space="0" w:color="auto"/>
        <w:left w:val="none" w:sz="0" w:space="0" w:color="auto"/>
        <w:bottom w:val="none" w:sz="0" w:space="0" w:color="auto"/>
        <w:right w:val="none" w:sz="0" w:space="0" w:color="auto"/>
      </w:divBdr>
    </w:div>
    <w:div w:id="775372251">
      <w:marLeft w:val="0"/>
      <w:marRight w:val="0"/>
      <w:marTop w:val="100"/>
      <w:marBottom w:val="0"/>
      <w:divBdr>
        <w:top w:val="none" w:sz="0" w:space="0" w:color="auto"/>
        <w:left w:val="none" w:sz="0" w:space="0" w:color="auto"/>
        <w:bottom w:val="none" w:sz="0" w:space="0" w:color="auto"/>
        <w:right w:val="none" w:sz="0" w:space="0" w:color="auto"/>
      </w:divBdr>
    </w:div>
    <w:div w:id="775977854">
      <w:marLeft w:val="0"/>
      <w:marRight w:val="0"/>
      <w:marTop w:val="120"/>
      <w:marBottom w:val="120"/>
      <w:divBdr>
        <w:top w:val="none" w:sz="0" w:space="0" w:color="auto"/>
        <w:left w:val="none" w:sz="0" w:space="0" w:color="auto"/>
        <w:bottom w:val="none" w:sz="0" w:space="0" w:color="auto"/>
        <w:right w:val="none" w:sz="0" w:space="0" w:color="auto"/>
      </w:divBdr>
    </w:div>
    <w:div w:id="779034527">
      <w:marLeft w:val="0"/>
      <w:marRight w:val="0"/>
      <w:marTop w:val="120"/>
      <w:marBottom w:val="120"/>
      <w:divBdr>
        <w:top w:val="none" w:sz="0" w:space="0" w:color="auto"/>
        <w:left w:val="none" w:sz="0" w:space="0" w:color="auto"/>
        <w:bottom w:val="none" w:sz="0" w:space="0" w:color="auto"/>
        <w:right w:val="none" w:sz="0" w:space="0" w:color="auto"/>
      </w:divBdr>
    </w:div>
    <w:div w:id="779105188">
      <w:marLeft w:val="0"/>
      <w:marRight w:val="0"/>
      <w:marTop w:val="120"/>
      <w:marBottom w:val="180"/>
      <w:divBdr>
        <w:top w:val="none" w:sz="0" w:space="0" w:color="auto"/>
        <w:left w:val="none" w:sz="0" w:space="0" w:color="auto"/>
        <w:bottom w:val="none" w:sz="0" w:space="0" w:color="auto"/>
        <w:right w:val="none" w:sz="0" w:space="0" w:color="auto"/>
      </w:divBdr>
    </w:div>
    <w:div w:id="782260763">
      <w:marLeft w:val="0"/>
      <w:marRight w:val="0"/>
      <w:marTop w:val="0"/>
      <w:marBottom w:val="180"/>
      <w:divBdr>
        <w:top w:val="none" w:sz="0" w:space="0" w:color="auto"/>
        <w:left w:val="none" w:sz="0" w:space="0" w:color="auto"/>
        <w:bottom w:val="none" w:sz="0" w:space="0" w:color="auto"/>
        <w:right w:val="none" w:sz="0" w:space="0" w:color="auto"/>
      </w:divBdr>
    </w:div>
    <w:div w:id="784269398">
      <w:marLeft w:val="0"/>
      <w:marRight w:val="0"/>
      <w:marTop w:val="0"/>
      <w:marBottom w:val="180"/>
      <w:divBdr>
        <w:top w:val="none" w:sz="0" w:space="0" w:color="auto"/>
        <w:left w:val="none" w:sz="0" w:space="0" w:color="auto"/>
        <w:bottom w:val="none" w:sz="0" w:space="0" w:color="auto"/>
        <w:right w:val="none" w:sz="0" w:space="0" w:color="auto"/>
      </w:divBdr>
    </w:div>
    <w:div w:id="788477505">
      <w:marLeft w:val="0"/>
      <w:marRight w:val="0"/>
      <w:marTop w:val="0"/>
      <w:marBottom w:val="0"/>
      <w:divBdr>
        <w:top w:val="none" w:sz="0" w:space="0" w:color="auto"/>
        <w:left w:val="none" w:sz="0" w:space="0" w:color="auto"/>
        <w:bottom w:val="none" w:sz="0" w:space="0" w:color="auto"/>
        <w:right w:val="none" w:sz="0" w:space="0" w:color="auto"/>
      </w:divBdr>
    </w:div>
    <w:div w:id="789788744">
      <w:marLeft w:val="0"/>
      <w:marRight w:val="0"/>
      <w:marTop w:val="0"/>
      <w:marBottom w:val="180"/>
      <w:divBdr>
        <w:top w:val="none" w:sz="0" w:space="0" w:color="auto"/>
        <w:left w:val="none" w:sz="0" w:space="0" w:color="auto"/>
        <w:bottom w:val="none" w:sz="0" w:space="0" w:color="auto"/>
        <w:right w:val="none" w:sz="0" w:space="0" w:color="auto"/>
      </w:divBdr>
    </w:div>
    <w:div w:id="789981434">
      <w:marLeft w:val="0"/>
      <w:marRight w:val="0"/>
      <w:marTop w:val="0"/>
      <w:marBottom w:val="180"/>
      <w:divBdr>
        <w:top w:val="none" w:sz="0" w:space="0" w:color="auto"/>
        <w:left w:val="none" w:sz="0" w:space="0" w:color="auto"/>
        <w:bottom w:val="none" w:sz="0" w:space="0" w:color="auto"/>
        <w:right w:val="none" w:sz="0" w:space="0" w:color="auto"/>
      </w:divBdr>
    </w:div>
    <w:div w:id="790131432">
      <w:marLeft w:val="0"/>
      <w:marRight w:val="0"/>
      <w:marTop w:val="0"/>
      <w:marBottom w:val="0"/>
      <w:divBdr>
        <w:top w:val="none" w:sz="0" w:space="0" w:color="auto"/>
        <w:left w:val="none" w:sz="0" w:space="0" w:color="auto"/>
        <w:bottom w:val="none" w:sz="0" w:space="0" w:color="auto"/>
        <w:right w:val="none" w:sz="0" w:space="0" w:color="auto"/>
      </w:divBdr>
    </w:div>
    <w:div w:id="790249603">
      <w:marLeft w:val="0"/>
      <w:marRight w:val="0"/>
      <w:marTop w:val="0"/>
      <w:marBottom w:val="180"/>
      <w:divBdr>
        <w:top w:val="none" w:sz="0" w:space="0" w:color="auto"/>
        <w:left w:val="none" w:sz="0" w:space="0" w:color="auto"/>
        <w:bottom w:val="none" w:sz="0" w:space="0" w:color="auto"/>
        <w:right w:val="none" w:sz="0" w:space="0" w:color="auto"/>
      </w:divBdr>
    </w:div>
    <w:div w:id="790705705">
      <w:marLeft w:val="0"/>
      <w:marRight w:val="0"/>
      <w:marTop w:val="0"/>
      <w:marBottom w:val="0"/>
      <w:divBdr>
        <w:top w:val="none" w:sz="0" w:space="0" w:color="auto"/>
        <w:left w:val="none" w:sz="0" w:space="0" w:color="auto"/>
        <w:bottom w:val="none" w:sz="0" w:space="0" w:color="auto"/>
        <w:right w:val="none" w:sz="0" w:space="0" w:color="auto"/>
      </w:divBdr>
      <w:divsChild>
        <w:div w:id="314727752">
          <w:marLeft w:val="0"/>
          <w:marRight w:val="0"/>
          <w:marTop w:val="0"/>
          <w:marBottom w:val="0"/>
          <w:divBdr>
            <w:top w:val="none" w:sz="0" w:space="0" w:color="auto"/>
            <w:left w:val="none" w:sz="0" w:space="0" w:color="auto"/>
            <w:bottom w:val="none" w:sz="0" w:space="0" w:color="auto"/>
            <w:right w:val="none" w:sz="0" w:space="0" w:color="auto"/>
          </w:divBdr>
        </w:div>
      </w:divsChild>
    </w:div>
    <w:div w:id="790786775">
      <w:marLeft w:val="0"/>
      <w:marRight w:val="0"/>
      <w:marTop w:val="0"/>
      <w:marBottom w:val="180"/>
      <w:divBdr>
        <w:top w:val="none" w:sz="0" w:space="0" w:color="auto"/>
        <w:left w:val="none" w:sz="0" w:space="0" w:color="auto"/>
        <w:bottom w:val="none" w:sz="0" w:space="0" w:color="auto"/>
        <w:right w:val="none" w:sz="0" w:space="0" w:color="auto"/>
      </w:divBdr>
    </w:div>
    <w:div w:id="791217559">
      <w:marLeft w:val="0"/>
      <w:marRight w:val="0"/>
      <w:marTop w:val="0"/>
      <w:marBottom w:val="0"/>
      <w:divBdr>
        <w:top w:val="none" w:sz="0" w:space="0" w:color="auto"/>
        <w:left w:val="none" w:sz="0" w:space="0" w:color="auto"/>
        <w:bottom w:val="none" w:sz="0" w:space="0" w:color="auto"/>
        <w:right w:val="none" w:sz="0" w:space="0" w:color="auto"/>
      </w:divBdr>
    </w:div>
    <w:div w:id="792016023">
      <w:marLeft w:val="0"/>
      <w:marRight w:val="0"/>
      <w:marTop w:val="100"/>
      <w:marBottom w:val="0"/>
      <w:divBdr>
        <w:top w:val="none" w:sz="0" w:space="0" w:color="auto"/>
        <w:left w:val="none" w:sz="0" w:space="0" w:color="auto"/>
        <w:bottom w:val="none" w:sz="0" w:space="0" w:color="auto"/>
        <w:right w:val="none" w:sz="0" w:space="0" w:color="auto"/>
      </w:divBdr>
      <w:divsChild>
        <w:div w:id="1910533615">
          <w:marLeft w:val="0"/>
          <w:marRight w:val="0"/>
          <w:marTop w:val="0"/>
          <w:marBottom w:val="0"/>
          <w:divBdr>
            <w:top w:val="none" w:sz="0" w:space="0" w:color="auto"/>
            <w:left w:val="none" w:sz="0" w:space="0" w:color="auto"/>
            <w:bottom w:val="none" w:sz="0" w:space="0" w:color="auto"/>
            <w:right w:val="none" w:sz="0" w:space="0" w:color="auto"/>
          </w:divBdr>
        </w:div>
      </w:divsChild>
    </w:div>
    <w:div w:id="792400989">
      <w:marLeft w:val="0"/>
      <w:marRight w:val="0"/>
      <w:marTop w:val="120"/>
      <w:marBottom w:val="120"/>
      <w:divBdr>
        <w:top w:val="none" w:sz="0" w:space="0" w:color="auto"/>
        <w:left w:val="none" w:sz="0" w:space="0" w:color="auto"/>
        <w:bottom w:val="none" w:sz="0" w:space="0" w:color="auto"/>
        <w:right w:val="none" w:sz="0" w:space="0" w:color="auto"/>
      </w:divBdr>
    </w:div>
    <w:div w:id="794637310">
      <w:marLeft w:val="0"/>
      <w:marRight w:val="0"/>
      <w:marTop w:val="0"/>
      <w:marBottom w:val="0"/>
      <w:divBdr>
        <w:top w:val="none" w:sz="0" w:space="0" w:color="auto"/>
        <w:left w:val="none" w:sz="0" w:space="0" w:color="auto"/>
        <w:bottom w:val="none" w:sz="0" w:space="0" w:color="auto"/>
        <w:right w:val="none" w:sz="0" w:space="0" w:color="auto"/>
      </w:divBdr>
    </w:div>
    <w:div w:id="798762714">
      <w:marLeft w:val="0"/>
      <w:marRight w:val="0"/>
      <w:marTop w:val="0"/>
      <w:marBottom w:val="240"/>
      <w:divBdr>
        <w:top w:val="none" w:sz="0" w:space="0" w:color="auto"/>
        <w:left w:val="none" w:sz="0" w:space="0" w:color="auto"/>
        <w:bottom w:val="none" w:sz="0" w:space="0" w:color="auto"/>
        <w:right w:val="none" w:sz="0" w:space="0" w:color="auto"/>
      </w:divBdr>
    </w:div>
    <w:div w:id="799106065">
      <w:marLeft w:val="0"/>
      <w:marRight w:val="0"/>
      <w:marTop w:val="0"/>
      <w:marBottom w:val="180"/>
      <w:divBdr>
        <w:top w:val="none" w:sz="0" w:space="0" w:color="auto"/>
        <w:left w:val="none" w:sz="0" w:space="0" w:color="auto"/>
        <w:bottom w:val="none" w:sz="0" w:space="0" w:color="auto"/>
        <w:right w:val="none" w:sz="0" w:space="0" w:color="auto"/>
      </w:divBdr>
    </w:div>
    <w:div w:id="801768282">
      <w:marLeft w:val="0"/>
      <w:marRight w:val="0"/>
      <w:marTop w:val="0"/>
      <w:marBottom w:val="240"/>
      <w:divBdr>
        <w:top w:val="none" w:sz="0" w:space="0" w:color="auto"/>
        <w:left w:val="none" w:sz="0" w:space="0" w:color="auto"/>
        <w:bottom w:val="none" w:sz="0" w:space="0" w:color="auto"/>
        <w:right w:val="none" w:sz="0" w:space="0" w:color="auto"/>
      </w:divBdr>
    </w:div>
    <w:div w:id="803544310">
      <w:marLeft w:val="0"/>
      <w:marRight w:val="0"/>
      <w:marTop w:val="180"/>
      <w:marBottom w:val="180"/>
      <w:divBdr>
        <w:top w:val="none" w:sz="0" w:space="0" w:color="auto"/>
        <w:left w:val="none" w:sz="0" w:space="0" w:color="auto"/>
        <w:bottom w:val="none" w:sz="0" w:space="0" w:color="auto"/>
        <w:right w:val="none" w:sz="0" w:space="0" w:color="auto"/>
      </w:divBdr>
    </w:div>
    <w:div w:id="804354631">
      <w:marLeft w:val="0"/>
      <w:marRight w:val="0"/>
      <w:marTop w:val="180"/>
      <w:marBottom w:val="180"/>
      <w:divBdr>
        <w:top w:val="none" w:sz="0" w:space="0" w:color="auto"/>
        <w:left w:val="none" w:sz="0" w:space="0" w:color="auto"/>
        <w:bottom w:val="none" w:sz="0" w:space="0" w:color="auto"/>
        <w:right w:val="none" w:sz="0" w:space="0" w:color="auto"/>
      </w:divBdr>
    </w:div>
    <w:div w:id="805706593">
      <w:marLeft w:val="0"/>
      <w:marRight w:val="0"/>
      <w:marTop w:val="0"/>
      <w:marBottom w:val="240"/>
      <w:divBdr>
        <w:top w:val="none" w:sz="0" w:space="0" w:color="auto"/>
        <w:left w:val="none" w:sz="0" w:space="0" w:color="auto"/>
        <w:bottom w:val="none" w:sz="0" w:space="0" w:color="auto"/>
        <w:right w:val="none" w:sz="0" w:space="0" w:color="auto"/>
      </w:divBdr>
    </w:div>
    <w:div w:id="805899232">
      <w:marLeft w:val="0"/>
      <w:marRight w:val="0"/>
      <w:marTop w:val="0"/>
      <w:marBottom w:val="0"/>
      <w:divBdr>
        <w:top w:val="none" w:sz="0" w:space="0" w:color="auto"/>
        <w:left w:val="none" w:sz="0" w:space="0" w:color="auto"/>
        <w:bottom w:val="none" w:sz="0" w:space="0" w:color="auto"/>
        <w:right w:val="none" w:sz="0" w:space="0" w:color="auto"/>
      </w:divBdr>
    </w:div>
    <w:div w:id="806431046">
      <w:marLeft w:val="0"/>
      <w:marRight w:val="0"/>
      <w:marTop w:val="0"/>
      <w:marBottom w:val="0"/>
      <w:divBdr>
        <w:top w:val="none" w:sz="0" w:space="0" w:color="auto"/>
        <w:left w:val="none" w:sz="0" w:space="0" w:color="auto"/>
        <w:bottom w:val="none" w:sz="0" w:space="0" w:color="auto"/>
        <w:right w:val="none" w:sz="0" w:space="0" w:color="auto"/>
      </w:divBdr>
    </w:div>
    <w:div w:id="806707407">
      <w:marLeft w:val="0"/>
      <w:marRight w:val="0"/>
      <w:marTop w:val="0"/>
      <w:marBottom w:val="240"/>
      <w:divBdr>
        <w:top w:val="none" w:sz="0" w:space="0" w:color="auto"/>
        <w:left w:val="none" w:sz="0" w:space="0" w:color="auto"/>
        <w:bottom w:val="none" w:sz="0" w:space="0" w:color="auto"/>
        <w:right w:val="none" w:sz="0" w:space="0" w:color="auto"/>
      </w:divBdr>
    </w:div>
    <w:div w:id="806973791">
      <w:marLeft w:val="0"/>
      <w:marRight w:val="0"/>
      <w:marTop w:val="120"/>
      <w:marBottom w:val="120"/>
      <w:divBdr>
        <w:top w:val="none" w:sz="0" w:space="0" w:color="auto"/>
        <w:left w:val="none" w:sz="0" w:space="0" w:color="auto"/>
        <w:bottom w:val="none" w:sz="0" w:space="0" w:color="auto"/>
        <w:right w:val="none" w:sz="0" w:space="0" w:color="auto"/>
      </w:divBdr>
    </w:div>
    <w:div w:id="807284602">
      <w:marLeft w:val="0"/>
      <w:marRight w:val="0"/>
      <w:marTop w:val="0"/>
      <w:marBottom w:val="0"/>
      <w:divBdr>
        <w:top w:val="none" w:sz="0" w:space="0" w:color="auto"/>
        <w:left w:val="none" w:sz="0" w:space="0" w:color="auto"/>
        <w:bottom w:val="none" w:sz="0" w:space="0" w:color="auto"/>
        <w:right w:val="none" w:sz="0" w:space="0" w:color="auto"/>
      </w:divBdr>
    </w:div>
    <w:div w:id="808983867">
      <w:marLeft w:val="0"/>
      <w:marRight w:val="0"/>
      <w:marTop w:val="0"/>
      <w:marBottom w:val="180"/>
      <w:divBdr>
        <w:top w:val="none" w:sz="0" w:space="0" w:color="auto"/>
        <w:left w:val="none" w:sz="0" w:space="0" w:color="auto"/>
        <w:bottom w:val="none" w:sz="0" w:space="0" w:color="auto"/>
        <w:right w:val="none" w:sz="0" w:space="0" w:color="auto"/>
      </w:divBdr>
    </w:div>
    <w:div w:id="813377308">
      <w:marLeft w:val="0"/>
      <w:marRight w:val="0"/>
      <w:marTop w:val="120"/>
      <w:marBottom w:val="120"/>
      <w:divBdr>
        <w:top w:val="none" w:sz="0" w:space="0" w:color="auto"/>
        <w:left w:val="none" w:sz="0" w:space="0" w:color="auto"/>
        <w:bottom w:val="none" w:sz="0" w:space="0" w:color="auto"/>
        <w:right w:val="none" w:sz="0" w:space="0" w:color="auto"/>
      </w:divBdr>
    </w:div>
    <w:div w:id="813907582">
      <w:marLeft w:val="0"/>
      <w:marRight w:val="0"/>
      <w:marTop w:val="0"/>
      <w:marBottom w:val="0"/>
      <w:divBdr>
        <w:top w:val="none" w:sz="0" w:space="0" w:color="auto"/>
        <w:left w:val="none" w:sz="0" w:space="0" w:color="auto"/>
        <w:bottom w:val="none" w:sz="0" w:space="0" w:color="auto"/>
        <w:right w:val="none" w:sz="0" w:space="0" w:color="auto"/>
      </w:divBdr>
    </w:div>
    <w:div w:id="815728094">
      <w:marLeft w:val="0"/>
      <w:marRight w:val="0"/>
      <w:marTop w:val="0"/>
      <w:marBottom w:val="0"/>
      <w:divBdr>
        <w:top w:val="none" w:sz="0" w:space="0" w:color="auto"/>
        <w:left w:val="none" w:sz="0" w:space="0" w:color="auto"/>
        <w:bottom w:val="none" w:sz="0" w:space="0" w:color="auto"/>
        <w:right w:val="none" w:sz="0" w:space="0" w:color="auto"/>
      </w:divBdr>
    </w:div>
    <w:div w:id="818303906">
      <w:marLeft w:val="0"/>
      <w:marRight w:val="0"/>
      <w:marTop w:val="0"/>
      <w:marBottom w:val="180"/>
      <w:divBdr>
        <w:top w:val="none" w:sz="0" w:space="0" w:color="auto"/>
        <w:left w:val="none" w:sz="0" w:space="0" w:color="auto"/>
        <w:bottom w:val="none" w:sz="0" w:space="0" w:color="auto"/>
        <w:right w:val="none" w:sz="0" w:space="0" w:color="auto"/>
      </w:divBdr>
    </w:div>
    <w:div w:id="818424681">
      <w:marLeft w:val="0"/>
      <w:marRight w:val="0"/>
      <w:marTop w:val="0"/>
      <w:marBottom w:val="180"/>
      <w:divBdr>
        <w:top w:val="none" w:sz="0" w:space="0" w:color="auto"/>
        <w:left w:val="none" w:sz="0" w:space="0" w:color="auto"/>
        <w:bottom w:val="none" w:sz="0" w:space="0" w:color="auto"/>
        <w:right w:val="none" w:sz="0" w:space="0" w:color="auto"/>
      </w:divBdr>
    </w:div>
    <w:div w:id="820662198">
      <w:marLeft w:val="0"/>
      <w:marRight w:val="0"/>
      <w:marTop w:val="180"/>
      <w:marBottom w:val="240"/>
      <w:divBdr>
        <w:top w:val="none" w:sz="0" w:space="0" w:color="auto"/>
        <w:left w:val="none" w:sz="0" w:space="0" w:color="auto"/>
        <w:bottom w:val="none" w:sz="0" w:space="0" w:color="auto"/>
        <w:right w:val="none" w:sz="0" w:space="0" w:color="auto"/>
      </w:divBdr>
    </w:div>
    <w:div w:id="822354089">
      <w:marLeft w:val="0"/>
      <w:marRight w:val="0"/>
      <w:marTop w:val="120"/>
      <w:marBottom w:val="120"/>
      <w:divBdr>
        <w:top w:val="none" w:sz="0" w:space="0" w:color="auto"/>
        <w:left w:val="none" w:sz="0" w:space="0" w:color="auto"/>
        <w:bottom w:val="none" w:sz="0" w:space="0" w:color="auto"/>
        <w:right w:val="none" w:sz="0" w:space="0" w:color="auto"/>
      </w:divBdr>
    </w:div>
    <w:div w:id="823277502">
      <w:marLeft w:val="0"/>
      <w:marRight w:val="0"/>
      <w:marTop w:val="0"/>
      <w:marBottom w:val="60"/>
      <w:divBdr>
        <w:top w:val="none" w:sz="0" w:space="0" w:color="auto"/>
        <w:left w:val="none" w:sz="0" w:space="0" w:color="auto"/>
        <w:bottom w:val="none" w:sz="0" w:space="0" w:color="auto"/>
        <w:right w:val="none" w:sz="0" w:space="0" w:color="auto"/>
      </w:divBdr>
    </w:div>
    <w:div w:id="823399333">
      <w:marLeft w:val="0"/>
      <w:marRight w:val="0"/>
      <w:marTop w:val="0"/>
      <w:marBottom w:val="0"/>
      <w:divBdr>
        <w:top w:val="none" w:sz="0" w:space="0" w:color="auto"/>
        <w:left w:val="none" w:sz="0" w:space="0" w:color="auto"/>
        <w:bottom w:val="none" w:sz="0" w:space="0" w:color="auto"/>
        <w:right w:val="none" w:sz="0" w:space="0" w:color="auto"/>
      </w:divBdr>
      <w:divsChild>
        <w:div w:id="1443769833">
          <w:marLeft w:val="0"/>
          <w:marRight w:val="0"/>
          <w:marTop w:val="0"/>
          <w:marBottom w:val="0"/>
          <w:divBdr>
            <w:top w:val="none" w:sz="0" w:space="0" w:color="auto"/>
            <w:left w:val="none" w:sz="0" w:space="0" w:color="auto"/>
            <w:bottom w:val="none" w:sz="0" w:space="0" w:color="auto"/>
            <w:right w:val="none" w:sz="0" w:space="0" w:color="auto"/>
          </w:divBdr>
          <w:divsChild>
            <w:div w:id="505244555">
              <w:marLeft w:val="0"/>
              <w:marRight w:val="0"/>
              <w:marTop w:val="0"/>
              <w:marBottom w:val="60"/>
              <w:divBdr>
                <w:top w:val="none" w:sz="0" w:space="0" w:color="auto"/>
                <w:left w:val="none" w:sz="0" w:space="0" w:color="auto"/>
                <w:bottom w:val="none" w:sz="0" w:space="0" w:color="auto"/>
                <w:right w:val="none" w:sz="0" w:space="0" w:color="auto"/>
              </w:divBdr>
            </w:div>
            <w:div w:id="1508714237">
              <w:marLeft w:val="0"/>
              <w:marRight w:val="0"/>
              <w:marTop w:val="0"/>
              <w:marBottom w:val="60"/>
              <w:divBdr>
                <w:top w:val="none" w:sz="0" w:space="0" w:color="auto"/>
                <w:left w:val="none" w:sz="0" w:space="0" w:color="auto"/>
                <w:bottom w:val="none" w:sz="0" w:space="0" w:color="auto"/>
                <w:right w:val="none" w:sz="0" w:space="0" w:color="auto"/>
              </w:divBdr>
            </w:div>
            <w:div w:id="1553619039">
              <w:marLeft w:val="0"/>
              <w:marRight w:val="0"/>
              <w:marTop w:val="0"/>
              <w:marBottom w:val="60"/>
              <w:divBdr>
                <w:top w:val="none" w:sz="0" w:space="0" w:color="auto"/>
                <w:left w:val="none" w:sz="0" w:space="0" w:color="auto"/>
                <w:bottom w:val="none" w:sz="0" w:space="0" w:color="auto"/>
                <w:right w:val="none" w:sz="0" w:space="0" w:color="auto"/>
              </w:divBdr>
            </w:div>
            <w:div w:id="1315599167">
              <w:marLeft w:val="0"/>
              <w:marRight w:val="0"/>
              <w:marTop w:val="0"/>
              <w:marBottom w:val="60"/>
              <w:divBdr>
                <w:top w:val="none" w:sz="0" w:space="0" w:color="auto"/>
                <w:left w:val="none" w:sz="0" w:space="0" w:color="auto"/>
                <w:bottom w:val="none" w:sz="0" w:space="0" w:color="auto"/>
                <w:right w:val="none" w:sz="0" w:space="0" w:color="auto"/>
              </w:divBdr>
            </w:div>
            <w:div w:id="1555392017">
              <w:marLeft w:val="0"/>
              <w:marRight w:val="0"/>
              <w:marTop w:val="0"/>
              <w:marBottom w:val="0"/>
              <w:divBdr>
                <w:top w:val="none" w:sz="0" w:space="0" w:color="auto"/>
                <w:left w:val="none" w:sz="0" w:space="0" w:color="auto"/>
                <w:bottom w:val="none" w:sz="0" w:space="0" w:color="auto"/>
                <w:right w:val="none" w:sz="0" w:space="0" w:color="auto"/>
              </w:divBdr>
            </w:div>
            <w:div w:id="1168014144">
              <w:marLeft w:val="0"/>
              <w:marRight w:val="0"/>
              <w:marTop w:val="0"/>
              <w:marBottom w:val="60"/>
              <w:divBdr>
                <w:top w:val="none" w:sz="0" w:space="0" w:color="auto"/>
                <w:left w:val="none" w:sz="0" w:space="0" w:color="auto"/>
                <w:bottom w:val="none" w:sz="0" w:space="0" w:color="auto"/>
                <w:right w:val="none" w:sz="0" w:space="0" w:color="auto"/>
              </w:divBdr>
            </w:div>
            <w:div w:id="90393026">
              <w:marLeft w:val="0"/>
              <w:marRight w:val="0"/>
              <w:marTop w:val="0"/>
              <w:marBottom w:val="60"/>
              <w:divBdr>
                <w:top w:val="none" w:sz="0" w:space="0" w:color="auto"/>
                <w:left w:val="none" w:sz="0" w:space="0" w:color="auto"/>
                <w:bottom w:val="none" w:sz="0" w:space="0" w:color="auto"/>
                <w:right w:val="none" w:sz="0" w:space="0" w:color="auto"/>
              </w:divBdr>
            </w:div>
            <w:div w:id="1101758175">
              <w:marLeft w:val="0"/>
              <w:marRight w:val="0"/>
              <w:marTop w:val="0"/>
              <w:marBottom w:val="60"/>
              <w:divBdr>
                <w:top w:val="none" w:sz="0" w:space="0" w:color="auto"/>
                <w:left w:val="none" w:sz="0" w:space="0" w:color="auto"/>
                <w:bottom w:val="none" w:sz="0" w:space="0" w:color="auto"/>
                <w:right w:val="none" w:sz="0" w:space="0" w:color="auto"/>
              </w:divBdr>
            </w:div>
            <w:div w:id="1622878014">
              <w:marLeft w:val="0"/>
              <w:marRight w:val="0"/>
              <w:marTop w:val="0"/>
              <w:marBottom w:val="60"/>
              <w:divBdr>
                <w:top w:val="none" w:sz="0" w:space="0" w:color="auto"/>
                <w:left w:val="none" w:sz="0" w:space="0" w:color="auto"/>
                <w:bottom w:val="none" w:sz="0" w:space="0" w:color="auto"/>
                <w:right w:val="none" w:sz="0" w:space="0" w:color="auto"/>
              </w:divBdr>
            </w:div>
            <w:div w:id="294411430">
              <w:marLeft w:val="0"/>
              <w:marRight w:val="0"/>
              <w:marTop w:val="0"/>
              <w:marBottom w:val="60"/>
              <w:divBdr>
                <w:top w:val="none" w:sz="0" w:space="0" w:color="auto"/>
                <w:left w:val="none" w:sz="0" w:space="0" w:color="auto"/>
                <w:bottom w:val="none" w:sz="0" w:space="0" w:color="auto"/>
                <w:right w:val="none" w:sz="0" w:space="0" w:color="auto"/>
              </w:divBdr>
            </w:div>
            <w:div w:id="1609778738">
              <w:marLeft w:val="0"/>
              <w:marRight w:val="0"/>
              <w:marTop w:val="0"/>
              <w:marBottom w:val="60"/>
              <w:divBdr>
                <w:top w:val="none" w:sz="0" w:space="0" w:color="auto"/>
                <w:left w:val="none" w:sz="0" w:space="0" w:color="auto"/>
                <w:bottom w:val="none" w:sz="0" w:space="0" w:color="auto"/>
                <w:right w:val="none" w:sz="0" w:space="0" w:color="auto"/>
              </w:divBdr>
            </w:div>
            <w:div w:id="244270120">
              <w:marLeft w:val="0"/>
              <w:marRight w:val="0"/>
              <w:marTop w:val="0"/>
              <w:marBottom w:val="60"/>
              <w:divBdr>
                <w:top w:val="none" w:sz="0" w:space="0" w:color="auto"/>
                <w:left w:val="none" w:sz="0" w:space="0" w:color="auto"/>
                <w:bottom w:val="none" w:sz="0" w:space="0" w:color="auto"/>
                <w:right w:val="none" w:sz="0" w:space="0" w:color="auto"/>
              </w:divBdr>
            </w:div>
            <w:div w:id="1105272489">
              <w:marLeft w:val="0"/>
              <w:marRight w:val="0"/>
              <w:marTop w:val="0"/>
              <w:marBottom w:val="60"/>
              <w:divBdr>
                <w:top w:val="none" w:sz="0" w:space="0" w:color="auto"/>
                <w:left w:val="none" w:sz="0" w:space="0" w:color="auto"/>
                <w:bottom w:val="none" w:sz="0" w:space="0" w:color="auto"/>
                <w:right w:val="none" w:sz="0" w:space="0" w:color="auto"/>
              </w:divBdr>
            </w:div>
            <w:div w:id="1391686718">
              <w:marLeft w:val="0"/>
              <w:marRight w:val="0"/>
              <w:marTop w:val="0"/>
              <w:marBottom w:val="60"/>
              <w:divBdr>
                <w:top w:val="none" w:sz="0" w:space="0" w:color="auto"/>
                <w:left w:val="none" w:sz="0" w:space="0" w:color="auto"/>
                <w:bottom w:val="none" w:sz="0" w:space="0" w:color="auto"/>
                <w:right w:val="none" w:sz="0" w:space="0" w:color="auto"/>
              </w:divBdr>
            </w:div>
            <w:div w:id="246353949">
              <w:marLeft w:val="0"/>
              <w:marRight w:val="0"/>
              <w:marTop w:val="0"/>
              <w:marBottom w:val="60"/>
              <w:divBdr>
                <w:top w:val="none" w:sz="0" w:space="0" w:color="auto"/>
                <w:left w:val="none" w:sz="0" w:space="0" w:color="auto"/>
                <w:bottom w:val="none" w:sz="0" w:space="0" w:color="auto"/>
                <w:right w:val="none" w:sz="0" w:space="0" w:color="auto"/>
              </w:divBdr>
            </w:div>
            <w:div w:id="618682397">
              <w:marLeft w:val="0"/>
              <w:marRight w:val="0"/>
              <w:marTop w:val="0"/>
              <w:marBottom w:val="60"/>
              <w:divBdr>
                <w:top w:val="none" w:sz="0" w:space="0" w:color="auto"/>
                <w:left w:val="none" w:sz="0" w:space="0" w:color="auto"/>
                <w:bottom w:val="none" w:sz="0" w:space="0" w:color="auto"/>
                <w:right w:val="none" w:sz="0" w:space="0" w:color="auto"/>
              </w:divBdr>
            </w:div>
            <w:div w:id="1771076460">
              <w:marLeft w:val="0"/>
              <w:marRight w:val="0"/>
              <w:marTop w:val="0"/>
              <w:marBottom w:val="60"/>
              <w:divBdr>
                <w:top w:val="none" w:sz="0" w:space="0" w:color="auto"/>
                <w:left w:val="none" w:sz="0" w:space="0" w:color="auto"/>
                <w:bottom w:val="none" w:sz="0" w:space="0" w:color="auto"/>
                <w:right w:val="none" w:sz="0" w:space="0" w:color="auto"/>
              </w:divBdr>
            </w:div>
            <w:div w:id="77944669">
              <w:marLeft w:val="0"/>
              <w:marRight w:val="0"/>
              <w:marTop w:val="0"/>
              <w:marBottom w:val="60"/>
              <w:divBdr>
                <w:top w:val="none" w:sz="0" w:space="0" w:color="auto"/>
                <w:left w:val="none" w:sz="0" w:space="0" w:color="auto"/>
                <w:bottom w:val="none" w:sz="0" w:space="0" w:color="auto"/>
                <w:right w:val="none" w:sz="0" w:space="0" w:color="auto"/>
              </w:divBdr>
            </w:div>
            <w:div w:id="568809137">
              <w:marLeft w:val="0"/>
              <w:marRight w:val="0"/>
              <w:marTop w:val="0"/>
              <w:marBottom w:val="60"/>
              <w:divBdr>
                <w:top w:val="none" w:sz="0" w:space="0" w:color="auto"/>
                <w:left w:val="none" w:sz="0" w:space="0" w:color="auto"/>
                <w:bottom w:val="none" w:sz="0" w:space="0" w:color="auto"/>
                <w:right w:val="none" w:sz="0" w:space="0" w:color="auto"/>
              </w:divBdr>
            </w:div>
            <w:div w:id="1498613110">
              <w:marLeft w:val="0"/>
              <w:marRight w:val="0"/>
              <w:marTop w:val="0"/>
              <w:marBottom w:val="60"/>
              <w:divBdr>
                <w:top w:val="none" w:sz="0" w:space="0" w:color="auto"/>
                <w:left w:val="none" w:sz="0" w:space="0" w:color="auto"/>
                <w:bottom w:val="none" w:sz="0" w:space="0" w:color="auto"/>
                <w:right w:val="none" w:sz="0" w:space="0" w:color="auto"/>
              </w:divBdr>
            </w:div>
            <w:div w:id="144277436">
              <w:marLeft w:val="0"/>
              <w:marRight w:val="0"/>
              <w:marTop w:val="0"/>
              <w:marBottom w:val="60"/>
              <w:divBdr>
                <w:top w:val="none" w:sz="0" w:space="0" w:color="auto"/>
                <w:left w:val="none" w:sz="0" w:space="0" w:color="auto"/>
                <w:bottom w:val="none" w:sz="0" w:space="0" w:color="auto"/>
                <w:right w:val="none" w:sz="0" w:space="0" w:color="auto"/>
              </w:divBdr>
            </w:div>
            <w:div w:id="265115887">
              <w:marLeft w:val="0"/>
              <w:marRight w:val="0"/>
              <w:marTop w:val="0"/>
              <w:marBottom w:val="60"/>
              <w:divBdr>
                <w:top w:val="none" w:sz="0" w:space="0" w:color="auto"/>
                <w:left w:val="none" w:sz="0" w:space="0" w:color="auto"/>
                <w:bottom w:val="none" w:sz="0" w:space="0" w:color="auto"/>
                <w:right w:val="none" w:sz="0" w:space="0" w:color="auto"/>
              </w:divBdr>
            </w:div>
            <w:div w:id="1557472467">
              <w:marLeft w:val="0"/>
              <w:marRight w:val="0"/>
              <w:marTop w:val="0"/>
              <w:marBottom w:val="60"/>
              <w:divBdr>
                <w:top w:val="none" w:sz="0" w:space="0" w:color="auto"/>
                <w:left w:val="none" w:sz="0" w:space="0" w:color="auto"/>
                <w:bottom w:val="none" w:sz="0" w:space="0" w:color="auto"/>
                <w:right w:val="none" w:sz="0" w:space="0" w:color="auto"/>
              </w:divBdr>
            </w:div>
            <w:div w:id="1265073971">
              <w:marLeft w:val="0"/>
              <w:marRight w:val="0"/>
              <w:marTop w:val="0"/>
              <w:marBottom w:val="60"/>
              <w:divBdr>
                <w:top w:val="none" w:sz="0" w:space="0" w:color="auto"/>
                <w:left w:val="none" w:sz="0" w:space="0" w:color="auto"/>
                <w:bottom w:val="none" w:sz="0" w:space="0" w:color="auto"/>
                <w:right w:val="none" w:sz="0" w:space="0" w:color="auto"/>
              </w:divBdr>
            </w:div>
            <w:div w:id="1770739470">
              <w:marLeft w:val="0"/>
              <w:marRight w:val="0"/>
              <w:marTop w:val="0"/>
              <w:marBottom w:val="60"/>
              <w:divBdr>
                <w:top w:val="none" w:sz="0" w:space="0" w:color="auto"/>
                <w:left w:val="none" w:sz="0" w:space="0" w:color="auto"/>
                <w:bottom w:val="none" w:sz="0" w:space="0" w:color="auto"/>
                <w:right w:val="none" w:sz="0" w:space="0" w:color="auto"/>
              </w:divBdr>
            </w:div>
            <w:div w:id="1518500437">
              <w:marLeft w:val="0"/>
              <w:marRight w:val="0"/>
              <w:marTop w:val="0"/>
              <w:marBottom w:val="60"/>
              <w:divBdr>
                <w:top w:val="none" w:sz="0" w:space="0" w:color="auto"/>
                <w:left w:val="none" w:sz="0" w:space="0" w:color="auto"/>
                <w:bottom w:val="none" w:sz="0" w:space="0" w:color="auto"/>
                <w:right w:val="none" w:sz="0" w:space="0" w:color="auto"/>
              </w:divBdr>
            </w:div>
            <w:div w:id="1098217028">
              <w:marLeft w:val="0"/>
              <w:marRight w:val="0"/>
              <w:marTop w:val="0"/>
              <w:marBottom w:val="60"/>
              <w:divBdr>
                <w:top w:val="none" w:sz="0" w:space="0" w:color="auto"/>
                <w:left w:val="none" w:sz="0" w:space="0" w:color="auto"/>
                <w:bottom w:val="none" w:sz="0" w:space="0" w:color="auto"/>
                <w:right w:val="none" w:sz="0" w:space="0" w:color="auto"/>
              </w:divBdr>
            </w:div>
            <w:div w:id="1280646900">
              <w:marLeft w:val="0"/>
              <w:marRight w:val="0"/>
              <w:marTop w:val="0"/>
              <w:marBottom w:val="60"/>
              <w:divBdr>
                <w:top w:val="none" w:sz="0" w:space="0" w:color="auto"/>
                <w:left w:val="none" w:sz="0" w:space="0" w:color="auto"/>
                <w:bottom w:val="none" w:sz="0" w:space="0" w:color="auto"/>
                <w:right w:val="none" w:sz="0" w:space="0" w:color="auto"/>
              </w:divBdr>
            </w:div>
            <w:div w:id="1988782396">
              <w:marLeft w:val="0"/>
              <w:marRight w:val="0"/>
              <w:marTop w:val="0"/>
              <w:marBottom w:val="60"/>
              <w:divBdr>
                <w:top w:val="none" w:sz="0" w:space="0" w:color="auto"/>
                <w:left w:val="none" w:sz="0" w:space="0" w:color="auto"/>
                <w:bottom w:val="none" w:sz="0" w:space="0" w:color="auto"/>
                <w:right w:val="none" w:sz="0" w:space="0" w:color="auto"/>
              </w:divBdr>
            </w:div>
            <w:div w:id="1462072845">
              <w:marLeft w:val="0"/>
              <w:marRight w:val="0"/>
              <w:marTop w:val="0"/>
              <w:marBottom w:val="60"/>
              <w:divBdr>
                <w:top w:val="none" w:sz="0" w:space="0" w:color="auto"/>
                <w:left w:val="none" w:sz="0" w:space="0" w:color="auto"/>
                <w:bottom w:val="none" w:sz="0" w:space="0" w:color="auto"/>
                <w:right w:val="none" w:sz="0" w:space="0" w:color="auto"/>
              </w:divBdr>
            </w:div>
            <w:div w:id="1777556558">
              <w:marLeft w:val="0"/>
              <w:marRight w:val="0"/>
              <w:marTop w:val="0"/>
              <w:marBottom w:val="60"/>
              <w:divBdr>
                <w:top w:val="none" w:sz="0" w:space="0" w:color="auto"/>
                <w:left w:val="none" w:sz="0" w:space="0" w:color="auto"/>
                <w:bottom w:val="none" w:sz="0" w:space="0" w:color="auto"/>
                <w:right w:val="none" w:sz="0" w:space="0" w:color="auto"/>
              </w:divBdr>
            </w:div>
            <w:div w:id="1189488678">
              <w:marLeft w:val="0"/>
              <w:marRight w:val="0"/>
              <w:marTop w:val="0"/>
              <w:marBottom w:val="60"/>
              <w:divBdr>
                <w:top w:val="none" w:sz="0" w:space="0" w:color="auto"/>
                <w:left w:val="none" w:sz="0" w:space="0" w:color="auto"/>
                <w:bottom w:val="none" w:sz="0" w:space="0" w:color="auto"/>
                <w:right w:val="none" w:sz="0" w:space="0" w:color="auto"/>
              </w:divBdr>
            </w:div>
          </w:divsChild>
        </w:div>
        <w:div w:id="634212432">
          <w:marLeft w:val="0"/>
          <w:marRight w:val="0"/>
          <w:marTop w:val="0"/>
          <w:marBottom w:val="0"/>
          <w:divBdr>
            <w:top w:val="none" w:sz="0" w:space="0" w:color="auto"/>
            <w:left w:val="none" w:sz="0" w:space="0" w:color="auto"/>
            <w:bottom w:val="none" w:sz="0" w:space="0" w:color="auto"/>
            <w:right w:val="none" w:sz="0" w:space="0" w:color="auto"/>
          </w:divBdr>
          <w:divsChild>
            <w:div w:id="1535926602">
              <w:marLeft w:val="0"/>
              <w:marRight w:val="0"/>
              <w:marTop w:val="0"/>
              <w:marBottom w:val="60"/>
              <w:divBdr>
                <w:top w:val="none" w:sz="0" w:space="0" w:color="auto"/>
                <w:left w:val="none" w:sz="0" w:space="0" w:color="auto"/>
                <w:bottom w:val="none" w:sz="0" w:space="0" w:color="auto"/>
                <w:right w:val="none" w:sz="0" w:space="0" w:color="auto"/>
              </w:divBdr>
            </w:div>
            <w:div w:id="147135347">
              <w:marLeft w:val="0"/>
              <w:marRight w:val="0"/>
              <w:marTop w:val="0"/>
              <w:marBottom w:val="60"/>
              <w:divBdr>
                <w:top w:val="none" w:sz="0" w:space="0" w:color="auto"/>
                <w:left w:val="none" w:sz="0" w:space="0" w:color="auto"/>
                <w:bottom w:val="none" w:sz="0" w:space="0" w:color="auto"/>
                <w:right w:val="none" w:sz="0" w:space="0" w:color="auto"/>
              </w:divBdr>
            </w:div>
            <w:div w:id="2533698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24124770">
      <w:marLeft w:val="0"/>
      <w:marRight w:val="0"/>
      <w:marTop w:val="0"/>
      <w:marBottom w:val="0"/>
      <w:divBdr>
        <w:top w:val="none" w:sz="0" w:space="0" w:color="auto"/>
        <w:left w:val="none" w:sz="0" w:space="0" w:color="auto"/>
        <w:bottom w:val="none" w:sz="0" w:space="0" w:color="auto"/>
        <w:right w:val="none" w:sz="0" w:space="0" w:color="auto"/>
      </w:divBdr>
    </w:div>
    <w:div w:id="825631378">
      <w:marLeft w:val="0"/>
      <w:marRight w:val="0"/>
      <w:marTop w:val="0"/>
      <w:marBottom w:val="0"/>
      <w:divBdr>
        <w:top w:val="none" w:sz="0" w:space="0" w:color="auto"/>
        <w:left w:val="none" w:sz="0" w:space="0" w:color="auto"/>
        <w:bottom w:val="none" w:sz="0" w:space="0" w:color="auto"/>
        <w:right w:val="none" w:sz="0" w:space="0" w:color="auto"/>
      </w:divBdr>
      <w:divsChild>
        <w:div w:id="1871651463">
          <w:marLeft w:val="0"/>
          <w:marRight w:val="0"/>
          <w:marTop w:val="0"/>
          <w:marBottom w:val="0"/>
          <w:divBdr>
            <w:top w:val="none" w:sz="0" w:space="0" w:color="auto"/>
            <w:left w:val="none" w:sz="0" w:space="0" w:color="auto"/>
            <w:bottom w:val="none" w:sz="0" w:space="0" w:color="auto"/>
            <w:right w:val="none" w:sz="0" w:space="0" w:color="auto"/>
          </w:divBdr>
        </w:div>
        <w:div w:id="481391692">
          <w:marLeft w:val="0"/>
          <w:marRight w:val="0"/>
          <w:marTop w:val="0"/>
          <w:marBottom w:val="0"/>
          <w:divBdr>
            <w:top w:val="none" w:sz="0" w:space="0" w:color="auto"/>
            <w:left w:val="none" w:sz="0" w:space="0" w:color="auto"/>
            <w:bottom w:val="none" w:sz="0" w:space="0" w:color="auto"/>
            <w:right w:val="none" w:sz="0" w:space="0" w:color="auto"/>
          </w:divBdr>
        </w:div>
      </w:divsChild>
    </w:div>
    <w:div w:id="827091991">
      <w:marLeft w:val="0"/>
      <w:marRight w:val="0"/>
      <w:marTop w:val="0"/>
      <w:marBottom w:val="0"/>
      <w:divBdr>
        <w:top w:val="none" w:sz="0" w:space="0" w:color="auto"/>
        <w:left w:val="none" w:sz="0" w:space="0" w:color="auto"/>
        <w:bottom w:val="none" w:sz="0" w:space="0" w:color="auto"/>
        <w:right w:val="none" w:sz="0" w:space="0" w:color="auto"/>
      </w:divBdr>
    </w:div>
    <w:div w:id="827555806">
      <w:marLeft w:val="0"/>
      <w:marRight w:val="0"/>
      <w:marTop w:val="0"/>
      <w:marBottom w:val="180"/>
      <w:divBdr>
        <w:top w:val="none" w:sz="0" w:space="0" w:color="auto"/>
        <w:left w:val="none" w:sz="0" w:space="0" w:color="auto"/>
        <w:bottom w:val="none" w:sz="0" w:space="0" w:color="auto"/>
        <w:right w:val="none" w:sz="0" w:space="0" w:color="auto"/>
      </w:divBdr>
    </w:div>
    <w:div w:id="827982112">
      <w:marLeft w:val="0"/>
      <w:marRight w:val="0"/>
      <w:marTop w:val="180"/>
      <w:marBottom w:val="180"/>
      <w:divBdr>
        <w:top w:val="none" w:sz="0" w:space="0" w:color="auto"/>
        <w:left w:val="none" w:sz="0" w:space="0" w:color="auto"/>
        <w:bottom w:val="none" w:sz="0" w:space="0" w:color="auto"/>
        <w:right w:val="none" w:sz="0" w:space="0" w:color="auto"/>
      </w:divBdr>
    </w:div>
    <w:div w:id="828596018">
      <w:marLeft w:val="0"/>
      <w:marRight w:val="0"/>
      <w:marTop w:val="120"/>
      <w:marBottom w:val="120"/>
      <w:divBdr>
        <w:top w:val="none" w:sz="0" w:space="0" w:color="auto"/>
        <w:left w:val="none" w:sz="0" w:space="0" w:color="auto"/>
        <w:bottom w:val="none" w:sz="0" w:space="0" w:color="auto"/>
        <w:right w:val="none" w:sz="0" w:space="0" w:color="auto"/>
      </w:divBdr>
    </w:div>
    <w:div w:id="829253705">
      <w:marLeft w:val="0"/>
      <w:marRight w:val="0"/>
      <w:marTop w:val="0"/>
      <w:marBottom w:val="0"/>
      <w:divBdr>
        <w:top w:val="none" w:sz="0" w:space="0" w:color="auto"/>
        <w:left w:val="none" w:sz="0" w:space="0" w:color="auto"/>
        <w:bottom w:val="none" w:sz="0" w:space="0" w:color="auto"/>
        <w:right w:val="none" w:sz="0" w:space="0" w:color="auto"/>
      </w:divBdr>
      <w:divsChild>
        <w:div w:id="1404330255">
          <w:marLeft w:val="0"/>
          <w:marRight w:val="0"/>
          <w:marTop w:val="0"/>
          <w:marBottom w:val="0"/>
          <w:divBdr>
            <w:top w:val="none" w:sz="0" w:space="0" w:color="auto"/>
            <w:left w:val="none" w:sz="0" w:space="0" w:color="auto"/>
            <w:bottom w:val="none" w:sz="0" w:space="0" w:color="auto"/>
            <w:right w:val="none" w:sz="0" w:space="0" w:color="auto"/>
          </w:divBdr>
        </w:div>
      </w:divsChild>
    </w:div>
    <w:div w:id="831221189">
      <w:marLeft w:val="0"/>
      <w:marRight w:val="0"/>
      <w:marTop w:val="100"/>
      <w:marBottom w:val="0"/>
      <w:divBdr>
        <w:top w:val="none" w:sz="0" w:space="0" w:color="auto"/>
        <w:left w:val="none" w:sz="0" w:space="0" w:color="auto"/>
        <w:bottom w:val="none" w:sz="0" w:space="0" w:color="auto"/>
        <w:right w:val="none" w:sz="0" w:space="0" w:color="auto"/>
      </w:divBdr>
    </w:div>
    <w:div w:id="832529268">
      <w:marLeft w:val="0"/>
      <w:marRight w:val="0"/>
      <w:marTop w:val="0"/>
      <w:marBottom w:val="0"/>
      <w:divBdr>
        <w:top w:val="none" w:sz="0" w:space="0" w:color="auto"/>
        <w:left w:val="none" w:sz="0" w:space="0" w:color="auto"/>
        <w:bottom w:val="none" w:sz="0" w:space="0" w:color="auto"/>
        <w:right w:val="none" w:sz="0" w:space="0" w:color="auto"/>
      </w:divBdr>
      <w:divsChild>
        <w:div w:id="898630684">
          <w:marLeft w:val="0"/>
          <w:marRight w:val="0"/>
          <w:marTop w:val="0"/>
          <w:marBottom w:val="0"/>
          <w:divBdr>
            <w:top w:val="none" w:sz="0" w:space="0" w:color="auto"/>
            <w:left w:val="none" w:sz="0" w:space="0" w:color="auto"/>
            <w:bottom w:val="none" w:sz="0" w:space="0" w:color="auto"/>
            <w:right w:val="none" w:sz="0" w:space="0" w:color="auto"/>
          </w:divBdr>
        </w:div>
      </w:divsChild>
    </w:div>
    <w:div w:id="834488952">
      <w:marLeft w:val="0"/>
      <w:marRight w:val="0"/>
      <w:marTop w:val="0"/>
      <w:marBottom w:val="0"/>
      <w:divBdr>
        <w:top w:val="none" w:sz="0" w:space="0" w:color="auto"/>
        <w:left w:val="none" w:sz="0" w:space="0" w:color="auto"/>
        <w:bottom w:val="none" w:sz="0" w:space="0" w:color="auto"/>
        <w:right w:val="none" w:sz="0" w:space="0" w:color="auto"/>
      </w:divBdr>
    </w:div>
    <w:div w:id="842746866">
      <w:marLeft w:val="0"/>
      <w:marRight w:val="0"/>
      <w:marTop w:val="180"/>
      <w:marBottom w:val="180"/>
      <w:divBdr>
        <w:top w:val="none" w:sz="0" w:space="0" w:color="auto"/>
        <w:left w:val="none" w:sz="0" w:space="0" w:color="auto"/>
        <w:bottom w:val="none" w:sz="0" w:space="0" w:color="auto"/>
        <w:right w:val="none" w:sz="0" w:space="0" w:color="auto"/>
      </w:divBdr>
    </w:div>
    <w:div w:id="843783294">
      <w:marLeft w:val="0"/>
      <w:marRight w:val="0"/>
      <w:marTop w:val="0"/>
      <w:marBottom w:val="240"/>
      <w:divBdr>
        <w:top w:val="none" w:sz="0" w:space="0" w:color="auto"/>
        <w:left w:val="none" w:sz="0" w:space="0" w:color="auto"/>
        <w:bottom w:val="none" w:sz="0" w:space="0" w:color="auto"/>
        <w:right w:val="none" w:sz="0" w:space="0" w:color="auto"/>
      </w:divBdr>
    </w:div>
    <w:div w:id="844593867">
      <w:marLeft w:val="0"/>
      <w:marRight w:val="0"/>
      <w:marTop w:val="120"/>
      <w:marBottom w:val="120"/>
      <w:divBdr>
        <w:top w:val="none" w:sz="0" w:space="0" w:color="auto"/>
        <w:left w:val="none" w:sz="0" w:space="0" w:color="auto"/>
        <w:bottom w:val="none" w:sz="0" w:space="0" w:color="auto"/>
        <w:right w:val="none" w:sz="0" w:space="0" w:color="auto"/>
      </w:divBdr>
    </w:div>
    <w:div w:id="846213166">
      <w:marLeft w:val="0"/>
      <w:marRight w:val="0"/>
      <w:marTop w:val="0"/>
      <w:marBottom w:val="180"/>
      <w:divBdr>
        <w:top w:val="none" w:sz="0" w:space="0" w:color="auto"/>
        <w:left w:val="none" w:sz="0" w:space="0" w:color="auto"/>
        <w:bottom w:val="none" w:sz="0" w:space="0" w:color="auto"/>
        <w:right w:val="none" w:sz="0" w:space="0" w:color="auto"/>
      </w:divBdr>
    </w:div>
    <w:div w:id="846408176">
      <w:marLeft w:val="0"/>
      <w:marRight w:val="0"/>
      <w:marTop w:val="0"/>
      <w:marBottom w:val="0"/>
      <w:divBdr>
        <w:top w:val="none" w:sz="0" w:space="0" w:color="auto"/>
        <w:left w:val="none" w:sz="0" w:space="0" w:color="auto"/>
        <w:bottom w:val="none" w:sz="0" w:space="0" w:color="auto"/>
        <w:right w:val="none" w:sz="0" w:space="0" w:color="auto"/>
      </w:divBdr>
    </w:div>
    <w:div w:id="850218011">
      <w:marLeft w:val="0"/>
      <w:marRight w:val="0"/>
      <w:marTop w:val="0"/>
      <w:marBottom w:val="240"/>
      <w:divBdr>
        <w:top w:val="none" w:sz="0" w:space="0" w:color="auto"/>
        <w:left w:val="none" w:sz="0" w:space="0" w:color="auto"/>
        <w:bottom w:val="none" w:sz="0" w:space="0" w:color="auto"/>
        <w:right w:val="none" w:sz="0" w:space="0" w:color="auto"/>
      </w:divBdr>
    </w:div>
    <w:div w:id="853501332">
      <w:marLeft w:val="0"/>
      <w:marRight w:val="0"/>
      <w:marTop w:val="180"/>
      <w:marBottom w:val="180"/>
      <w:divBdr>
        <w:top w:val="none" w:sz="0" w:space="0" w:color="auto"/>
        <w:left w:val="none" w:sz="0" w:space="0" w:color="auto"/>
        <w:bottom w:val="none" w:sz="0" w:space="0" w:color="auto"/>
        <w:right w:val="none" w:sz="0" w:space="0" w:color="auto"/>
      </w:divBdr>
    </w:div>
    <w:div w:id="854225953">
      <w:marLeft w:val="0"/>
      <w:marRight w:val="0"/>
      <w:marTop w:val="140"/>
      <w:marBottom w:val="240"/>
      <w:divBdr>
        <w:top w:val="none" w:sz="0" w:space="0" w:color="auto"/>
        <w:left w:val="none" w:sz="0" w:space="0" w:color="auto"/>
        <w:bottom w:val="none" w:sz="0" w:space="0" w:color="auto"/>
        <w:right w:val="none" w:sz="0" w:space="0" w:color="auto"/>
      </w:divBdr>
    </w:div>
    <w:div w:id="854726825">
      <w:marLeft w:val="0"/>
      <w:marRight w:val="0"/>
      <w:marTop w:val="0"/>
      <w:marBottom w:val="180"/>
      <w:divBdr>
        <w:top w:val="none" w:sz="0" w:space="0" w:color="auto"/>
        <w:left w:val="none" w:sz="0" w:space="0" w:color="auto"/>
        <w:bottom w:val="none" w:sz="0" w:space="0" w:color="auto"/>
        <w:right w:val="none" w:sz="0" w:space="0" w:color="auto"/>
      </w:divBdr>
    </w:div>
    <w:div w:id="857937393">
      <w:marLeft w:val="0"/>
      <w:marRight w:val="0"/>
      <w:marTop w:val="0"/>
      <w:marBottom w:val="240"/>
      <w:divBdr>
        <w:top w:val="none" w:sz="0" w:space="0" w:color="auto"/>
        <w:left w:val="none" w:sz="0" w:space="0" w:color="auto"/>
        <w:bottom w:val="none" w:sz="0" w:space="0" w:color="auto"/>
        <w:right w:val="none" w:sz="0" w:space="0" w:color="auto"/>
      </w:divBdr>
    </w:div>
    <w:div w:id="859784407">
      <w:marLeft w:val="0"/>
      <w:marRight w:val="0"/>
      <w:marTop w:val="0"/>
      <w:marBottom w:val="0"/>
      <w:divBdr>
        <w:top w:val="none" w:sz="0" w:space="0" w:color="auto"/>
        <w:left w:val="none" w:sz="0" w:space="0" w:color="auto"/>
        <w:bottom w:val="none" w:sz="0" w:space="0" w:color="auto"/>
        <w:right w:val="none" w:sz="0" w:space="0" w:color="auto"/>
      </w:divBdr>
    </w:div>
    <w:div w:id="860508641">
      <w:marLeft w:val="0"/>
      <w:marRight w:val="0"/>
      <w:marTop w:val="0"/>
      <w:marBottom w:val="240"/>
      <w:divBdr>
        <w:top w:val="none" w:sz="0" w:space="0" w:color="auto"/>
        <w:left w:val="none" w:sz="0" w:space="0" w:color="auto"/>
        <w:bottom w:val="none" w:sz="0" w:space="0" w:color="auto"/>
        <w:right w:val="none" w:sz="0" w:space="0" w:color="auto"/>
      </w:divBdr>
    </w:div>
    <w:div w:id="860901255">
      <w:marLeft w:val="0"/>
      <w:marRight w:val="0"/>
      <w:marTop w:val="0"/>
      <w:marBottom w:val="180"/>
      <w:divBdr>
        <w:top w:val="none" w:sz="0" w:space="0" w:color="auto"/>
        <w:left w:val="none" w:sz="0" w:space="0" w:color="auto"/>
        <w:bottom w:val="none" w:sz="0" w:space="0" w:color="auto"/>
        <w:right w:val="none" w:sz="0" w:space="0" w:color="auto"/>
      </w:divBdr>
    </w:div>
    <w:div w:id="862674705">
      <w:marLeft w:val="0"/>
      <w:marRight w:val="0"/>
      <w:marTop w:val="180"/>
      <w:marBottom w:val="180"/>
      <w:divBdr>
        <w:top w:val="none" w:sz="0" w:space="0" w:color="auto"/>
        <w:left w:val="none" w:sz="0" w:space="0" w:color="auto"/>
        <w:bottom w:val="none" w:sz="0" w:space="0" w:color="auto"/>
        <w:right w:val="none" w:sz="0" w:space="0" w:color="auto"/>
      </w:divBdr>
    </w:div>
    <w:div w:id="864756990">
      <w:marLeft w:val="0"/>
      <w:marRight w:val="0"/>
      <w:marTop w:val="180"/>
      <w:marBottom w:val="180"/>
      <w:divBdr>
        <w:top w:val="none" w:sz="0" w:space="0" w:color="auto"/>
        <w:left w:val="none" w:sz="0" w:space="0" w:color="auto"/>
        <w:bottom w:val="none" w:sz="0" w:space="0" w:color="auto"/>
        <w:right w:val="none" w:sz="0" w:space="0" w:color="auto"/>
      </w:divBdr>
    </w:div>
    <w:div w:id="865099970">
      <w:marLeft w:val="0"/>
      <w:marRight w:val="0"/>
      <w:marTop w:val="0"/>
      <w:marBottom w:val="240"/>
      <w:divBdr>
        <w:top w:val="none" w:sz="0" w:space="0" w:color="auto"/>
        <w:left w:val="none" w:sz="0" w:space="0" w:color="auto"/>
        <w:bottom w:val="none" w:sz="0" w:space="0" w:color="auto"/>
        <w:right w:val="none" w:sz="0" w:space="0" w:color="auto"/>
      </w:divBdr>
    </w:div>
    <w:div w:id="865674330">
      <w:marLeft w:val="0"/>
      <w:marRight w:val="0"/>
      <w:marTop w:val="0"/>
      <w:marBottom w:val="0"/>
      <w:divBdr>
        <w:top w:val="none" w:sz="0" w:space="0" w:color="auto"/>
        <w:left w:val="none" w:sz="0" w:space="0" w:color="auto"/>
        <w:bottom w:val="none" w:sz="0" w:space="0" w:color="auto"/>
        <w:right w:val="none" w:sz="0" w:space="0" w:color="auto"/>
      </w:divBdr>
      <w:divsChild>
        <w:div w:id="1530071375">
          <w:marLeft w:val="0"/>
          <w:marRight w:val="0"/>
          <w:marTop w:val="0"/>
          <w:marBottom w:val="0"/>
          <w:divBdr>
            <w:top w:val="none" w:sz="0" w:space="0" w:color="auto"/>
            <w:left w:val="none" w:sz="0" w:space="0" w:color="auto"/>
            <w:bottom w:val="none" w:sz="0" w:space="0" w:color="auto"/>
            <w:right w:val="none" w:sz="0" w:space="0" w:color="auto"/>
          </w:divBdr>
        </w:div>
      </w:divsChild>
    </w:div>
    <w:div w:id="867645372">
      <w:marLeft w:val="0"/>
      <w:marRight w:val="0"/>
      <w:marTop w:val="0"/>
      <w:marBottom w:val="0"/>
      <w:divBdr>
        <w:top w:val="none" w:sz="0" w:space="0" w:color="auto"/>
        <w:left w:val="none" w:sz="0" w:space="0" w:color="auto"/>
        <w:bottom w:val="none" w:sz="0" w:space="0" w:color="auto"/>
        <w:right w:val="none" w:sz="0" w:space="0" w:color="auto"/>
      </w:divBdr>
    </w:div>
    <w:div w:id="868296305">
      <w:marLeft w:val="0"/>
      <w:marRight w:val="0"/>
      <w:marTop w:val="0"/>
      <w:marBottom w:val="240"/>
      <w:divBdr>
        <w:top w:val="none" w:sz="0" w:space="0" w:color="auto"/>
        <w:left w:val="none" w:sz="0" w:space="0" w:color="auto"/>
        <w:bottom w:val="none" w:sz="0" w:space="0" w:color="auto"/>
        <w:right w:val="none" w:sz="0" w:space="0" w:color="auto"/>
      </w:divBdr>
    </w:div>
    <w:div w:id="868570680">
      <w:marLeft w:val="0"/>
      <w:marRight w:val="0"/>
      <w:marTop w:val="0"/>
      <w:marBottom w:val="0"/>
      <w:divBdr>
        <w:top w:val="none" w:sz="0" w:space="0" w:color="auto"/>
        <w:left w:val="none" w:sz="0" w:space="0" w:color="auto"/>
        <w:bottom w:val="none" w:sz="0" w:space="0" w:color="auto"/>
        <w:right w:val="none" w:sz="0" w:space="0" w:color="auto"/>
      </w:divBdr>
      <w:divsChild>
        <w:div w:id="931008681">
          <w:marLeft w:val="0"/>
          <w:marRight w:val="0"/>
          <w:marTop w:val="0"/>
          <w:marBottom w:val="0"/>
          <w:divBdr>
            <w:top w:val="none" w:sz="0" w:space="0" w:color="auto"/>
            <w:left w:val="none" w:sz="0" w:space="0" w:color="auto"/>
            <w:bottom w:val="none" w:sz="0" w:space="0" w:color="auto"/>
            <w:right w:val="none" w:sz="0" w:space="0" w:color="auto"/>
          </w:divBdr>
        </w:div>
      </w:divsChild>
    </w:div>
    <w:div w:id="870728661">
      <w:marLeft w:val="0"/>
      <w:marRight w:val="0"/>
      <w:marTop w:val="100"/>
      <w:marBottom w:val="0"/>
      <w:divBdr>
        <w:top w:val="none" w:sz="0" w:space="0" w:color="auto"/>
        <w:left w:val="none" w:sz="0" w:space="0" w:color="auto"/>
        <w:bottom w:val="none" w:sz="0" w:space="0" w:color="auto"/>
        <w:right w:val="none" w:sz="0" w:space="0" w:color="auto"/>
      </w:divBdr>
    </w:div>
    <w:div w:id="872037294">
      <w:marLeft w:val="0"/>
      <w:marRight w:val="0"/>
      <w:marTop w:val="0"/>
      <w:marBottom w:val="240"/>
      <w:divBdr>
        <w:top w:val="none" w:sz="0" w:space="0" w:color="auto"/>
        <w:left w:val="none" w:sz="0" w:space="0" w:color="auto"/>
        <w:bottom w:val="none" w:sz="0" w:space="0" w:color="auto"/>
        <w:right w:val="none" w:sz="0" w:space="0" w:color="auto"/>
      </w:divBdr>
    </w:div>
    <w:div w:id="875048012">
      <w:marLeft w:val="0"/>
      <w:marRight w:val="0"/>
      <w:marTop w:val="180"/>
      <w:marBottom w:val="180"/>
      <w:divBdr>
        <w:top w:val="none" w:sz="0" w:space="0" w:color="auto"/>
        <w:left w:val="none" w:sz="0" w:space="0" w:color="auto"/>
        <w:bottom w:val="none" w:sz="0" w:space="0" w:color="auto"/>
        <w:right w:val="none" w:sz="0" w:space="0" w:color="auto"/>
      </w:divBdr>
    </w:div>
    <w:div w:id="876888472">
      <w:marLeft w:val="0"/>
      <w:marRight w:val="0"/>
      <w:marTop w:val="0"/>
      <w:marBottom w:val="0"/>
      <w:divBdr>
        <w:top w:val="none" w:sz="0" w:space="0" w:color="auto"/>
        <w:left w:val="none" w:sz="0" w:space="0" w:color="auto"/>
        <w:bottom w:val="none" w:sz="0" w:space="0" w:color="auto"/>
        <w:right w:val="none" w:sz="0" w:space="0" w:color="auto"/>
      </w:divBdr>
    </w:div>
    <w:div w:id="881019167">
      <w:marLeft w:val="0"/>
      <w:marRight w:val="0"/>
      <w:marTop w:val="0"/>
      <w:marBottom w:val="240"/>
      <w:divBdr>
        <w:top w:val="none" w:sz="0" w:space="0" w:color="auto"/>
        <w:left w:val="none" w:sz="0" w:space="0" w:color="auto"/>
        <w:bottom w:val="none" w:sz="0" w:space="0" w:color="auto"/>
        <w:right w:val="none" w:sz="0" w:space="0" w:color="auto"/>
      </w:divBdr>
    </w:div>
    <w:div w:id="885139239">
      <w:marLeft w:val="0"/>
      <w:marRight w:val="0"/>
      <w:marTop w:val="120"/>
      <w:marBottom w:val="120"/>
      <w:divBdr>
        <w:top w:val="none" w:sz="0" w:space="0" w:color="auto"/>
        <w:left w:val="none" w:sz="0" w:space="0" w:color="auto"/>
        <w:bottom w:val="none" w:sz="0" w:space="0" w:color="auto"/>
        <w:right w:val="none" w:sz="0" w:space="0" w:color="auto"/>
      </w:divBdr>
    </w:div>
    <w:div w:id="890922194">
      <w:marLeft w:val="0"/>
      <w:marRight w:val="0"/>
      <w:marTop w:val="180"/>
      <w:marBottom w:val="180"/>
      <w:divBdr>
        <w:top w:val="none" w:sz="0" w:space="0" w:color="auto"/>
        <w:left w:val="none" w:sz="0" w:space="0" w:color="auto"/>
        <w:bottom w:val="none" w:sz="0" w:space="0" w:color="auto"/>
        <w:right w:val="none" w:sz="0" w:space="0" w:color="auto"/>
      </w:divBdr>
    </w:div>
    <w:div w:id="891622752">
      <w:marLeft w:val="0"/>
      <w:marRight w:val="0"/>
      <w:marTop w:val="0"/>
      <w:marBottom w:val="240"/>
      <w:divBdr>
        <w:top w:val="none" w:sz="0" w:space="0" w:color="auto"/>
        <w:left w:val="none" w:sz="0" w:space="0" w:color="auto"/>
        <w:bottom w:val="none" w:sz="0" w:space="0" w:color="auto"/>
        <w:right w:val="none" w:sz="0" w:space="0" w:color="auto"/>
      </w:divBdr>
    </w:div>
    <w:div w:id="891964017">
      <w:marLeft w:val="0"/>
      <w:marRight w:val="0"/>
      <w:marTop w:val="120"/>
      <w:marBottom w:val="120"/>
      <w:divBdr>
        <w:top w:val="none" w:sz="0" w:space="0" w:color="auto"/>
        <w:left w:val="none" w:sz="0" w:space="0" w:color="auto"/>
        <w:bottom w:val="none" w:sz="0" w:space="0" w:color="auto"/>
        <w:right w:val="none" w:sz="0" w:space="0" w:color="auto"/>
      </w:divBdr>
    </w:div>
    <w:div w:id="892548762">
      <w:marLeft w:val="0"/>
      <w:marRight w:val="0"/>
      <w:marTop w:val="0"/>
      <w:marBottom w:val="0"/>
      <w:divBdr>
        <w:top w:val="none" w:sz="0" w:space="0" w:color="auto"/>
        <w:left w:val="none" w:sz="0" w:space="0" w:color="auto"/>
        <w:bottom w:val="none" w:sz="0" w:space="0" w:color="auto"/>
        <w:right w:val="none" w:sz="0" w:space="0" w:color="auto"/>
      </w:divBdr>
    </w:div>
    <w:div w:id="893275032">
      <w:marLeft w:val="0"/>
      <w:marRight w:val="0"/>
      <w:marTop w:val="0"/>
      <w:marBottom w:val="240"/>
      <w:divBdr>
        <w:top w:val="none" w:sz="0" w:space="0" w:color="auto"/>
        <w:left w:val="none" w:sz="0" w:space="0" w:color="auto"/>
        <w:bottom w:val="none" w:sz="0" w:space="0" w:color="auto"/>
        <w:right w:val="none" w:sz="0" w:space="0" w:color="auto"/>
      </w:divBdr>
    </w:div>
    <w:div w:id="893540837">
      <w:marLeft w:val="0"/>
      <w:marRight w:val="0"/>
      <w:marTop w:val="0"/>
      <w:marBottom w:val="0"/>
      <w:divBdr>
        <w:top w:val="none" w:sz="0" w:space="0" w:color="auto"/>
        <w:left w:val="none" w:sz="0" w:space="0" w:color="auto"/>
        <w:bottom w:val="none" w:sz="0" w:space="0" w:color="auto"/>
        <w:right w:val="none" w:sz="0" w:space="0" w:color="auto"/>
      </w:divBdr>
    </w:div>
    <w:div w:id="894699264">
      <w:marLeft w:val="0"/>
      <w:marRight w:val="0"/>
      <w:marTop w:val="0"/>
      <w:marBottom w:val="240"/>
      <w:divBdr>
        <w:top w:val="none" w:sz="0" w:space="0" w:color="auto"/>
        <w:left w:val="none" w:sz="0" w:space="0" w:color="auto"/>
        <w:bottom w:val="none" w:sz="0" w:space="0" w:color="auto"/>
        <w:right w:val="none" w:sz="0" w:space="0" w:color="auto"/>
      </w:divBdr>
    </w:div>
    <w:div w:id="895046220">
      <w:marLeft w:val="0"/>
      <w:marRight w:val="0"/>
      <w:marTop w:val="180"/>
      <w:marBottom w:val="180"/>
      <w:divBdr>
        <w:top w:val="none" w:sz="0" w:space="0" w:color="auto"/>
        <w:left w:val="none" w:sz="0" w:space="0" w:color="auto"/>
        <w:bottom w:val="none" w:sz="0" w:space="0" w:color="auto"/>
        <w:right w:val="none" w:sz="0" w:space="0" w:color="auto"/>
      </w:divBdr>
    </w:div>
    <w:div w:id="898856507">
      <w:marLeft w:val="0"/>
      <w:marRight w:val="0"/>
      <w:marTop w:val="0"/>
      <w:marBottom w:val="0"/>
      <w:divBdr>
        <w:top w:val="none" w:sz="0" w:space="0" w:color="auto"/>
        <w:left w:val="none" w:sz="0" w:space="0" w:color="auto"/>
        <w:bottom w:val="none" w:sz="0" w:space="0" w:color="auto"/>
        <w:right w:val="none" w:sz="0" w:space="0" w:color="auto"/>
      </w:divBdr>
    </w:div>
    <w:div w:id="899095358">
      <w:marLeft w:val="0"/>
      <w:marRight w:val="0"/>
      <w:marTop w:val="0"/>
      <w:marBottom w:val="240"/>
      <w:divBdr>
        <w:top w:val="none" w:sz="0" w:space="0" w:color="auto"/>
        <w:left w:val="none" w:sz="0" w:space="0" w:color="auto"/>
        <w:bottom w:val="none" w:sz="0" w:space="0" w:color="auto"/>
        <w:right w:val="none" w:sz="0" w:space="0" w:color="auto"/>
      </w:divBdr>
    </w:div>
    <w:div w:id="900825031">
      <w:marLeft w:val="0"/>
      <w:marRight w:val="0"/>
      <w:marTop w:val="0"/>
      <w:marBottom w:val="180"/>
      <w:divBdr>
        <w:top w:val="none" w:sz="0" w:space="0" w:color="auto"/>
        <w:left w:val="none" w:sz="0" w:space="0" w:color="auto"/>
        <w:bottom w:val="none" w:sz="0" w:space="0" w:color="auto"/>
        <w:right w:val="none" w:sz="0" w:space="0" w:color="auto"/>
      </w:divBdr>
    </w:div>
    <w:div w:id="901596703">
      <w:marLeft w:val="0"/>
      <w:marRight w:val="0"/>
      <w:marTop w:val="120"/>
      <w:marBottom w:val="180"/>
      <w:divBdr>
        <w:top w:val="none" w:sz="0" w:space="0" w:color="auto"/>
        <w:left w:val="none" w:sz="0" w:space="0" w:color="auto"/>
        <w:bottom w:val="none" w:sz="0" w:space="0" w:color="auto"/>
        <w:right w:val="none" w:sz="0" w:space="0" w:color="auto"/>
      </w:divBdr>
    </w:div>
    <w:div w:id="904026679">
      <w:marLeft w:val="0"/>
      <w:marRight w:val="0"/>
      <w:marTop w:val="0"/>
      <w:marBottom w:val="0"/>
      <w:divBdr>
        <w:top w:val="none" w:sz="0" w:space="0" w:color="auto"/>
        <w:left w:val="none" w:sz="0" w:space="0" w:color="auto"/>
        <w:bottom w:val="none" w:sz="0" w:space="0" w:color="auto"/>
        <w:right w:val="none" w:sz="0" w:space="0" w:color="auto"/>
      </w:divBdr>
      <w:divsChild>
        <w:div w:id="315495243">
          <w:marLeft w:val="0"/>
          <w:marRight w:val="0"/>
          <w:marTop w:val="0"/>
          <w:marBottom w:val="0"/>
          <w:divBdr>
            <w:top w:val="none" w:sz="0" w:space="0" w:color="auto"/>
            <w:left w:val="none" w:sz="0" w:space="0" w:color="auto"/>
            <w:bottom w:val="none" w:sz="0" w:space="0" w:color="auto"/>
            <w:right w:val="none" w:sz="0" w:space="0" w:color="auto"/>
          </w:divBdr>
        </w:div>
      </w:divsChild>
    </w:div>
    <w:div w:id="904678180">
      <w:marLeft w:val="0"/>
      <w:marRight w:val="0"/>
      <w:marTop w:val="0"/>
      <w:marBottom w:val="0"/>
      <w:divBdr>
        <w:top w:val="none" w:sz="0" w:space="0" w:color="auto"/>
        <w:left w:val="none" w:sz="0" w:space="0" w:color="auto"/>
        <w:bottom w:val="none" w:sz="0" w:space="0" w:color="auto"/>
        <w:right w:val="none" w:sz="0" w:space="0" w:color="auto"/>
      </w:divBdr>
    </w:div>
    <w:div w:id="906064827">
      <w:marLeft w:val="0"/>
      <w:marRight w:val="0"/>
      <w:marTop w:val="0"/>
      <w:marBottom w:val="0"/>
      <w:divBdr>
        <w:top w:val="none" w:sz="0" w:space="0" w:color="auto"/>
        <w:left w:val="none" w:sz="0" w:space="0" w:color="auto"/>
        <w:bottom w:val="none" w:sz="0" w:space="0" w:color="auto"/>
        <w:right w:val="none" w:sz="0" w:space="0" w:color="auto"/>
      </w:divBdr>
      <w:divsChild>
        <w:div w:id="888033861">
          <w:marLeft w:val="0"/>
          <w:marRight w:val="0"/>
          <w:marTop w:val="0"/>
          <w:marBottom w:val="0"/>
          <w:divBdr>
            <w:top w:val="none" w:sz="0" w:space="0" w:color="auto"/>
            <w:left w:val="none" w:sz="0" w:space="0" w:color="auto"/>
            <w:bottom w:val="none" w:sz="0" w:space="0" w:color="auto"/>
            <w:right w:val="none" w:sz="0" w:space="0" w:color="auto"/>
          </w:divBdr>
        </w:div>
        <w:div w:id="1081373242">
          <w:marLeft w:val="0"/>
          <w:marRight w:val="0"/>
          <w:marTop w:val="0"/>
          <w:marBottom w:val="0"/>
          <w:divBdr>
            <w:top w:val="none" w:sz="0" w:space="0" w:color="auto"/>
            <w:left w:val="none" w:sz="0" w:space="0" w:color="auto"/>
            <w:bottom w:val="none" w:sz="0" w:space="0" w:color="auto"/>
            <w:right w:val="none" w:sz="0" w:space="0" w:color="auto"/>
          </w:divBdr>
        </w:div>
      </w:divsChild>
    </w:div>
    <w:div w:id="906501584">
      <w:marLeft w:val="0"/>
      <w:marRight w:val="0"/>
      <w:marTop w:val="0"/>
      <w:marBottom w:val="180"/>
      <w:divBdr>
        <w:top w:val="none" w:sz="0" w:space="0" w:color="auto"/>
        <w:left w:val="none" w:sz="0" w:space="0" w:color="auto"/>
        <w:bottom w:val="none" w:sz="0" w:space="0" w:color="auto"/>
        <w:right w:val="none" w:sz="0" w:space="0" w:color="auto"/>
      </w:divBdr>
    </w:div>
    <w:div w:id="908224678">
      <w:marLeft w:val="0"/>
      <w:marRight w:val="0"/>
      <w:marTop w:val="0"/>
      <w:marBottom w:val="240"/>
      <w:divBdr>
        <w:top w:val="none" w:sz="0" w:space="0" w:color="auto"/>
        <w:left w:val="none" w:sz="0" w:space="0" w:color="auto"/>
        <w:bottom w:val="none" w:sz="0" w:space="0" w:color="auto"/>
        <w:right w:val="none" w:sz="0" w:space="0" w:color="auto"/>
      </w:divBdr>
    </w:div>
    <w:div w:id="908734628">
      <w:marLeft w:val="0"/>
      <w:marRight w:val="0"/>
      <w:marTop w:val="0"/>
      <w:marBottom w:val="0"/>
      <w:divBdr>
        <w:top w:val="none" w:sz="0" w:space="0" w:color="auto"/>
        <w:left w:val="none" w:sz="0" w:space="0" w:color="auto"/>
        <w:bottom w:val="none" w:sz="0" w:space="0" w:color="auto"/>
        <w:right w:val="none" w:sz="0" w:space="0" w:color="auto"/>
      </w:divBdr>
      <w:divsChild>
        <w:div w:id="1138106752">
          <w:marLeft w:val="0"/>
          <w:marRight w:val="0"/>
          <w:marTop w:val="0"/>
          <w:marBottom w:val="0"/>
          <w:divBdr>
            <w:top w:val="none" w:sz="0" w:space="0" w:color="auto"/>
            <w:left w:val="none" w:sz="0" w:space="0" w:color="auto"/>
            <w:bottom w:val="none" w:sz="0" w:space="0" w:color="auto"/>
            <w:right w:val="none" w:sz="0" w:space="0" w:color="auto"/>
          </w:divBdr>
        </w:div>
      </w:divsChild>
    </w:div>
    <w:div w:id="910458186">
      <w:marLeft w:val="0"/>
      <w:marRight w:val="0"/>
      <w:marTop w:val="0"/>
      <w:marBottom w:val="0"/>
      <w:divBdr>
        <w:top w:val="none" w:sz="0" w:space="0" w:color="auto"/>
        <w:left w:val="none" w:sz="0" w:space="0" w:color="auto"/>
        <w:bottom w:val="none" w:sz="0" w:space="0" w:color="auto"/>
        <w:right w:val="none" w:sz="0" w:space="0" w:color="auto"/>
      </w:divBdr>
    </w:div>
    <w:div w:id="911542462">
      <w:marLeft w:val="0"/>
      <w:marRight w:val="0"/>
      <w:marTop w:val="0"/>
      <w:marBottom w:val="240"/>
      <w:divBdr>
        <w:top w:val="none" w:sz="0" w:space="0" w:color="auto"/>
        <w:left w:val="none" w:sz="0" w:space="0" w:color="auto"/>
        <w:bottom w:val="none" w:sz="0" w:space="0" w:color="auto"/>
        <w:right w:val="none" w:sz="0" w:space="0" w:color="auto"/>
      </w:divBdr>
    </w:div>
    <w:div w:id="911890742">
      <w:marLeft w:val="0"/>
      <w:marRight w:val="0"/>
      <w:marTop w:val="180"/>
      <w:marBottom w:val="180"/>
      <w:divBdr>
        <w:top w:val="none" w:sz="0" w:space="0" w:color="auto"/>
        <w:left w:val="none" w:sz="0" w:space="0" w:color="auto"/>
        <w:bottom w:val="none" w:sz="0" w:space="0" w:color="auto"/>
        <w:right w:val="none" w:sz="0" w:space="0" w:color="auto"/>
      </w:divBdr>
    </w:div>
    <w:div w:id="913710281">
      <w:marLeft w:val="0"/>
      <w:marRight w:val="0"/>
      <w:marTop w:val="100"/>
      <w:marBottom w:val="0"/>
      <w:divBdr>
        <w:top w:val="none" w:sz="0" w:space="0" w:color="auto"/>
        <w:left w:val="none" w:sz="0" w:space="0" w:color="auto"/>
        <w:bottom w:val="none" w:sz="0" w:space="0" w:color="auto"/>
        <w:right w:val="none" w:sz="0" w:space="0" w:color="auto"/>
      </w:divBdr>
    </w:div>
    <w:div w:id="914587585">
      <w:marLeft w:val="0"/>
      <w:marRight w:val="0"/>
      <w:marTop w:val="0"/>
      <w:marBottom w:val="0"/>
      <w:divBdr>
        <w:top w:val="none" w:sz="0" w:space="0" w:color="auto"/>
        <w:left w:val="none" w:sz="0" w:space="0" w:color="auto"/>
        <w:bottom w:val="none" w:sz="0" w:space="0" w:color="auto"/>
        <w:right w:val="none" w:sz="0" w:space="0" w:color="auto"/>
      </w:divBdr>
    </w:div>
    <w:div w:id="914896438">
      <w:marLeft w:val="0"/>
      <w:marRight w:val="0"/>
      <w:marTop w:val="0"/>
      <w:marBottom w:val="0"/>
      <w:divBdr>
        <w:top w:val="none" w:sz="0" w:space="0" w:color="auto"/>
        <w:left w:val="none" w:sz="0" w:space="0" w:color="auto"/>
        <w:bottom w:val="none" w:sz="0" w:space="0" w:color="auto"/>
        <w:right w:val="none" w:sz="0" w:space="0" w:color="auto"/>
      </w:divBdr>
      <w:divsChild>
        <w:div w:id="667172019">
          <w:marLeft w:val="0"/>
          <w:marRight w:val="0"/>
          <w:marTop w:val="0"/>
          <w:marBottom w:val="0"/>
          <w:divBdr>
            <w:top w:val="none" w:sz="0" w:space="0" w:color="auto"/>
            <w:left w:val="none" w:sz="0" w:space="0" w:color="auto"/>
            <w:bottom w:val="none" w:sz="0" w:space="0" w:color="auto"/>
            <w:right w:val="none" w:sz="0" w:space="0" w:color="auto"/>
          </w:divBdr>
        </w:div>
      </w:divsChild>
    </w:div>
    <w:div w:id="915092045">
      <w:marLeft w:val="0"/>
      <w:marRight w:val="0"/>
      <w:marTop w:val="0"/>
      <w:marBottom w:val="240"/>
      <w:divBdr>
        <w:top w:val="none" w:sz="0" w:space="0" w:color="auto"/>
        <w:left w:val="none" w:sz="0" w:space="0" w:color="auto"/>
        <w:bottom w:val="none" w:sz="0" w:space="0" w:color="auto"/>
        <w:right w:val="none" w:sz="0" w:space="0" w:color="auto"/>
      </w:divBdr>
    </w:div>
    <w:div w:id="916397955">
      <w:marLeft w:val="0"/>
      <w:marRight w:val="0"/>
      <w:marTop w:val="180"/>
      <w:marBottom w:val="180"/>
      <w:divBdr>
        <w:top w:val="none" w:sz="0" w:space="0" w:color="auto"/>
        <w:left w:val="none" w:sz="0" w:space="0" w:color="auto"/>
        <w:bottom w:val="none" w:sz="0" w:space="0" w:color="auto"/>
        <w:right w:val="none" w:sz="0" w:space="0" w:color="auto"/>
      </w:divBdr>
    </w:div>
    <w:div w:id="917136513">
      <w:marLeft w:val="0"/>
      <w:marRight w:val="0"/>
      <w:marTop w:val="120"/>
      <w:marBottom w:val="120"/>
      <w:divBdr>
        <w:top w:val="none" w:sz="0" w:space="0" w:color="auto"/>
        <w:left w:val="none" w:sz="0" w:space="0" w:color="auto"/>
        <w:bottom w:val="none" w:sz="0" w:space="0" w:color="auto"/>
        <w:right w:val="none" w:sz="0" w:space="0" w:color="auto"/>
      </w:divBdr>
    </w:div>
    <w:div w:id="917639215">
      <w:marLeft w:val="0"/>
      <w:marRight w:val="0"/>
      <w:marTop w:val="0"/>
      <w:marBottom w:val="0"/>
      <w:divBdr>
        <w:top w:val="none" w:sz="0" w:space="0" w:color="auto"/>
        <w:left w:val="none" w:sz="0" w:space="0" w:color="auto"/>
        <w:bottom w:val="none" w:sz="0" w:space="0" w:color="auto"/>
        <w:right w:val="none" w:sz="0" w:space="0" w:color="auto"/>
      </w:divBdr>
    </w:div>
    <w:div w:id="918905206">
      <w:marLeft w:val="0"/>
      <w:marRight w:val="0"/>
      <w:marTop w:val="180"/>
      <w:marBottom w:val="180"/>
      <w:divBdr>
        <w:top w:val="none" w:sz="0" w:space="0" w:color="auto"/>
        <w:left w:val="none" w:sz="0" w:space="0" w:color="auto"/>
        <w:bottom w:val="none" w:sz="0" w:space="0" w:color="auto"/>
        <w:right w:val="none" w:sz="0" w:space="0" w:color="auto"/>
      </w:divBdr>
    </w:div>
    <w:div w:id="920141626">
      <w:marLeft w:val="0"/>
      <w:marRight w:val="0"/>
      <w:marTop w:val="120"/>
      <w:marBottom w:val="120"/>
      <w:divBdr>
        <w:top w:val="none" w:sz="0" w:space="0" w:color="auto"/>
        <w:left w:val="none" w:sz="0" w:space="0" w:color="auto"/>
        <w:bottom w:val="none" w:sz="0" w:space="0" w:color="auto"/>
        <w:right w:val="none" w:sz="0" w:space="0" w:color="auto"/>
      </w:divBdr>
    </w:div>
    <w:div w:id="920870654">
      <w:marLeft w:val="0"/>
      <w:marRight w:val="0"/>
      <w:marTop w:val="0"/>
      <w:marBottom w:val="0"/>
      <w:divBdr>
        <w:top w:val="none" w:sz="0" w:space="0" w:color="auto"/>
        <w:left w:val="none" w:sz="0" w:space="0" w:color="auto"/>
        <w:bottom w:val="none" w:sz="0" w:space="0" w:color="auto"/>
        <w:right w:val="none" w:sz="0" w:space="0" w:color="auto"/>
      </w:divBdr>
      <w:divsChild>
        <w:div w:id="1121075599">
          <w:marLeft w:val="0"/>
          <w:marRight w:val="0"/>
          <w:marTop w:val="0"/>
          <w:marBottom w:val="0"/>
          <w:divBdr>
            <w:top w:val="none" w:sz="0" w:space="0" w:color="auto"/>
            <w:left w:val="none" w:sz="0" w:space="0" w:color="auto"/>
            <w:bottom w:val="none" w:sz="0" w:space="0" w:color="auto"/>
            <w:right w:val="none" w:sz="0" w:space="0" w:color="auto"/>
          </w:divBdr>
        </w:div>
      </w:divsChild>
    </w:div>
    <w:div w:id="922224141">
      <w:marLeft w:val="0"/>
      <w:marRight w:val="0"/>
      <w:marTop w:val="0"/>
      <w:marBottom w:val="0"/>
      <w:divBdr>
        <w:top w:val="none" w:sz="0" w:space="0" w:color="auto"/>
        <w:left w:val="none" w:sz="0" w:space="0" w:color="auto"/>
        <w:bottom w:val="none" w:sz="0" w:space="0" w:color="auto"/>
        <w:right w:val="none" w:sz="0" w:space="0" w:color="auto"/>
      </w:divBdr>
      <w:divsChild>
        <w:div w:id="28646904">
          <w:marLeft w:val="0"/>
          <w:marRight w:val="0"/>
          <w:marTop w:val="0"/>
          <w:marBottom w:val="0"/>
          <w:divBdr>
            <w:top w:val="none" w:sz="0" w:space="0" w:color="auto"/>
            <w:left w:val="none" w:sz="0" w:space="0" w:color="auto"/>
            <w:bottom w:val="none" w:sz="0" w:space="0" w:color="auto"/>
            <w:right w:val="none" w:sz="0" w:space="0" w:color="auto"/>
          </w:divBdr>
        </w:div>
      </w:divsChild>
    </w:div>
    <w:div w:id="923299099">
      <w:marLeft w:val="0"/>
      <w:marRight w:val="0"/>
      <w:marTop w:val="180"/>
      <w:marBottom w:val="180"/>
      <w:divBdr>
        <w:top w:val="none" w:sz="0" w:space="0" w:color="auto"/>
        <w:left w:val="none" w:sz="0" w:space="0" w:color="auto"/>
        <w:bottom w:val="none" w:sz="0" w:space="0" w:color="auto"/>
        <w:right w:val="none" w:sz="0" w:space="0" w:color="auto"/>
      </w:divBdr>
    </w:div>
    <w:div w:id="924218808">
      <w:marLeft w:val="0"/>
      <w:marRight w:val="0"/>
      <w:marTop w:val="0"/>
      <w:marBottom w:val="24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sChild>
        <w:div w:id="393741981">
          <w:marLeft w:val="0"/>
          <w:marRight w:val="0"/>
          <w:marTop w:val="0"/>
          <w:marBottom w:val="0"/>
          <w:divBdr>
            <w:top w:val="none" w:sz="0" w:space="0" w:color="auto"/>
            <w:left w:val="none" w:sz="0" w:space="0" w:color="auto"/>
            <w:bottom w:val="none" w:sz="0" w:space="0" w:color="auto"/>
            <w:right w:val="none" w:sz="0" w:space="0" w:color="auto"/>
          </w:divBdr>
        </w:div>
      </w:divsChild>
    </w:div>
    <w:div w:id="926891143">
      <w:marLeft w:val="0"/>
      <w:marRight w:val="0"/>
      <w:marTop w:val="0"/>
      <w:marBottom w:val="180"/>
      <w:divBdr>
        <w:top w:val="none" w:sz="0" w:space="0" w:color="auto"/>
        <w:left w:val="none" w:sz="0" w:space="0" w:color="auto"/>
        <w:bottom w:val="none" w:sz="0" w:space="0" w:color="auto"/>
        <w:right w:val="none" w:sz="0" w:space="0" w:color="auto"/>
      </w:divBdr>
    </w:div>
    <w:div w:id="927890555">
      <w:marLeft w:val="0"/>
      <w:marRight w:val="0"/>
      <w:marTop w:val="180"/>
      <w:marBottom w:val="180"/>
      <w:divBdr>
        <w:top w:val="none" w:sz="0" w:space="0" w:color="auto"/>
        <w:left w:val="none" w:sz="0" w:space="0" w:color="auto"/>
        <w:bottom w:val="none" w:sz="0" w:space="0" w:color="auto"/>
        <w:right w:val="none" w:sz="0" w:space="0" w:color="auto"/>
      </w:divBdr>
    </w:div>
    <w:div w:id="927926204">
      <w:marLeft w:val="0"/>
      <w:marRight w:val="0"/>
      <w:marTop w:val="0"/>
      <w:marBottom w:val="180"/>
      <w:divBdr>
        <w:top w:val="none" w:sz="0" w:space="0" w:color="auto"/>
        <w:left w:val="none" w:sz="0" w:space="0" w:color="auto"/>
        <w:bottom w:val="none" w:sz="0" w:space="0" w:color="auto"/>
        <w:right w:val="none" w:sz="0" w:space="0" w:color="auto"/>
      </w:divBdr>
    </w:div>
    <w:div w:id="928656684">
      <w:marLeft w:val="0"/>
      <w:marRight w:val="0"/>
      <w:marTop w:val="240"/>
      <w:marBottom w:val="240"/>
      <w:divBdr>
        <w:top w:val="none" w:sz="0" w:space="0" w:color="auto"/>
        <w:left w:val="none" w:sz="0" w:space="0" w:color="auto"/>
        <w:bottom w:val="none" w:sz="0" w:space="0" w:color="auto"/>
        <w:right w:val="none" w:sz="0" w:space="0" w:color="auto"/>
      </w:divBdr>
    </w:div>
    <w:div w:id="930359059">
      <w:marLeft w:val="0"/>
      <w:marRight w:val="0"/>
      <w:marTop w:val="180"/>
      <w:marBottom w:val="180"/>
      <w:divBdr>
        <w:top w:val="none" w:sz="0" w:space="0" w:color="auto"/>
        <w:left w:val="none" w:sz="0" w:space="0" w:color="auto"/>
        <w:bottom w:val="none" w:sz="0" w:space="0" w:color="auto"/>
        <w:right w:val="none" w:sz="0" w:space="0" w:color="auto"/>
      </w:divBdr>
    </w:div>
    <w:div w:id="933248112">
      <w:marLeft w:val="0"/>
      <w:marRight w:val="0"/>
      <w:marTop w:val="0"/>
      <w:marBottom w:val="240"/>
      <w:divBdr>
        <w:top w:val="none" w:sz="0" w:space="0" w:color="auto"/>
        <w:left w:val="none" w:sz="0" w:space="0" w:color="auto"/>
        <w:bottom w:val="none" w:sz="0" w:space="0" w:color="auto"/>
        <w:right w:val="none" w:sz="0" w:space="0" w:color="auto"/>
      </w:divBdr>
    </w:div>
    <w:div w:id="933978772">
      <w:marLeft w:val="0"/>
      <w:marRight w:val="0"/>
      <w:marTop w:val="0"/>
      <w:marBottom w:val="180"/>
      <w:divBdr>
        <w:top w:val="none" w:sz="0" w:space="0" w:color="auto"/>
        <w:left w:val="none" w:sz="0" w:space="0" w:color="auto"/>
        <w:bottom w:val="none" w:sz="0" w:space="0" w:color="auto"/>
        <w:right w:val="none" w:sz="0" w:space="0" w:color="auto"/>
      </w:divBdr>
    </w:div>
    <w:div w:id="937101179">
      <w:marLeft w:val="0"/>
      <w:marRight w:val="0"/>
      <w:marTop w:val="180"/>
      <w:marBottom w:val="180"/>
      <w:divBdr>
        <w:top w:val="none" w:sz="0" w:space="0" w:color="auto"/>
        <w:left w:val="none" w:sz="0" w:space="0" w:color="auto"/>
        <w:bottom w:val="none" w:sz="0" w:space="0" w:color="auto"/>
        <w:right w:val="none" w:sz="0" w:space="0" w:color="auto"/>
      </w:divBdr>
    </w:div>
    <w:div w:id="939486739">
      <w:marLeft w:val="0"/>
      <w:marRight w:val="0"/>
      <w:marTop w:val="0"/>
      <w:marBottom w:val="0"/>
      <w:divBdr>
        <w:top w:val="none" w:sz="0" w:space="0" w:color="auto"/>
        <w:left w:val="none" w:sz="0" w:space="0" w:color="auto"/>
        <w:bottom w:val="none" w:sz="0" w:space="0" w:color="auto"/>
        <w:right w:val="none" w:sz="0" w:space="0" w:color="auto"/>
      </w:divBdr>
      <w:divsChild>
        <w:div w:id="587470714">
          <w:marLeft w:val="0"/>
          <w:marRight w:val="0"/>
          <w:marTop w:val="0"/>
          <w:marBottom w:val="0"/>
          <w:divBdr>
            <w:top w:val="none" w:sz="0" w:space="0" w:color="auto"/>
            <w:left w:val="none" w:sz="0" w:space="0" w:color="auto"/>
            <w:bottom w:val="none" w:sz="0" w:space="0" w:color="auto"/>
            <w:right w:val="none" w:sz="0" w:space="0" w:color="auto"/>
          </w:divBdr>
        </w:div>
      </w:divsChild>
    </w:div>
    <w:div w:id="940842823">
      <w:marLeft w:val="0"/>
      <w:marRight w:val="0"/>
      <w:marTop w:val="0"/>
      <w:marBottom w:val="240"/>
      <w:divBdr>
        <w:top w:val="none" w:sz="0" w:space="0" w:color="auto"/>
        <w:left w:val="none" w:sz="0" w:space="0" w:color="auto"/>
        <w:bottom w:val="none" w:sz="0" w:space="0" w:color="auto"/>
        <w:right w:val="none" w:sz="0" w:space="0" w:color="auto"/>
      </w:divBdr>
    </w:div>
    <w:div w:id="941036933">
      <w:marLeft w:val="0"/>
      <w:marRight w:val="0"/>
      <w:marTop w:val="0"/>
      <w:marBottom w:val="0"/>
      <w:divBdr>
        <w:top w:val="none" w:sz="0" w:space="0" w:color="auto"/>
        <w:left w:val="none" w:sz="0" w:space="0" w:color="auto"/>
        <w:bottom w:val="none" w:sz="0" w:space="0" w:color="auto"/>
        <w:right w:val="none" w:sz="0" w:space="0" w:color="auto"/>
      </w:divBdr>
    </w:div>
    <w:div w:id="942617338">
      <w:marLeft w:val="0"/>
      <w:marRight w:val="0"/>
      <w:marTop w:val="180"/>
      <w:marBottom w:val="180"/>
      <w:divBdr>
        <w:top w:val="none" w:sz="0" w:space="0" w:color="auto"/>
        <w:left w:val="none" w:sz="0" w:space="0" w:color="auto"/>
        <w:bottom w:val="none" w:sz="0" w:space="0" w:color="auto"/>
        <w:right w:val="none" w:sz="0" w:space="0" w:color="auto"/>
      </w:divBdr>
    </w:div>
    <w:div w:id="944770869">
      <w:marLeft w:val="0"/>
      <w:marRight w:val="0"/>
      <w:marTop w:val="0"/>
      <w:marBottom w:val="0"/>
      <w:divBdr>
        <w:top w:val="none" w:sz="0" w:space="0" w:color="auto"/>
        <w:left w:val="none" w:sz="0" w:space="0" w:color="auto"/>
        <w:bottom w:val="none" w:sz="0" w:space="0" w:color="auto"/>
        <w:right w:val="none" w:sz="0" w:space="0" w:color="auto"/>
      </w:divBdr>
      <w:divsChild>
        <w:div w:id="358512870">
          <w:marLeft w:val="0"/>
          <w:marRight w:val="0"/>
          <w:marTop w:val="0"/>
          <w:marBottom w:val="0"/>
          <w:divBdr>
            <w:top w:val="none" w:sz="0" w:space="0" w:color="auto"/>
            <w:left w:val="none" w:sz="0" w:space="0" w:color="auto"/>
            <w:bottom w:val="none" w:sz="0" w:space="0" w:color="auto"/>
            <w:right w:val="none" w:sz="0" w:space="0" w:color="auto"/>
          </w:divBdr>
        </w:div>
      </w:divsChild>
    </w:div>
    <w:div w:id="944776344">
      <w:marLeft w:val="0"/>
      <w:marRight w:val="0"/>
      <w:marTop w:val="100"/>
      <w:marBottom w:val="0"/>
      <w:divBdr>
        <w:top w:val="none" w:sz="0" w:space="0" w:color="auto"/>
        <w:left w:val="none" w:sz="0" w:space="0" w:color="auto"/>
        <w:bottom w:val="none" w:sz="0" w:space="0" w:color="auto"/>
        <w:right w:val="none" w:sz="0" w:space="0" w:color="auto"/>
      </w:divBdr>
      <w:divsChild>
        <w:div w:id="1012492811">
          <w:marLeft w:val="0"/>
          <w:marRight w:val="0"/>
          <w:marTop w:val="0"/>
          <w:marBottom w:val="0"/>
          <w:divBdr>
            <w:top w:val="none" w:sz="0" w:space="0" w:color="auto"/>
            <w:left w:val="none" w:sz="0" w:space="0" w:color="auto"/>
            <w:bottom w:val="none" w:sz="0" w:space="0" w:color="auto"/>
            <w:right w:val="none" w:sz="0" w:space="0" w:color="auto"/>
          </w:divBdr>
        </w:div>
      </w:divsChild>
    </w:div>
    <w:div w:id="946355249">
      <w:marLeft w:val="0"/>
      <w:marRight w:val="0"/>
      <w:marTop w:val="0"/>
      <w:marBottom w:val="0"/>
      <w:divBdr>
        <w:top w:val="none" w:sz="0" w:space="0" w:color="auto"/>
        <w:left w:val="none" w:sz="0" w:space="0" w:color="auto"/>
        <w:bottom w:val="none" w:sz="0" w:space="0" w:color="auto"/>
        <w:right w:val="none" w:sz="0" w:space="0" w:color="auto"/>
      </w:divBdr>
      <w:divsChild>
        <w:div w:id="1304776984">
          <w:marLeft w:val="0"/>
          <w:marRight w:val="0"/>
          <w:marTop w:val="0"/>
          <w:marBottom w:val="0"/>
          <w:divBdr>
            <w:top w:val="none" w:sz="0" w:space="0" w:color="auto"/>
            <w:left w:val="none" w:sz="0" w:space="0" w:color="auto"/>
            <w:bottom w:val="none" w:sz="0" w:space="0" w:color="auto"/>
            <w:right w:val="none" w:sz="0" w:space="0" w:color="auto"/>
          </w:divBdr>
        </w:div>
      </w:divsChild>
    </w:div>
    <w:div w:id="953903751">
      <w:marLeft w:val="0"/>
      <w:marRight w:val="0"/>
      <w:marTop w:val="0"/>
      <w:marBottom w:val="0"/>
      <w:divBdr>
        <w:top w:val="none" w:sz="0" w:space="0" w:color="auto"/>
        <w:left w:val="none" w:sz="0" w:space="0" w:color="auto"/>
        <w:bottom w:val="none" w:sz="0" w:space="0" w:color="auto"/>
        <w:right w:val="none" w:sz="0" w:space="0" w:color="auto"/>
      </w:divBdr>
      <w:divsChild>
        <w:div w:id="1722290289">
          <w:marLeft w:val="0"/>
          <w:marRight w:val="0"/>
          <w:marTop w:val="0"/>
          <w:marBottom w:val="0"/>
          <w:divBdr>
            <w:top w:val="none" w:sz="0" w:space="0" w:color="auto"/>
            <w:left w:val="none" w:sz="0" w:space="0" w:color="auto"/>
            <w:bottom w:val="none" w:sz="0" w:space="0" w:color="auto"/>
            <w:right w:val="none" w:sz="0" w:space="0" w:color="auto"/>
          </w:divBdr>
        </w:div>
      </w:divsChild>
    </w:div>
    <w:div w:id="954021004">
      <w:marLeft w:val="0"/>
      <w:marRight w:val="0"/>
      <w:marTop w:val="0"/>
      <w:marBottom w:val="0"/>
      <w:divBdr>
        <w:top w:val="none" w:sz="0" w:space="0" w:color="auto"/>
        <w:left w:val="none" w:sz="0" w:space="0" w:color="auto"/>
        <w:bottom w:val="none" w:sz="0" w:space="0" w:color="auto"/>
        <w:right w:val="none" w:sz="0" w:space="0" w:color="auto"/>
      </w:divBdr>
    </w:div>
    <w:div w:id="954098490">
      <w:marLeft w:val="0"/>
      <w:marRight w:val="0"/>
      <w:marTop w:val="100"/>
      <w:marBottom w:val="0"/>
      <w:divBdr>
        <w:top w:val="none" w:sz="0" w:space="0" w:color="auto"/>
        <w:left w:val="none" w:sz="0" w:space="0" w:color="auto"/>
        <w:bottom w:val="none" w:sz="0" w:space="0" w:color="auto"/>
        <w:right w:val="none" w:sz="0" w:space="0" w:color="auto"/>
      </w:divBdr>
    </w:div>
    <w:div w:id="954750731">
      <w:marLeft w:val="0"/>
      <w:marRight w:val="0"/>
      <w:marTop w:val="0"/>
      <w:marBottom w:val="240"/>
      <w:divBdr>
        <w:top w:val="none" w:sz="0" w:space="0" w:color="auto"/>
        <w:left w:val="none" w:sz="0" w:space="0" w:color="auto"/>
        <w:bottom w:val="none" w:sz="0" w:space="0" w:color="auto"/>
        <w:right w:val="none" w:sz="0" w:space="0" w:color="auto"/>
      </w:divBdr>
    </w:div>
    <w:div w:id="955333441">
      <w:marLeft w:val="0"/>
      <w:marRight w:val="0"/>
      <w:marTop w:val="180"/>
      <w:marBottom w:val="180"/>
      <w:divBdr>
        <w:top w:val="none" w:sz="0" w:space="0" w:color="auto"/>
        <w:left w:val="none" w:sz="0" w:space="0" w:color="auto"/>
        <w:bottom w:val="none" w:sz="0" w:space="0" w:color="auto"/>
        <w:right w:val="none" w:sz="0" w:space="0" w:color="auto"/>
      </w:divBdr>
    </w:div>
    <w:div w:id="957950830">
      <w:marLeft w:val="0"/>
      <w:marRight w:val="0"/>
      <w:marTop w:val="0"/>
      <w:marBottom w:val="180"/>
      <w:divBdr>
        <w:top w:val="none" w:sz="0" w:space="0" w:color="auto"/>
        <w:left w:val="none" w:sz="0" w:space="0" w:color="auto"/>
        <w:bottom w:val="none" w:sz="0" w:space="0" w:color="auto"/>
        <w:right w:val="none" w:sz="0" w:space="0" w:color="auto"/>
      </w:divBdr>
    </w:div>
    <w:div w:id="958026752">
      <w:marLeft w:val="0"/>
      <w:marRight w:val="0"/>
      <w:marTop w:val="0"/>
      <w:marBottom w:val="0"/>
      <w:divBdr>
        <w:top w:val="none" w:sz="0" w:space="0" w:color="auto"/>
        <w:left w:val="none" w:sz="0" w:space="0" w:color="auto"/>
        <w:bottom w:val="none" w:sz="0" w:space="0" w:color="auto"/>
        <w:right w:val="none" w:sz="0" w:space="0" w:color="auto"/>
      </w:divBdr>
    </w:div>
    <w:div w:id="959259121">
      <w:marLeft w:val="0"/>
      <w:marRight w:val="0"/>
      <w:marTop w:val="0"/>
      <w:marBottom w:val="240"/>
      <w:divBdr>
        <w:top w:val="none" w:sz="0" w:space="0" w:color="auto"/>
        <w:left w:val="none" w:sz="0" w:space="0" w:color="auto"/>
        <w:bottom w:val="none" w:sz="0" w:space="0" w:color="auto"/>
        <w:right w:val="none" w:sz="0" w:space="0" w:color="auto"/>
      </w:divBdr>
    </w:div>
    <w:div w:id="964694394">
      <w:marLeft w:val="0"/>
      <w:marRight w:val="0"/>
      <w:marTop w:val="0"/>
      <w:marBottom w:val="0"/>
      <w:divBdr>
        <w:top w:val="none" w:sz="0" w:space="0" w:color="auto"/>
        <w:left w:val="none" w:sz="0" w:space="0" w:color="auto"/>
        <w:bottom w:val="none" w:sz="0" w:space="0" w:color="auto"/>
        <w:right w:val="none" w:sz="0" w:space="0" w:color="auto"/>
      </w:divBdr>
      <w:divsChild>
        <w:div w:id="1773168044">
          <w:marLeft w:val="0"/>
          <w:marRight w:val="0"/>
          <w:marTop w:val="0"/>
          <w:marBottom w:val="0"/>
          <w:divBdr>
            <w:top w:val="none" w:sz="0" w:space="0" w:color="auto"/>
            <w:left w:val="none" w:sz="0" w:space="0" w:color="auto"/>
            <w:bottom w:val="none" w:sz="0" w:space="0" w:color="auto"/>
            <w:right w:val="none" w:sz="0" w:space="0" w:color="auto"/>
          </w:divBdr>
        </w:div>
        <w:div w:id="799419390">
          <w:marLeft w:val="0"/>
          <w:marRight w:val="0"/>
          <w:marTop w:val="0"/>
          <w:marBottom w:val="0"/>
          <w:divBdr>
            <w:top w:val="none" w:sz="0" w:space="0" w:color="auto"/>
            <w:left w:val="none" w:sz="0" w:space="0" w:color="auto"/>
            <w:bottom w:val="none" w:sz="0" w:space="0" w:color="auto"/>
            <w:right w:val="none" w:sz="0" w:space="0" w:color="auto"/>
          </w:divBdr>
        </w:div>
      </w:divsChild>
    </w:div>
    <w:div w:id="965089246">
      <w:marLeft w:val="0"/>
      <w:marRight w:val="0"/>
      <w:marTop w:val="180"/>
      <w:marBottom w:val="180"/>
      <w:divBdr>
        <w:top w:val="none" w:sz="0" w:space="0" w:color="auto"/>
        <w:left w:val="none" w:sz="0" w:space="0" w:color="auto"/>
        <w:bottom w:val="none" w:sz="0" w:space="0" w:color="auto"/>
        <w:right w:val="none" w:sz="0" w:space="0" w:color="auto"/>
      </w:divBdr>
    </w:div>
    <w:div w:id="965238467">
      <w:marLeft w:val="0"/>
      <w:marRight w:val="0"/>
      <w:marTop w:val="120"/>
      <w:marBottom w:val="120"/>
      <w:divBdr>
        <w:top w:val="none" w:sz="0" w:space="0" w:color="auto"/>
        <w:left w:val="none" w:sz="0" w:space="0" w:color="auto"/>
        <w:bottom w:val="none" w:sz="0" w:space="0" w:color="auto"/>
        <w:right w:val="none" w:sz="0" w:space="0" w:color="auto"/>
      </w:divBdr>
    </w:div>
    <w:div w:id="965768676">
      <w:marLeft w:val="0"/>
      <w:marRight w:val="0"/>
      <w:marTop w:val="0"/>
      <w:marBottom w:val="0"/>
      <w:divBdr>
        <w:top w:val="none" w:sz="0" w:space="0" w:color="auto"/>
        <w:left w:val="none" w:sz="0" w:space="0" w:color="auto"/>
        <w:bottom w:val="none" w:sz="0" w:space="0" w:color="auto"/>
        <w:right w:val="none" w:sz="0" w:space="0" w:color="auto"/>
      </w:divBdr>
      <w:divsChild>
        <w:div w:id="1519853969">
          <w:marLeft w:val="0"/>
          <w:marRight w:val="0"/>
          <w:marTop w:val="0"/>
          <w:marBottom w:val="0"/>
          <w:divBdr>
            <w:top w:val="none" w:sz="0" w:space="0" w:color="auto"/>
            <w:left w:val="none" w:sz="0" w:space="0" w:color="auto"/>
            <w:bottom w:val="none" w:sz="0" w:space="0" w:color="auto"/>
            <w:right w:val="none" w:sz="0" w:space="0" w:color="auto"/>
          </w:divBdr>
        </w:div>
      </w:divsChild>
    </w:div>
    <w:div w:id="965816093">
      <w:marLeft w:val="0"/>
      <w:marRight w:val="0"/>
      <w:marTop w:val="0"/>
      <w:marBottom w:val="0"/>
      <w:divBdr>
        <w:top w:val="none" w:sz="0" w:space="0" w:color="auto"/>
        <w:left w:val="none" w:sz="0" w:space="0" w:color="auto"/>
        <w:bottom w:val="none" w:sz="0" w:space="0" w:color="auto"/>
        <w:right w:val="none" w:sz="0" w:space="0" w:color="auto"/>
      </w:divBdr>
    </w:div>
    <w:div w:id="966470236">
      <w:marLeft w:val="0"/>
      <w:marRight w:val="0"/>
      <w:marTop w:val="0"/>
      <w:marBottom w:val="0"/>
      <w:divBdr>
        <w:top w:val="none" w:sz="0" w:space="0" w:color="auto"/>
        <w:left w:val="none" w:sz="0" w:space="0" w:color="auto"/>
        <w:bottom w:val="none" w:sz="0" w:space="0" w:color="auto"/>
        <w:right w:val="none" w:sz="0" w:space="0" w:color="auto"/>
      </w:divBdr>
    </w:div>
    <w:div w:id="968052212">
      <w:marLeft w:val="0"/>
      <w:marRight w:val="0"/>
      <w:marTop w:val="0"/>
      <w:marBottom w:val="180"/>
      <w:divBdr>
        <w:top w:val="none" w:sz="0" w:space="0" w:color="auto"/>
        <w:left w:val="none" w:sz="0" w:space="0" w:color="auto"/>
        <w:bottom w:val="none" w:sz="0" w:space="0" w:color="auto"/>
        <w:right w:val="none" w:sz="0" w:space="0" w:color="auto"/>
      </w:divBdr>
    </w:div>
    <w:div w:id="968785519">
      <w:marLeft w:val="0"/>
      <w:marRight w:val="0"/>
      <w:marTop w:val="0"/>
      <w:marBottom w:val="180"/>
      <w:divBdr>
        <w:top w:val="none" w:sz="0" w:space="0" w:color="auto"/>
        <w:left w:val="none" w:sz="0" w:space="0" w:color="auto"/>
        <w:bottom w:val="none" w:sz="0" w:space="0" w:color="auto"/>
        <w:right w:val="none" w:sz="0" w:space="0" w:color="auto"/>
      </w:divBdr>
    </w:div>
    <w:div w:id="969819554">
      <w:marLeft w:val="0"/>
      <w:marRight w:val="0"/>
      <w:marTop w:val="0"/>
      <w:marBottom w:val="0"/>
      <w:divBdr>
        <w:top w:val="none" w:sz="0" w:space="0" w:color="auto"/>
        <w:left w:val="none" w:sz="0" w:space="0" w:color="auto"/>
        <w:bottom w:val="none" w:sz="0" w:space="0" w:color="auto"/>
        <w:right w:val="none" w:sz="0" w:space="0" w:color="auto"/>
      </w:divBdr>
      <w:divsChild>
        <w:div w:id="882601066">
          <w:marLeft w:val="0"/>
          <w:marRight w:val="0"/>
          <w:marTop w:val="0"/>
          <w:marBottom w:val="0"/>
          <w:divBdr>
            <w:top w:val="none" w:sz="0" w:space="0" w:color="auto"/>
            <w:left w:val="none" w:sz="0" w:space="0" w:color="auto"/>
            <w:bottom w:val="none" w:sz="0" w:space="0" w:color="auto"/>
            <w:right w:val="none" w:sz="0" w:space="0" w:color="auto"/>
          </w:divBdr>
        </w:div>
      </w:divsChild>
    </w:div>
    <w:div w:id="969943244">
      <w:marLeft w:val="0"/>
      <w:marRight w:val="0"/>
      <w:marTop w:val="0"/>
      <w:marBottom w:val="0"/>
      <w:divBdr>
        <w:top w:val="none" w:sz="0" w:space="0" w:color="auto"/>
        <w:left w:val="none" w:sz="0" w:space="0" w:color="auto"/>
        <w:bottom w:val="none" w:sz="0" w:space="0" w:color="auto"/>
        <w:right w:val="none" w:sz="0" w:space="0" w:color="auto"/>
      </w:divBdr>
    </w:div>
    <w:div w:id="970398966">
      <w:marLeft w:val="0"/>
      <w:marRight w:val="0"/>
      <w:marTop w:val="120"/>
      <w:marBottom w:val="120"/>
      <w:divBdr>
        <w:top w:val="none" w:sz="0" w:space="0" w:color="auto"/>
        <w:left w:val="none" w:sz="0" w:space="0" w:color="auto"/>
        <w:bottom w:val="none" w:sz="0" w:space="0" w:color="auto"/>
        <w:right w:val="none" w:sz="0" w:space="0" w:color="auto"/>
      </w:divBdr>
    </w:div>
    <w:div w:id="970675410">
      <w:marLeft w:val="0"/>
      <w:marRight w:val="0"/>
      <w:marTop w:val="0"/>
      <w:marBottom w:val="240"/>
      <w:divBdr>
        <w:top w:val="none" w:sz="0" w:space="0" w:color="auto"/>
        <w:left w:val="none" w:sz="0" w:space="0" w:color="auto"/>
        <w:bottom w:val="none" w:sz="0" w:space="0" w:color="auto"/>
        <w:right w:val="none" w:sz="0" w:space="0" w:color="auto"/>
      </w:divBdr>
    </w:div>
    <w:div w:id="972370628">
      <w:marLeft w:val="0"/>
      <w:marRight w:val="0"/>
      <w:marTop w:val="0"/>
      <w:marBottom w:val="0"/>
      <w:divBdr>
        <w:top w:val="none" w:sz="0" w:space="0" w:color="auto"/>
        <w:left w:val="none" w:sz="0" w:space="0" w:color="auto"/>
        <w:bottom w:val="none" w:sz="0" w:space="0" w:color="auto"/>
        <w:right w:val="none" w:sz="0" w:space="0" w:color="auto"/>
      </w:divBdr>
    </w:div>
    <w:div w:id="972712862">
      <w:marLeft w:val="0"/>
      <w:marRight w:val="0"/>
      <w:marTop w:val="0"/>
      <w:marBottom w:val="180"/>
      <w:divBdr>
        <w:top w:val="none" w:sz="0" w:space="0" w:color="auto"/>
        <w:left w:val="none" w:sz="0" w:space="0" w:color="auto"/>
        <w:bottom w:val="none" w:sz="0" w:space="0" w:color="auto"/>
        <w:right w:val="none" w:sz="0" w:space="0" w:color="auto"/>
      </w:divBdr>
    </w:div>
    <w:div w:id="972909586">
      <w:marLeft w:val="0"/>
      <w:marRight w:val="0"/>
      <w:marTop w:val="0"/>
      <w:marBottom w:val="0"/>
      <w:divBdr>
        <w:top w:val="none" w:sz="0" w:space="0" w:color="auto"/>
        <w:left w:val="none" w:sz="0" w:space="0" w:color="auto"/>
        <w:bottom w:val="none" w:sz="0" w:space="0" w:color="auto"/>
        <w:right w:val="none" w:sz="0" w:space="0" w:color="auto"/>
      </w:divBdr>
      <w:divsChild>
        <w:div w:id="877814205">
          <w:marLeft w:val="0"/>
          <w:marRight w:val="0"/>
          <w:marTop w:val="0"/>
          <w:marBottom w:val="0"/>
          <w:divBdr>
            <w:top w:val="none" w:sz="0" w:space="0" w:color="auto"/>
            <w:left w:val="none" w:sz="0" w:space="0" w:color="auto"/>
            <w:bottom w:val="none" w:sz="0" w:space="0" w:color="auto"/>
            <w:right w:val="none" w:sz="0" w:space="0" w:color="auto"/>
          </w:divBdr>
        </w:div>
      </w:divsChild>
    </w:div>
    <w:div w:id="973415013">
      <w:marLeft w:val="0"/>
      <w:marRight w:val="0"/>
      <w:marTop w:val="0"/>
      <w:marBottom w:val="0"/>
      <w:divBdr>
        <w:top w:val="none" w:sz="0" w:space="0" w:color="auto"/>
        <w:left w:val="none" w:sz="0" w:space="0" w:color="auto"/>
        <w:bottom w:val="none" w:sz="0" w:space="0" w:color="auto"/>
        <w:right w:val="none" w:sz="0" w:space="0" w:color="auto"/>
      </w:divBdr>
    </w:div>
    <w:div w:id="974066457">
      <w:marLeft w:val="0"/>
      <w:marRight w:val="0"/>
      <w:marTop w:val="0"/>
      <w:marBottom w:val="0"/>
      <w:divBdr>
        <w:top w:val="none" w:sz="0" w:space="0" w:color="auto"/>
        <w:left w:val="none" w:sz="0" w:space="0" w:color="auto"/>
        <w:bottom w:val="none" w:sz="0" w:space="0" w:color="auto"/>
        <w:right w:val="none" w:sz="0" w:space="0" w:color="auto"/>
      </w:divBdr>
    </w:div>
    <w:div w:id="977225435">
      <w:marLeft w:val="0"/>
      <w:marRight w:val="0"/>
      <w:marTop w:val="0"/>
      <w:marBottom w:val="240"/>
      <w:divBdr>
        <w:top w:val="none" w:sz="0" w:space="0" w:color="auto"/>
        <w:left w:val="none" w:sz="0" w:space="0" w:color="auto"/>
        <w:bottom w:val="none" w:sz="0" w:space="0" w:color="auto"/>
        <w:right w:val="none" w:sz="0" w:space="0" w:color="auto"/>
      </w:divBdr>
    </w:div>
    <w:div w:id="977297735">
      <w:marLeft w:val="0"/>
      <w:marRight w:val="0"/>
      <w:marTop w:val="0"/>
      <w:marBottom w:val="240"/>
      <w:divBdr>
        <w:top w:val="none" w:sz="0" w:space="0" w:color="auto"/>
        <w:left w:val="none" w:sz="0" w:space="0" w:color="auto"/>
        <w:bottom w:val="none" w:sz="0" w:space="0" w:color="auto"/>
        <w:right w:val="none" w:sz="0" w:space="0" w:color="auto"/>
      </w:divBdr>
    </w:div>
    <w:div w:id="980037058">
      <w:marLeft w:val="0"/>
      <w:marRight w:val="0"/>
      <w:marTop w:val="180"/>
      <w:marBottom w:val="180"/>
      <w:divBdr>
        <w:top w:val="none" w:sz="0" w:space="0" w:color="auto"/>
        <w:left w:val="none" w:sz="0" w:space="0" w:color="auto"/>
        <w:bottom w:val="none" w:sz="0" w:space="0" w:color="auto"/>
        <w:right w:val="none" w:sz="0" w:space="0" w:color="auto"/>
      </w:divBdr>
    </w:div>
    <w:div w:id="984431590">
      <w:marLeft w:val="0"/>
      <w:marRight w:val="0"/>
      <w:marTop w:val="0"/>
      <w:marBottom w:val="180"/>
      <w:divBdr>
        <w:top w:val="none" w:sz="0" w:space="0" w:color="auto"/>
        <w:left w:val="none" w:sz="0" w:space="0" w:color="auto"/>
        <w:bottom w:val="none" w:sz="0" w:space="0" w:color="auto"/>
        <w:right w:val="none" w:sz="0" w:space="0" w:color="auto"/>
      </w:divBdr>
    </w:div>
    <w:div w:id="985205372">
      <w:marLeft w:val="0"/>
      <w:marRight w:val="0"/>
      <w:marTop w:val="0"/>
      <w:marBottom w:val="0"/>
      <w:divBdr>
        <w:top w:val="none" w:sz="0" w:space="0" w:color="auto"/>
        <w:left w:val="none" w:sz="0" w:space="0" w:color="auto"/>
        <w:bottom w:val="none" w:sz="0" w:space="0" w:color="auto"/>
        <w:right w:val="none" w:sz="0" w:space="0" w:color="auto"/>
      </w:divBdr>
    </w:div>
    <w:div w:id="985863518">
      <w:marLeft w:val="0"/>
      <w:marRight w:val="0"/>
      <w:marTop w:val="0"/>
      <w:marBottom w:val="0"/>
      <w:divBdr>
        <w:top w:val="none" w:sz="0" w:space="0" w:color="auto"/>
        <w:left w:val="none" w:sz="0" w:space="0" w:color="auto"/>
        <w:bottom w:val="none" w:sz="0" w:space="0" w:color="auto"/>
        <w:right w:val="none" w:sz="0" w:space="0" w:color="auto"/>
      </w:divBdr>
      <w:divsChild>
        <w:div w:id="157115375">
          <w:marLeft w:val="0"/>
          <w:marRight w:val="0"/>
          <w:marTop w:val="0"/>
          <w:marBottom w:val="0"/>
          <w:divBdr>
            <w:top w:val="none" w:sz="0" w:space="0" w:color="auto"/>
            <w:left w:val="none" w:sz="0" w:space="0" w:color="auto"/>
            <w:bottom w:val="none" w:sz="0" w:space="0" w:color="auto"/>
            <w:right w:val="none" w:sz="0" w:space="0" w:color="auto"/>
          </w:divBdr>
        </w:div>
        <w:div w:id="1965040377">
          <w:marLeft w:val="0"/>
          <w:marRight w:val="0"/>
          <w:marTop w:val="0"/>
          <w:marBottom w:val="0"/>
          <w:divBdr>
            <w:top w:val="none" w:sz="0" w:space="0" w:color="auto"/>
            <w:left w:val="none" w:sz="0" w:space="0" w:color="auto"/>
            <w:bottom w:val="none" w:sz="0" w:space="0" w:color="auto"/>
            <w:right w:val="none" w:sz="0" w:space="0" w:color="auto"/>
          </w:divBdr>
        </w:div>
      </w:divsChild>
    </w:div>
    <w:div w:id="986324093">
      <w:marLeft w:val="0"/>
      <w:marRight w:val="0"/>
      <w:marTop w:val="0"/>
      <w:marBottom w:val="0"/>
      <w:divBdr>
        <w:top w:val="none" w:sz="0" w:space="0" w:color="auto"/>
        <w:left w:val="none" w:sz="0" w:space="0" w:color="auto"/>
        <w:bottom w:val="none" w:sz="0" w:space="0" w:color="auto"/>
        <w:right w:val="none" w:sz="0" w:space="0" w:color="auto"/>
      </w:divBdr>
    </w:div>
    <w:div w:id="986326615">
      <w:marLeft w:val="0"/>
      <w:marRight w:val="0"/>
      <w:marTop w:val="0"/>
      <w:marBottom w:val="240"/>
      <w:divBdr>
        <w:top w:val="none" w:sz="0" w:space="0" w:color="auto"/>
        <w:left w:val="none" w:sz="0" w:space="0" w:color="auto"/>
        <w:bottom w:val="none" w:sz="0" w:space="0" w:color="auto"/>
        <w:right w:val="none" w:sz="0" w:space="0" w:color="auto"/>
      </w:divBdr>
    </w:div>
    <w:div w:id="990869767">
      <w:marLeft w:val="0"/>
      <w:marRight w:val="0"/>
      <w:marTop w:val="0"/>
      <w:marBottom w:val="180"/>
      <w:divBdr>
        <w:top w:val="none" w:sz="0" w:space="0" w:color="auto"/>
        <w:left w:val="none" w:sz="0" w:space="0" w:color="auto"/>
        <w:bottom w:val="none" w:sz="0" w:space="0" w:color="auto"/>
        <w:right w:val="none" w:sz="0" w:space="0" w:color="auto"/>
      </w:divBdr>
    </w:div>
    <w:div w:id="993725391">
      <w:marLeft w:val="0"/>
      <w:marRight w:val="0"/>
      <w:marTop w:val="0"/>
      <w:marBottom w:val="0"/>
      <w:divBdr>
        <w:top w:val="none" w:sz="0" w:space="0" w:color="auto"/>
        <w:left w:val="none" w:sz="0" w:space="0" w:color="auto"/>
        <w:bottom w:val="none" w:sz="0" w:space="0" w:color="auto"/>
        <w:right w:val="none" w:sz="0" w:space="0" w:color="auto"/>
      </w:divBdr>
      <w:divsChild>
        <w:div w:id="776366693">
          <w:marLeft w:val="0"/>
          <w:marRight w:val="0"/>
          <w:marTop w:val="0"/>
          <w:marBottom w:val="0"/>
          <w:divBdr>
            <w:top w:val="none" w:sz="0" w:space="0" w:color="auto"/>
            <w:left w:val="none" w:sz="0" w:space="0" w:color="auto"/>
            <w:bottom w:val="none" w:sz="0" w:space="0" w:color="auto"/>
            <w:right w:val="none" w:sz="0" w:space="0" w:color="auto"/>
          </w:divBdr>
        </w:div>
      </w:divsChild>
    </w:div>
    <w:div w:id="995886456">
      <w:marLeft w:val="0"/>
      <w:marRight w:val="0"/>
      <w:marTop w:val="0"/>
      <w:marBottom w:val="180"/>
      <w:divBdr>
        <w:top w:val="none" w:sz="0" w:space="0" w:color="auto"/>
        <w:left w:val="none" w:sz="0" w:space="0" w:color="auto"/>
        <w:bottom w:val="none" w:sz="0" w:space="0" w:color="auto"/>
        <w:right w:val="none" w:sz="0" w:space="0" w:color="auto"/>
      </w:divBdr>
    </w:div>
    <w:div w:id="996033733">
      <w:marLeft w:val="0"/>
      <w:marRight w:val="0"/>
      <w:marTop w:val="0"/>
      <w:marBottom w:val="240"/>
      <w:divBdr>
        <w:top w:val="none" w:sz="0" w:space="0" w:color="auto"/>
        <w:left w:val="none" w:sz="0" w:space="0" w:color="auto"/>
        <w:bottom w:val="none" w:sz="0" w:space="0" w:color="auto"/>
        <w:right w:val="none" w:sz="0" w:space="0" w:color="auto"/>
      </w:divBdr>
    </w:div>
    <w:div w:id="996541226">
      <w:marLeft w:val="0"/>
      <w:marRight w:val="0"/>
      <w:marTop w:val="120"/>
      <w:marBottom w:val="120"/>
      <w:divBdr>
        <w:top w:val="none" w:sz="0" w:space="0" w:color="auto"/>
        <w:left w:val="none" w:sz="0" w:space="0" w:color="auto"/>
        <w:bottom w:val="none" w:sz="0" w:space="0" w:color="auto"/>
        <w:right w:val="none" w:sz="0" w:space="0" w:color="auto"/>
      </w:divBdr>
    </w:div>
    <w:div w:id="997533844">
      <w:marLeft w:val="0"/>
      <w:marRight w:val="0"/>
      <w:marTop w:val="180"/>
      <w:marBottom w:val="180"/>
      <w:divBdr>
        <w:top w:val="none" w:sz="0" w:space="0" w:color="auto"/>
        <w:left w:val="none" w:sz="0" w:space="0" w:color="auto"/>
        <w:bottom w:val="none" w:sz="0" w:space="0" w:color="auto"/>
        <w:right w:val="none" w:sz="0" w:space="0" w:color="auto"/>
      </w:divBdr>
    </w:div>
    <w:div w:id="1000280130">
      <w:marLeft w:val="0"/>
      <w:marRight w:val="0"/>
      <w:marTop w:val="0"/>
      <w:marBottom w:val="0"/>
      <w:divBdr>
        <w:top w:val="none" w:sz="0" w:space="0" w:color="auto"/>
        <w:left w:val="none" w:sz="0" w:space="0" w:color="auto"/>
        <w:bottom w:val="none" w:sz="0" w:space="0" w:color="auto"/>
        <w:right w:val="none" w:sz="0" w:space="0" w:color="auto"/>
      </w:divBdr>
      <w:divsChild>
        <w:div w:id="1928077185">
          <w:marLeft w:val="0"/>
          <w:marRight w:val="0"/>
          <w:marTop w:val="0"/>
          <w:marBottom w:val="0"/>
          <w:divBdr>
            <w:top w:val="none" w:sz="0" w:space="0" w:color="auto"/>
            <w:left w:val="none" w:sz="0" w:space="0" w:color="auto"/>
            <w:bottom w:val="none" w:sz="0" w:space="0" w:color="auto"/>
            <w:right w:val="none" w:sz="0" w:space="0" w:color="auto"/>
          </w:divBdr>
        </w:div>
      </w:divsChild>
    </w:div>
    <w:div w:id="1002705124">
      <w:marLeft w:val="0"/>
      <w:marRight w:val="0"/>
      <w:marTop w:val="180"/>
      <w:marBottom w:val="180"/>
      <w:divBdr>
        <w:top w:val="none" w:sz="0" w:space="0" w:color="auto"/>
        <w:left w:val="none" w:sz="0" w:space="0" w:color="auto"/>
        <w:bottom w:val="none" w:sz="0" w:space="0" w:color="auto"/>
        <w:right w:val="none" w:sz="0" w:space="0" w:color="auto"/>
      </w:divBdr>
    </w:div>
    <w:div w:id="1004237024">
      <w:marLeft w:val="0"/>
      <w:marRight w:val="0"/>
      <w:marTop w:val="0"/>
      <w:marBottom w:val="0"/>
      <w:divBdr>
        <w:top w:val="none" w:sz="0" w:space="0" w:color="auto"/>
        <w:left w:val="none" w:sz="0" w:space="0" w:color="auto"/>
        <w:bottom w:val="none" w:sz="0" w:space="0" w:color="auto"/>
        <w:right w:val="none" w:sz="0" w:space="0" w:color="auto"/>
      </w:divBdr>
      <w:divsChild>
        <w:div w:id="835849081">
          <w:marLeft w:val="0"/>
          <w:marRight w:val="0"/>
          <w:marTop w:val="0"/>
          <w:marBottom w:val="0"/>
          <w:divBdr>
            <w:top w:val="none" w:sz="0" w:space="0" w:color="auto"/>
            <w:left w:val="none" w:sz="0" w:space="0" w:color="auto"/>
            <w:bottom w:val="none" w:sz="0" w:space="0" w:color="auto"/>
            <w:right w:val="none" w:sz="0" w:space="0" w:color="auto"/>
          </w:divBdr>
        </w:div>
      </w:divsChild>
    </w:div>
    <w:div w:id="1004934819">
      <w:marLeft w:val="0"/>
      <w:marRight w:val="0"/>
      <w:marTop w:val="100"/>
      <w:marBottom w:val="0"/>
      <w:divBdr>
        <w:top w:val="none" w:sz="0" w:space="0" w:color="auto"/>
        <w:left w:val="none" w:sz="0" w:space="0" w:color="auto"/>
        <w:bottom w:val="none" w:sz="0" w:space="0" w:color="auto"/>
        <w:right w:val="none" w:sz="0" w:space="0" w:color="auto"/>
      </w:divBdr>
    </w:div>
    <w:div w:id="1005596262">
      <w:marLeft w:val="0"/>
      <w:marRight w:val="0"/>
      <w:marTop w:val="0"/>
      <w:marBottom w:val="0"/>
      <w:divBdr>
        <w:top w:val="none" w:sz="0" w:space="0" w:color="auto"/>
        <w:left w:val="none" w:sz="0" w:space="0" w:color="auto"/>
        <w:bottom w:val="none" w:sz="0" w:space="0" w:color="auto"/>
        <w:right w:val="none" w:sz="0" w:space="0" w:color="auto"/>
      </w:divBdr>
    </w:div>
    <w:div w:id="1010447141">
      <w:marLeft w:val="0"/>
      <w:marRight w:val="0"/>
      <w:marTop w:val="0"/>
      <w:marBottom w:val="180"/>
      <w:divBdr>
        <w:top w:val="none" w:sz="0" w:space="0" w:color="auto"/>
        <w:left w:val="none" w:sz="0" w:space="0" w:color="auto"/>
        <w:bottom w:val="none" w:sz="0" w:space="0" w:color="auto"/>
        <w:right w:val="none" w:sz="0" w:space="0" w:color="auto"/>
      </w:divBdr>
    </w:div>
    <w:div w:id="1010447792">
      <w:marLeft w:val="0"/>
      <w:marRight w:val="0"/>
      <w:marTop w:val="180"/>
      <w:marBottom w:val="180"/>
      <w:divBdr>
        <w:top w:val="none" w:sz="0" w:space="0" w:color="auto"/>
        <w:left w:val="none" w:sz="0" w:space="0" w:color="auto"/>
        <w:bottom w:val="none" w:sz="0" w:space="0" w:color="auto"/>
        <w:right w:val="none" w:sz="0" w:space="0" w:color="auto"/>
      </w:divBdr>
    </w:div>
    <w:div w:id="1012532625">
      <w:marLeft w:val="0"/>
      <w:marRight w:val="0"/>
      <w:marTop w:val="0"/>
      <w:marBottom w:val="180"/>
      <w:divBdr>
        <w:top w:val="none" w:sz="0" w:space="0" w:color="auto"/>
        <w:left w:val="none" w:sz="0" w:space="0" w:color="auto"/>
        <w:bottom w:val="none" w:sz="0" w:space="0" w:color="auto"/>
        <w:right w:val="none" w:sz="0" w:space="0" w:color="auto"/>
      </w:divBdr>
    </w:div>
    <w:div w:id="1013919015">
      <w:marLeft w:val="0"/>
      <w:marRight w:val="0"/>
      <w:marTop w:val="0"/>
      <w:marBottom w:val="0"/>
      <w:divBdr>
        <w:top w:val="none" w:sz="0" w:space="0" w:color="auto"/>
        <w:left w:val="none" w:sz="0" w:space="0" w:color="auto"/>
        <w:bottom w:val="none" w:sz="0" w:space="0" w:color="auto"/>
        <w:right w:val="none" w:sz="0" w:space="0" w:color="auto"/>
      </w:divBdr>
    </w:div>
    <w:div w:id="1016419851">
      <w:marLeft w:val="0"/>
      <w:marRight w:val="0"/>
      <w:marTop w:val="0"/>
      <w:marBottom w:val="0"/>
      <w:divBdr>
        <w:top w:val="none" w:sz="0" w:space="0" w:color="auto"/>
        <w:left w:val="none" w:sz="0" w:space="0" w:color="auto"/>
        <w:bottom w:val="none" w:sz="0" w:space="0" w:color="auto"/>
        <w:right w:val="none" w:sz="0" w:space="0" w:color="auto"/>
      </w:divBdr>
    </w:div>
    <w:div w:id="1021397314">
      <w:marLeft w:val="0"/>
      <w:marRight w:val="0"/>
      <w:marTop w:val="60"/>
      <w:marBottom w:val="0"/>
      <w:divBdr>
        <w:top w:val="none" w:sz="0" w:space="0" w:color="auto"/>
        <w:left w:val="none" w:sz="0" w:space="0" w:color="auto"/>
        <w:bottom w:val="none" w:sz="0" w:space="0" w:color="auto"/>
        <w:right w:val="none" w:sz="0" w:space="0" w:color="auto"/>
      </w:divBdr>
    </w:div>
    <w:div w:id="1022635614">
      <w:marLeft w:val="0"/>
      <w:marRight w:val="0"/>
      <w:marTop w:val="0"/>
      <w:marBottom w:val="240"/>
      <w:divBdr>
        <w:top w:val="none" w:sz="0" w:space="0" w:color="auto"/>
        <w:left w:val="none" w:sz="0" w:space="0" w:color="auto"/>
        <w:bottom w:val="none" w:sz="0" w:space="0" w:color="auto"/>
        <w:right w:val="none" w:sz="0" w:space="0" w:color="auto"/>
      </w:divBdr>
    </w:div>
    <w:div w:id="1027756662">
      <w:marLeft w:val="0"/>
      <w:marRight w:val="0"/>
      <w:marTop w:val="120"/>
      <w:marBottom w:val="120"/>
      <w:divBdr>
        <w:top w:val="none" w:sz="0" w:space="0" w:color="auto"/>
        <w:left w:val="none" w:sz="0" w:space="0" w:color="auto"/>
        <w:bottom w:val="none" w:sz="0" w:space="0" w:color="auto"/>
        <w:right w:val="none" w:sz="0" w:space="0" w:color="auto"/>
      </w:divBdr>
    </w:div>
    <w:div w:id="1028142341">
      <w:marLeft w:val="0"/>
      <w:marRight w:val="0"/>
      <w:marTop w:val="0"/>
      <w:marBottom w:val="180"/>
      <w:divBdr>
        <w:top w:val="none" w:sz="0" w:space="0" w:color="auto"/>
        <w:left w:val="none" w:sz="0" w:space="0" w:color="auto"/>
        <w:bottom w:val="none" w:sz="0" w:space="0" w:color="auto"/>
        <w:right w:val="none" w:sz="0" w:space="0" w:color="auto"/>
      </w:divBdr>
    </w:div>
    <w:div w:id="1028409084">
      <w:marLeft w:val="0"/>
      <w:marRight w:val="0"/>
      <w:marTop w:val="0"/>
      <w:marBottom w:val="0"/>
      <w:divBdr>
        <w:top w:val="none" w:sz="0" w:space="0" w:color="auto"/>
        <w:left w:val="none" w:sz="0" w:space="0" w:color="auto"/>
        <w:bottom w:val="none" w:sz="0" w:space="0" w:color="auto"/>
        <w:right w:val="none" w:sz="0" w:space="0" w:color="auto"/>
      </w:divBdr>
    </w:div>
    <w:div w:id="1030568286">
      <w:marLeft w:val="0"/>
      <w:marRight w:val="0"/>
      <w:marTop w:val="0"/>
      <w:marBottom w:val="240"/>
      <w:divBdr>
        <w:top w:val="none" w:sz="0" w:space="0" w:color="auto"/>
        <w:left w:val="none" w:sz="0" w:space="0" w:color="auto"/>
        <w:bottom w:val="none" w:sz="0" w:space="0" w:color="auto"/>
        <w:right w:val="none" w:sz="0" w:space="0" w:color="auto"/>
      </w:divBdr>
    </w:div>
    <w:div w:id="1030646545">
      <w:marLeft w:val="0"/>
      <w:marRight w:val="0"/>
      <w:marTop w:val="0"/>
      <w:marBottom w:val="0"/>
      <w:divBdr>
        <w:top w:val="none" w:sz="0" w:space="0" w:color="auto"/>
        <w:left w:val="none" w:sz="0" w:space="0" w:color="auto"/>
        <w:bottom w:val="none" w:sz="0" w:space="0" w:color="auto"/>
        <w:right w:val="none" w:sz="0" w:space="0" w:color="auto"/>
      </w:divBdr>
      <w:divsChild>
        <w:div w:id="549416625">
          <w:marLeft w:val="0"/>
          <w:marRight w:val="0"/>
          <w:marTop w:val="0"/>
          <w:marBottom w:val="0"/>
          <w:divBdr>
            <w:top w:val="none" w:sz="0" w:space="0" w:color="auto"/>
            <w:left w:val="none" w:sz="0" w:space="0" w:color="auto"/>
            <w:bottom w:val="none" w:sz="0" w:space="0" w:color="auto"/>
            <w:right w:val="none" w:sz="0" w:space="0" w:color="auto"/>
          </w:divBdr>
        </w:div>
        <w:div w:id="315260635">
          <w:marLeft w:val="0"/>
          <w:marRight w:val="0"/>
          <w:marTop w:val="0"/>
          <w:marBottom w:val="0"/>
          <w:divBdr>
            <w:top w:val="none" w:sz="0" w:space="0" w:color="auto"/>
            <w:left w:val="none" w:sz="0" w:space="0" w:color="auto"/>
            <w:bottom w:val="none" w:sz="0" w:space="0" w:color="auto"/>
            <w:right w:val="none" w:sz="0" w:space="0" w:color="auto"/>
          </w:divBdr>
        </w:div>
      </w:divsChild>
    </w:div>
    <w:div w:id="1033699476">
      <w:marLeft w:val="0"/>
      <w:marRight w:val="0"/>
      <w:marTop w:val="120"/>
      <w:marBottom w:val="120"/>
      <w:divBdr>
        <w:top w:val="none" w:sz="0" w:space="0" w:color="auto"/>
        <w:left w:val="none" w:sz="0" w:space="0" w:color="auto"/>
        <w:bottom w:val="none" w:sz="0" w:space="0" w:color="auto"/>
        <w:right w:val="none" w:sz="0" w:space="0" w:color="auto"/>
      </w:divBdr>
    </w:div>
    <w:div w:id="1034117415">
      <w:marLeft w:val="0"/>
      <w:marRight w:val="0"/>
      <w:marTop w:val="0"/>
      <w:marBottom w:val="240"/>
      <w:divBdr>
        <w:top w:val="none" w:sz="0" w:space="0" w:color="auto"/>
        <w:left w:val="none" w:sz="0" w:space="0" w:color="auto"/>
        <w:bottom w:val="none" w:sz="0" w:space="0" w:color="auto"/>
        <w:right w:val="none" w:sz="0" w:space="0" w:color="auto"/>
      </w:divBdr>
    </w:div>
    <w:div w:id="1035421078">
      <w:marLeft w:val="0"/>
      <w:marRight w:val="0"/>
      <w:marTop w:val="0"/>
      <w:marBottom w:val="240"/>
      <w:divBdr>
        <w:top w:val="none" w:sz="0" w:space="0" w:color="auto"/>
        <w:left w:val="none" w:sz="0" w:space="0" w:color="auto"/>
        <w:bottom w:val="none" w:sz="0" w:space="0" w:color="auto"/>
        <w:right w:val="none" w:sz="0" w:space="0" w:color="auto"/>
      </w:divBdr>
    </w:div>
    <w:div w:id="1036464877">
      <w:marLeft w:val="0"/>
      <w:marRight w:val="0"/>
      <w:marTop w:val="0"/>
      <w:marBottom w:val="240"/>
      <w:divBdr>
        <w:top w:val="none" w:sz="0" w:space="0" w:color="auto"/>
        <w:left w:val="none" w:sz="0" w:space="0" w:color="auto"/>
        <w:bottom w:val="none" w:sz="0" w:space="0" w:color="auto"/>
        <w:right w:val="none" w:sz="0" w:space="0" w:color="auto"/>
      </w:divBdr>
    </w:div>
    <w:div w:id="1037200095">
      <w:marLeft w:val="0"/>
      <w:marRight w:val="0"/>
      <w:marTop w:val="0"/>
      <w:marBottom w:val="240"/>
      <w:divBdr>
        <w:top w:val="none" w:sz="0" w:space="0" w:color="auto"/>
        <w:left w:val="none" w:sz="0" w:space="0" w:color="auto"/>
        <w:bottom w:val="none" w:sz="0" w:space="0" w:color="auto"/>
        <w:right w:val="none" w:sz="0" w:space="0" w:color="auto"/>
      </w:divBdr>
    </w:div>
    <w:div w:id="1037924242">
      <w:marLeft w:val="0"/>
      <w:marRight w:val="0"/>
      <w:marTop w:val="0"/>
      <w:marBottom w:val="180"/>
      <w:divBdr>
        <w:top w:val="none" w:sz="0" w:space="0" w:color="auto"/>
        <w:left w:val="none" w:sz="0" w:space="0" w:color="auto"/>
        <w:bottom w:val="none" w:sz="0" w:space="0" w:color="auto"/>
        <w:right w:val="none" w:sz="0" w:space="0" w:color="auto"/>
      </w:divBdr>
    </w:div>
    <w:div w:id="1039360824">
      <w:marLeft w:val="0"/>
      <w:marRight w:val="0"/>
      <w:marTop w:val="0"/>
      <w:marBottom w:val="180"/>
      <w:divBdr>
        <w:top w:val="none" w:sz="0" w:space="0" w:color="auto"/>
        <w:left w:val="none" w:sz="0" w:space="0" w:color="auto"/>
        <w:bottom w:val="none" w:sz="0" w:space="0" w:color="auto"/>
        <w:right w:val="none" w:sz="0" w:space="0" w:color="auto"/>
      </w:divBdr>
    </w:div>
    <w:div w:id="1040207616">
      <w:marLeft w:val="0"/>
      <w:marRight w:val="0"/>
      <w:marTop w:val="0"/>
      <w:marBottom w:val="0"/>
      <w:divBdr>
        <w:top w:val="none" w:sz="0" w:space="0" w:color="auto"/>
        <w:left w:val="none" w:sz="0" w:space="0" w:color="auto"/>
        <w:bottom w:val="none" w:sz="0" w:space="0" w:color="auto"/>
        <w:right w:val="none" w:sz="0" w:space="0" w:color="auto"/>
      </w:divBdr>
      <w:divsChild>
        <w:div w:id="2114668324">
          <w:marLeft w:val="0"/>
          <w:marRight w:val="0"/>
          <w:marTop w:val="0"/>
          <w:marBottom w:val="0"/>
          <w:divBdr>
            <w:top w:val="none" w:sz="0" w:space="0" w:color="auto"/>
            <w:left w:val="none" w:sz="0" w:space="0" w:color="auto"/>
            <w:bottom w:val="none" w:sz="0" w:space="0" w:color="auto"/>
            <w:right w:val="none" w:sz="0" w:space="0" w:color="auto"/>
          </w:divBdr>
        </w:div>
      </w:divsChild>
    </w:div>
    <w:div w:id="1045065133">
      <w:marLeft w:val="0"/>
      <w:marRight w:val="0"/>
      <w:marTop w:val="0"/>
      <w:marBottom w:val="0"/>
      <w:divBdr>
        <w:top w:val="none" w:sz="0" w:space="0" w:color="auto"/>
        <w:left w:val="none" w:sz="0" w:space="0" w:color="auto"/>
        <w:bottom w:val="none" w:sz="0" w:space="0" w:color="auto"/>
        <w:right w:val="none" w:sz="0" w:space="0" w:color="auto"/>
      </w:divBdr>
    </w:div>
    <w:div w:id="1046560430">
      <w:marLeft w:val="0"/>
      <w:marRight w:val="0"/>
      <w:marTop w:val="0"/>
      <w:marBottom w:val="240"/>
      <w:divBdr>
        <w:top w:val="none" w:sz="0" w:space="0" w:color="auto"/>
        <w:left w:val="none" w:sz="0" w:space="0" w:color="auto"/>
        <w:bottom w:val="none" w:sz="0" w:space="0" w:color="auto"/>
        <w:right w:val="none" w:sz="0" w:space="0" w:color="auto"/>
      </w:divBdr>
    </w:div>
    <w:div w:id="1047146298">
      <w:marLeft w:val="0"/>
      <w:marRight w:val="0"/>
      <w:marTop w:val="0"/>
      <w:marBottom w:val="0"/>
      <w:divBdr>
        <w:top w:val="none" w:sz="0" w:space="0" w:color="auto"/>
        <w:left w:val="none" w:sz="0" w:space="0" w:color="auto"/>
        <w:bottom w:val="none" w:sz="0" w:space="0" w:color="auto"/>
        <w:right w:val="none" w:sz="0" w:space="0" w:color="auto"/>
      </w:divBdr>
      <w:divsChild>
        <w:div w:id="1469933600">
          <w:marLeft w:val="0"/>
          <w:marRight w:val="0"/>
          <w:marTop w:val="0"/>
          <w:marBottom w:val="0"/>
          <w:divBdr>
            <w:top w:val="none" w:sz="0" w:space="0" w:color="auto"/>
            <w:left w:val="none" w:sz="0" w:space="0" w:color="auto"/>
            <w:bottom w:val="none" w:sz="0" w:space="0" w:color="auto"/>
            <w:right w:val="none" w:sz="0" w:space="0" w:color="auto"/>
          </w:divBdr>
        </w:div>
      </w:divsChild>
    </w:div>
    <w:div w:id="1050033868">
      <w:marLeft w:val="0"/>
      <w:marRight w:val="0"/>
      <w:marTop w:val="0"/>
      <w:marBottom w:val="0"/>
      <w:divBdr>
        <w:top w:val="none" w:sz="0" w:space="0" w:color="auto"/>
        <w:left w:val="none" w:sz="0" w:space="0" w:color="auto"/>
        <w:bottom w:val="none" w:sz="0" w:space="0" w:color="auto"/>
        <w:right w:val="none" w:sz="0" w:space="0" w:color="auto"/>
      </w:divBdr>
      <w:divsChild>
        <w:div w:id="1652832773">
          <w:marLeft w:val="0"/>
          <w:marRight w:val="0"/>
          <w:marTop w:val="0"/>
          <w:marBottom w:val="0"/>
          <w:divBdr>
            <w:top w:val="none" w:sz="0" w:space="0" w:color="auto"/>
            <w:left w:val="none" w:sz="0" w:space="0" w:color="auto"/>
            <w:bottom w:val="none" w:sz="0" w:space="0" w:color="auto"/>
            <w:right w:val="none" w:sz="0" w:space="0" w:color="auto"/>
          </w:divBdr>
        </w:div>
        <w:div w:id="1981880096">
          <w:marLeft w:val="0"/>
          <w:marRight w:val="0"/>
          <w:marTop w:val="0"/>
          <w:marBottom w:val="0"/>
          <w:divBdr>
            <w:top w:val="none" w:sz="0" w:space="0" w:color="auto"/>
            <w:left w:val="none" w:sz="0" w:space="0" w:color="auto"/>
            <w:bottom w:val="none" w:sz="0" w:space="0" w:color="auto"/>
            <w:right w:val="none" w:sz="0" w:space="0" w:color="auto"/>
          </w:divBdr>
        </w:div>
      </w:divsChild>
    </w:div>
    <w:div w:id="1051661184">
      <w:marLeft w:val="0"/>
      <w:marRight w:val="0"/>
      <w:marTop w:val="0"/>
      <w:marBottom w:val="0"/>
      <w:divBdr>
        <w:top w:val="none" w:sz="0" w:space="0" w:color="auto"/>
        <w:left w:val="none" w:sz="0" w:space="0" w:color="auto"/>
        <w:bottom w:val="none" w:sz="0" w:space="0" w:color="auto"/>
        <w:right w:val="none" w:sz="0" w:space="0" w:color="auto"/>
      </w:divBdr>
    </w:div>
    <w:div w:id="1051811085">
      <w:marLeft w:val="0"/>
      <w:marRight w:val="0"/>
      <w:marTop w:val="120"/>
      <w:marBottom w:val="180"/>
      <w:divBdr>
        <w:top w:val="none" w:sz="0" w:space="0" w:color="auto"/>
        <w:left w:val="none" w:sz="0" w:space="0" w:color="auto"/>
        <w:bottom w:val="none" w:sz="0" w:space="0" w:color="auto"/>
        <w:right w:val="none" w:sz="0" w:space="0" w:color="auto"/>
      </w:divBdr>
    </w:div>
    <w:div w:id="1053886944">
      <w:marLeft w:val="0"/>
      <w:marRight w:val="0"/>
      <w:marTop w:val="0"/>
      <w:marBottom w:val="180"/>
      <w:divBdr>
        <w:top w:val="none" w:sz="0" w:space="0" w:color="auto"/>
        <w:left w:val="none" w:sz="0" w:space="0" w:color="auto"/>
        <w:bottom w:val="none" w:sz="0" w:space="0" w:color="auto"/>
        <w:right w:val="none" w:sz="0" w:space="0" w:color="auto"/>
      </w:divBdr>
    </w:div>
    <w:div w:id="1054355491">
      <w:marLeft w:val="0"/>
      <w:marRight w:val="0"/>
      <w:marTop w:val="0"/>
      <w:marBottom w:val="0"/>
      <w:divBdr>
        <w:top w:val="none" w:sz="0" w:space="0" w:color="auto"/>
        <w:left w:val="none" w:sz="0" w:space="0" w:color="auto"/>
        <w:bottom w:val="none" w:sz="0" w:space="0" w:color="auto"/>
        <w:right w:val="none" w:sz="0" w:space="0" w:color="auto"/>
      </w:divBdr>
      <w:divsChild>
        <w:div w:id="315886554">
          <w:marLeft w:val="0"/>
          <w:marRight w:val="0"/>
          <w:marTop w:val="0"/>
          <w:marBottom w:val="0"/>
          <w:divBdr>
            <w:top w:val="none" w:sz="0" w:space="0" w:color="auto"/>
            <w:left w:val="none" w:sz="0" w:space="0" w:color="auto"/>
            <w:bottom w:val="none" w:sz="0" w:space="0" w:color="auto"/>
            <w:right w:val="none" w:sz="0" w:space="0" w:color="auto"/>
          </w:divBdr>
        </w:div>
      </w:divsChild>
    </w:div>
    <w:div w:id="1056396112">
      <w:marLeft w:val="0"/>
      <w:marRight w:val="0"/>
      <w:marTop w:val="180"/>
      <w:marBottom w:val="180"/>
      <w:divBdr>
        <w:top w:val="none" w:sz="0" w:space="0" w:color="auto"/>
        <w:left w:val="none" w:sz="0" w:space="0" w:color="auto"/>
        <w:bottom w:val="none" w:sz="0" w:space="0" w:color="auto"/>
        <w:right w:val="none" w:sz="0" w:space="0" w:color="auto"/>
      </w:divBdr>
    </w:div>
    <w:div w:id="1057045838">
      <w:marLeft w:val="0"/>
      <w:marRight w:val="0"/>
      <w:marTop w:val="0"/>
      <w:marBottom w:val="240"/>
      <w:divBdr>
        <w:top w:val="none" w:sz="0" w:space="0" w:color="auto"/>
        <w:left w:val="none" w:sz="0" w:space="0" w:color="auto"/>
        <w:bottom w:val="none" w:sz="0" w:space="0" w:color="auto"/>
        <w:right w:val="none" w:sz="0" w:space="0" w:color="auto"/>
      </w:divBdr>
    </w:div>
    <w:div w:id="1057582303">
      <w:marLeft w:val="0"/>
      <w:marRight w:val="0"/>
      <w:marTop w:val="180"/>
      <w:marBottom w:val="180"/>
      <w:divBdr>
        <w:top w:val="none" w:sz="0" w:space="0" w:color="auto"/>
        <w:left w:val="none" w:sz="0" w:space="0" w:color="auto"/>
        <w:bottom w:val="none" w:sz="0" w:space="0" w:color="auto"/>
        <w:right w:val="none" w:sz="0" w:space="0" w:color="auto"/>
      </w:divBdr>
    </w:div>
    <w:div w:id="1060714408">
      <w:marLeft w:val="0"/>
      <w:marRight w:val="0"/>
      <w:marTop w:val="120"/>
      <w:marBottom w:val="120"/>
      <w:divBdr>
        <w:top w:val="none" w:sz="0" w:space="0" w:color="auto"/>
        <w:left w:val="none" w:sz="0" w:space="0" w:color="auto"/>
        <w:bottom w:val="none" w:sz="0" w:space="0" w:color="auto"/>
        <w:right w:val="none" w:sz="0" w:space="0" w:color="auto"/>
      </w:divBdr>
    </w:div>
    <w:div w:id="1064791319">
      <w:marLeft w:val="0"/>
      <w:marRight w:val="0"/>
      <w:marTop w:val="0"/>
      <w:marBottom w:val="240"/>
      <w:divBdr>
        <w:top w:val="none" w:sz="0" w:space="0" w:color="auto"/>
        <w:left w:val="none" w:sz="0" w:space="0" w:color="auto"/>
        <w:bottom w:val="none" w:sz="0" w:space="0" w:color="auto"/>
        <w:right w:val="none" w:sz="0" w:space="0" w:color="auto"/>
      </w:divBdr>
    </w:div>
    <w:div w:id="1066336555">
      <w:marLeft w:val="0"/>
      <w:marRight w:val="0"/>
      <w:marTop w:val="0"/>
      <w:marBottom w:val="0"/>
      <w:divBdr>
        <w:top w:val="none" w:sz="0" w:space="0" w:color="auto"/>
        <w:left w:val="none" w:sz="0" w:space="0" w:color="auto"/>
        <w:bottom w:val="none" w:sz="0" w:space="0" w:color="auto"/>
        <w:right w:val="none" w:sz="0" w:space="0" w:color="auto"/>
      </w:divBdr>
    </w:div>
    <w:div w:id="1067455587">
      <w:marLeft w:val="0"/>
      <w:marRight w:val="0"/>
      <w:marTop w:val="100"/>
      <w:marBottom w:val="140"/>
      <w:divBdr>
        <w:top w:val="none" w:sz="0" w:space="0" w:color="auto"/>
        <w:left w:val="none" w:sz="0" w:space="0" w:color="auto"/>
        <w:bottom w:val="none" w:sz="0" w:space="0" w:color="auto"/>
        <w:right w:val="none" w:sz="0" w:space="0" w:color="auto"/>
      </w:divBdr>
    </w:div>
    <w:div w:id="1068309835">
      <w:marLeft w:val="0"/>
      <w:marRight w:val="0"/>
      <w:marTop w:val="0"/>
      <w:marBottom w:val="0"/>
      <w:divBdr>
        <w:top w:val="none" w:sz="0" w:space="0" w:color="auto"/>
        <w:left w:val="none" w:sz="0" w:space="0" w:color="auto"/>
        <w:bottom w:val="none" w:sz="0" w:space="0" w:color="auto"/>
        <w:right w:val="none" w:sz="0" w:space="0" w:color="auto"/>
      </w:divBdr>
    </w:div>
    <w:div w:id="1069886356">
      <w:marLeft w:val="0"/>
      <w:marRight w:val="0"/>
      <w:marTop w:val="0"/>
      <w:marBottom w:val="180"/>
      <w:divBdr>
        <w:top w:val="none" w:sz="0" w:space="0" w:color="auto"/>
        <w:left w:val="none" w:sz="0" w:space="0" w:color="auto"/>
        <w:bottom w:val="none" w:sz="0" w:space="0" w:color="auto"/>
        <w:right w:val="none" w:sz="0" w:space="0" w:color="auto"/>
      </w:divBdr>
    </w:div>
    <w:div w:id="1070692311">
      <w:marLeft w:val="0"/>
      <w:marRight w:val="0"/>
      <w:marTop w:val="0"/>
      <w:marBottom w:val="0"/>
      <w:divBdr>
        <w:top w:val="none" w:sz="0" w:space="0" w:color="auto"/>
        <w:left w:val="none" w:sz="0" w:space="0" w:color="auto"/>
        <w:bottom w:val="none" w:sz="0" w:space="0" w:color="auto"/>
        <w:right w:val="none" w:sz="0" w:space="0" w:color="auto"/>
      </w:divBdr>
    </w:div>
    <w:div w:id="1071194254">
      <w:marLeft w:val="0"/>
      <w:marRight w:val="0"/>
      <w:marTop w:val="0"/>
      <w:marBottom w:val="180"/>
      <w:divBdr>
        <w:top w:val="none" w:sz="0" w:space="0" w:color="auto"/>
        <w:left w:val="none" w:sz="0" w:space="0" w:color="auto"/>
        <w:bottom w:val="none" w:sz="0" w:space="0" w:color="auto"/>
        <w:right w:val="none" w:sz="0" w:space="0" w:color="auto"/>
      </w:divBdr>
    </w:div>
    <w:div w:id="1072702643">
      <w:marLeft w:val="0"/>
      <w:marRight w:val="0"/>
      <w:marTop w:val="0"/>
      <w:marBottom w:val="240"/>
      <w:divBdr>
        <w:top w:val="none" w:sz="0" w:space="0" w:color="auto"/>
        <w:left w:val="none" w:sz="0" w:space="0" w:color="auto"/>
        <w:bottom w:val="none" w:sz="0" w:space="0" w:color="auto"/>
        <w:right w:val="none" w:sz="0" w:space="0" w:color="auto"/>
      </w:divBdr>
    </w:div>
    <w:div w:id="1073351175">
      <w:marLeft w:val="0"/>
      <w:marRight w:val="0"/>
      <w:marTop w:val="0"/>
      <w:marBottom w:val="240"/>
      <w:divBdr>
        <w:top w:val="none" w:sz="0" w:space="0" w:color="auto"/>
        <w:left w:val="none" w:sz="0" w:space="0" w:color="auto"/>
        <w:bottom w:val="none" w:sz="0" w:space="0" w:color="auto"/>
        <w:right w:val="none" w:sz="0" w:space="0" w:color="auto"/>
      </w:divBdr>
    </w:div>
    <w:div w:id="1074354386">
      <w:marLeft w:val="0"/>
      <w:marRight w:val="0"/>
      <w:marTop w:val="180"/>
      <w:marBottom w:val="180"/>
      <w:divBdr>
        <w:top w:val="none" w:sz="0" w:space="0" w:color="auto"/>
        <w:left w:val="none" w:sz="0" w:space="0" w:color="auto"/>
        <w:bottom w:val="none" w:sz="0" w:space="0" w:color="auto"/>
        <w:right w:val="none" w:sz="0" w:space="0" w:color="auto"/>
      </w:divBdr>
    </w:div>
    <w:div w:id="1074814069">
      <w:marLeft w:val="0"/>
      <w:marRight w:val="0"/>
      <w:marTop w:val="0"/>
      <w:marBottom w:val="180"/>
      <w:divBdr>
        <w:top w:val="none" w:sz="0" w:space="0" w:color="auto"/>
        <w:left w:val="none" w:sz="0" w:space="0" w:color="auto"/>
        <w:bottom w:val="none" w:sz="0" w:space="0" w:color="auto"/>
        <w:right w:val="none" w:sz="0" w:space="0" w:color="auto"/>
      </w:divBdr>
    </w:div>
    <w:div w:id="1075780661">
      <w:marLeft w:val="0"/>
      <w:marRight w:val="0"/>
      <w:marTop w:val="120"/>
      <w:marBottom w:val="120"/>
      <w:divBdr>
        <w:top w:val="none" w:sz="0" w:space="0" w:color="auto"/>
        <w:left w:val="none" w:sz="0" w:space="0" w:color="auto"/>
        <w:bottom w:val="none" w:sz="0" w:space="0" w:color="auto"/>
        <w:right w:val="none" w:sz="0" w:space="0" w:color="auto"/>
      </w:divBdr>
    </w:div>
    <w:div w:id="1076973023">
      <w:marLeft w:val="0"/>
      <w:marRight w:val="0"/>
      <w:marTop w:val="180"/>
      <w:marBottom w:val="180"/>
      <w:divBdr>
        <w:top w:val="none" w:sz="0" w:space="0" w:color="auto"/>
        <w:left w:val="none" w:sz="0" w:space="0" w:color="auto"/>
        <w:bottom w:val="none" w:sz="0" w:space="0" w:color="auto"/>
        <w:right w:val="none" w:sz="0" w:space="0" w:color="auto"/>
      </w:divBdr>
    </w:div>
    <w:div w:id="1078600967">
      <w:marLeft w:val="0"/>
      <w:marRight w:val="0"/>
      <w:marTop w:val="0"/>
      <w:marBottom w:val="0"/>
      <w:divBdr>
        <w:top w:val="none" w:sz="0" w:space="0" w:color="auto"/>
        <w:left w:val="none" w:sz="0" w:space="0" w:color="auto"/>
        <w:bottom w:val="none" w:sz="0" w:space="0" w:color="auto"/>
        <w:right w:val="none" w:sz="0" w:space="0" w:color="auto"/>
      </w:divBdr>
    </w:div>
    <w:div w:id="1079013558">
      <w:marLeft w:val="0"/>
      <w:marRight w:val="0"/>
      <w:marTop w:val="0"/>
      <w:marBottom w:val="180"/>
      <w:divBdr>
        <w:top w:val="none" w:sz="0" w:space="0" w:color="auto"/>
        <w:left w:val="none" w:sz="0" w:space="0" w:color="auto"/>
        <w:bottom w:val="none" w:sz="0" w:space="0" w:color="auto"/>
        <w:right w:val="none" w:sz="0" w:space="0" w:color="auto"/>
      </w:divBdr>
    </w:div>
    <w:div w:id="1079136776">
      <w:marLeft w:val="0"/>
      <w:marRight w:val="0"/>
      <w:marTop w:val="120"/>
      <w:marBottom w:val="240"/>
      <w:divBdr>
        <w:top w:val="none" w:sz="0" w:space="0" w:color="auto"/>
        <w:left w:val="none" w:sz="0" w:space="0" w:color="auto"/>
        <w:bottom w:val="none" w:sz="0" w:space="0" w:color="auto"/>
        <w:right w:val="none" w:sz="0" w:space="0" w:color="auto"/>
      </w:divBdr>
    </w:div>
    <w:div w:id="1081290827">
      <w:marLeft w:val="0"/>
      <w:marRight w:val="0"/>
      <w:marTop w:val="120"/>
      <w:marBottom w:val="180"/>
      <w:divBdr>
        <w:top w:val="none" w:sz="0" w:space="0" w:color="auto"/>
        <w:left w:val="none" w:sz="0" w:space="0" w:color="auto"/>
        <w:bottom w:val="none" w:sz="0" w:space="0" w:color="auto"/>
        <w:right w:val="none" w:sz="0" w:space="0" w:color="auto"/>
      </w:divBdr>
    </w:div>
    <w:div w:id="1083062050">
      <w:marLeft w:val="0"/>
      <w:marRight w:val="0"/>
      <w:marTop w:val="0"/>
      <w:marBottom w:val="180"/>
      <w:divBdr>
        <w:top w:val="none" w:sz="0" w:space="0" w:color="auto"/>
        <w:left w:val="none" w:sz="0" w:space="0" w:color="auto"/>
        <w:bottom w:val="none" w:sz="0" w:space="0" w:color="auto"/>
        <w:right w:val="none" w:sz="0" w:space="0" w:color="auto"/>
      </w:divBdr>
    </w:div>
    <w:div w:id="1083138285">
      <w:marLeft w:val="0"/>
      <w:marRight w:val="0"/>
      <w:marTop w:val="180"/>
      <w:marBottom w:val="180"/>
      <w:divBdr>
        <w:top w:val="none" w:sz="0" w:space="0" w:color="auto"/>
        <w:left w:val="none" w:sz="0" w:space="0" w:color="auto"/>
        <w:bottom w:val="none" w:sz="0" w:space="0" w:color="auto"/>
        <w:right w:val="none" w:sz="0" w:space="0" w:color="auto"/>
      </w:divBdr>
    </w:div>
    <w:div w:id="1085687578">
      <w:marLeft w:val="0"/>
      <w:marRight w:val="0"/>
      <w:marTop w:val="0"/>
      <w:marBottom w:val="0"/>
      <w:divBdr>
        <w:top w:val="none" w:sz="0" w:space="0" w:color="auto"/>
        <w:left w:val="none" w:sz="0" w:space="0" w:color="auto"/>
        <w:bottom w:val="none" w:sz="0" w:space="0" w:color="auto"/>
        <w:right w:val="none" w:sz="0" w:space="0" w:color="auto"/>
      </w:divBdr>
      <w:divsChild>
        <w:div w:id="245766581">
          <w:marLeft w:val="0"/>
          <w:marRight w:val="0"/>
          <w:marTop w:val="0"/>
          <w:marBottom w:val="0"/>
          <w:divBdr>
            <w:top w:val="none" w:sz="0" w:space="0" w:color="auto"/>
            <w:left w:val="none" w:sz="0" w:space="0" w:color="auto"/>
            <w:bottom w:val="none" w:sz="0" w:space="0" w:color="auto"/>
            <w:right w:val="none" w:sz="0" w:space="0" w:color="auto"/>
          </w:divBdr>
        </w:div>
      </w:divsChild>
    </w:div>
    <w:div w:id="1087767091">
      <w:marLeft w:val="0"/>
      <w:marRight w:val="0"/>
      <w:marTop w:val="0"/>
      <w:marBottom w:val="0"/>
      <w:divBdr>
        <w:top w:val="none" w:sz="0" w:space="0" w:color="auto"/>
        <w:left w:val="none" w:sz="0" w:space="0" w:color="auto"/>
        <w:bottom w:val="none" w:sz="0" w:space="0" w:color="auto"/>
        <w:right w:val="none" w:sz="0" w:space="0" w:color="auto"/>
      </w:divBdr>
    </w:div>
    <w:div w:id="1088384544">
      <w:marLeft w:val="0"/>
      <w:marRight w:val="0"/>
      <w:marTop w:val="180"/>
      <w:marBottom w:val="180"/>
      <w:divBdr>
        <w:top w:val="none" w:sz="0" w:space="0" w:color="auto"/>
        <w:left w:val="none" w:sz="0" w:space="0" w:color="auto"/>
        <w:bottom w:val="none" w:sz="0" w:space="0" w:color="auto"/>
        <w:right w:val="none" w:sz="0" w:space="0" w:color="auto"/>
      </w:divBdr>
    </w:div>
    <w:div w:id="1088775100">
      <w:marLeft w:val="0"/>
      <w:marRight w:val="0"/>
      <w:marTop w:val="0"/>
      <w:marBottom w:val="180"/>
      <w:divBdr>
        <w:top w:val="none" w:sz="0" w:space="0" w:color="auto"/>
        <w:left w:val="none" w:sz="0" w:space="0" w:color="auto"/>
        <w:bottom w:val="none" w:sz="0" w:space="0" w:color="auto"/>
        <w:right w:val="none" w:sz="0" w:space="0" w:color="auto"/>
      </w:divBdr>
    </w:div>
    <w:div w:id="1094130904">
      <w:marLeft w:val="0"/>
      <w:marRight w:val="0"/>
      <w:marTop w:val="0"/>
      <w:marBottom w:val="0"/>
      <w:divBdr>
        <w:top w:val="none" w:sz="0" w:space="0" w:color="auto"/>
        <w:left w:val="none" w:sz="0" w:space="0" w:color="auto"/>
        <w:bottom w:val="none" w:sz="0" w:space="0" w:color="auto"/>
        <w:right w:val="none" w:sz="0" w:space="0" w:color="auto"/>
      </w:divBdr>
      <w:divsChild>
        <w:div w:id="1305768162">
          <w:marLeft w:val="0"/>
          <w:marRight w:val="0"/>
          <w:marTop w:val="0"/>
          <w:marBottom w:val="0"/>
          <w:divBdr>
            <w:top w:val="none" w:sz="0" w:space="0" w:color="auto"/>
            <w:left w:val="none" w:sz="0" w:space="0" w:color="auto"/>
            <w:bottom w:val="none" w:sz="0" w:space="0" w:color="auto"/>
            <w:right w:val="none" w:sz="0" w:space="0" w:color="auto"/>
          </w:divBdr>
        </w:div>
      </w:divsChild>
    </w:div>
    <w:div w:id="1097217290">
      <w:marLeft w:val="0"/>
      <w:marRight w:val="0"/>
      <w:marTop w:val="0"/>
      <w:marBottom w:val="180"/>
      <w:divBdr>
        <w:top w:val="none" w:sz="0" w:space="0" w:color="auto"/>
        <w:left w:val="none" w:sz="0" w:space="0" w:color="auto"/>
        <w:bottom w:val="none" w:sz="0" w:space="0" w:color="auto"/>
        <w:right w:val="none" w:sz="0" w:space="0" w:color="auto"/>
      </w:divBdr>
    </w:div>
    <w:div w:id="1099302522">
      <w:marLeft w:val="0"/>
      <w:marRight w:val="0"/>
      <w:marTop w:val="0"/>
      <w:marBottom w:val="180"/>
      <w:divBdr>
        <w:top w:val="none" w:sz="0" w:space="0" w:color="auto"/>
        <w:left w:val="none" w:sz="0" w:space="0" w:color="auto"/>
        <w:bottom w:val="none" w:sz="0" w:space="0" w:color="auto"/>
        <w:right w:val="none" w:sz="0" w:space="0" w:color="auto"/>
      </w:divBdr>
    </w:div>
    <w:div w:id="1099645557">
      <w:marLeft w:val="0"/>
      <w:marRight w:val="0"/>
      <w:marTop w:val="0"/>
      <w:marBottom w:val="180"/>
      <w:divBdr>
        <w:top w:val="none" w:sz="0" w:space="0" w:color="auto"/>
        <w:left w:val="none" w:sz="0" w:space="0" w:color="auto"/>
        <w:bottom w:val="none" w:sz="0" w:space="0" w:color="auto"/>
        <w:right w:val="none" w:sz="0" w:space="0" w:color="auto"/>
      </w:divBdr>
    </w:div>
    <w:div w:id="1100762308">
      <w:marLeft w:val="0"/>
      <w:marRight w:val="0"/>
      <w:marTop w:val="0"/>
      <w:marBottom w:val="240"/>
      <w:divBdr>
        <w:top w:val="none" w:sz="0" w:space="0" w:color="auto"/>
        <w:left w:val="none" w:sz="0" w:space="0" w:color="auto"/>
        <w:bottom w:val="none" w:sz="0" w:space="0" w:color="auto"/>
        <w:right w:val="none" w:sz="0" w:space="0" w:color="auto"/>
      </w:divBdr>
    </w:div>
    <w:div w:id="1102070789">
      <w:marLeft w:val="0"/>
      <w:marRight w:val="0"/>
      <w:marTop w:val="0"/>
      <w:marBottom w:val="180"/>
      <w:divBdr>
        <w:top w:val="none" w:sz="0" w:space="0" w:color="auto"/>
        <w:left w:val="none" w:sz="0" w:space="0" w:color="auto"/>
        <w:bottom w:val="none" w:sz="0" w:space="0" w:color="auto"/>
        <w:right w:val="none" w:sz="0" w:space="0" w:color="auto"/>
      </w:divBdr>
    </w:div>
    <w:div w:id="1102072042">
      <w:marLeft w:val="0"/>
      <w:marRight w:val="0"/>
      <w:marTop w:val="0"/>
      <w:marBottom w:val="180"/>
      <w:divBdr>
        <w:top w:val="none" w:sz="0" w:space="0" w:color="auto"/>
        <w:left w:val="none" w:sz="0" w:space="0" w:color="auto"/>
        <w:bottom w:val="none" w:sz="0" w:space="0" w:color="auto"/>
        <w:right w:val="none" w:sz="0" w:space="0" w:color="auto"/>
      </w:divBdr>
    </w:div>
    <w:div w:id="1103300511">
      <w:marLeft w:val="0"/>
      <w:marRight w:val="0"/>
      <w:marTop w:val="0"/>
      <w:marBottom w:val="0"/>
      <w:divBdr>
        <w:top w:val="none" w:sz="0" w:space="0" w:color="auto"/>
        <w:left w:val="none" w:sz="0" w:space="0" w:color="auto"/>
        <w:bottom w:val="none" w:sz="0" w:space="0" w:color="auto"/>
        <w:right w:val="none" w:sz="0" w:space="0" w:color="auto"/>
      </w:divBdr>
      <w:divsChild>
        <w:div w:id="435099801">
          <w:marLeft w:val="0"/>
          <w:marRight w:val="0"/>
          <w:marTop w:val="0"/>
          <w:marBottom w:val="0"/>
          <w:divBdr>
            <w:top w:val="none" w:sz="0" w:space="0" w:color="auto"/>
            <w:left w:val="none" w:sz="0" w:space="0" w:color="auto"/>
            <w:bottom w:val="none" w:sz="0" w:space="0" w:color="auto"/>
            <w:right w:val="none" w:sz="0" w:space="0" w:color="auto"/>
          </w:divBdr>
        </w:div>
      </w:divsChild>
    </w:div>
    <w:div w:id="1103841693">
      <w:marLeft w:val="0"/>
      <w:marRight w:val="0"/>
      <w:marTop w:val="0"/>
      <w:marBottom w:val="0"/>
      <w:divBdr>
        <w:top w:val="none" w:sz="0" w:space="0" w:color="auto"/>
        <w:left w:val="none" w:sz="0" w:space="0" w:color="auto"/>
        <w:bottom w:val="none" w:sz="0" w:space="0" w:color="auto"/>
        <w:right w:val="none" w:sz="0" w:space="0" w:color="auto"/>
      </w:divBdr>
      <w:divsChild>
        <w:div w:id="287124848">
          <w:marLeft w:val="0"/>
          <w:marRight w:val="0"/>
          <w:marTop w:val="0"/>
          <w:marBottom w:val="0"/>
          <w:divBdr>
            <w:top w:val="none" w:sz="0" w:space="0" w:color="auto"/>
            <w:left w:val="none" w:sz="0" w:space="0" w:color="auto"/>
            <w:bottom w:val="none" w:sz="0" w:space="0" w:color="auto"/>
            <w:right w:val="none" w:sz="0" w:space="0" w:color="auto"/>
          </w:divBdr>
        </w:div>
      </w:divsChild>
    </w:div>
    <w:div w:id="1105231137">
      <w:marLeft w:val="0"/>
      <w:marRight w:val="0"/>
      <w:marTop w:val="0"/>
      <w:marBottom w:val="0"/>
      <w:divBdr>
        <w:top w:val="none" w:sz="0" w:space="0" w:color="auto"/>
        <w:left w:val="none" w:sz="0" w:space="0" w:color="auto"/>
        <w:bottom w:val="none" w:sz="0" w:space="0" w:color="auto"/>
        <w:right w:val="none" w:sz="0" w:space="0" w:color="auto"/>
      </w:divBdr>
    </w:div>
    <w:div w:id="1105537698">
      <w:marLeft w:val="0"/>
      <w:marRight w:val="0"/>
      <w:marTop w:val="120"/>
      <w:marBottom w:val="120"/>
      <w:divBdr>
        <w:top w:val="none" w:sz="0" w:space="0" w:color="auto"/>
        <w:left w:val="none" w:sz="0" w:space="0" w:color="auto"/>
        <w:bottom w:val="none" w:sz="0" w:space="0" w:color="auto"/>
        <w:right w:val="none" w:sz="0" w:space="0" w:color="auto"/>
      </w:divBdr>
    </w:div>
    <w:div w:id="1105661569">
      <w:marLeft w:val="0"/>
      <w:marRight w:val="0"/>
      <w:marTop w:val="100"/>
      <w:marBottom w:val="100"/>
      <w:divBdr>
        <w:top w:val="none" w:sz="0" w:space="0" w:color="auto"/>
        <w:left w:val="none" w:sz="0" w:space="0" w:color="auto"/>
        <w:bottom w:val="none" w:sz="0" w:space="0" w:color="auto"/>
        <w:right w:val="none" w:sz="0" w:space="0" w:color="auto"/>
      </w:divBdr>
      <w:divsChild>
        <w:div w:id="1553422254">
          <w:marLeft w:val="0"/>
          <w:marRight w:val="0"/>
          <w:marTop w:val="0"/>
          <w:marBottom w:val="0"/>
          <w:divBdr>
            <w:top w:val="none" w:sz="0" w:space="0" w:color="auto"/>
            <w:left w:val="none" w:sz="0" w:space="0" w:color="auto"/>
            <w:bottom w:val="none" w:sz="0" w:space="0" w:color="auto"/>
            <w:right w:val="none" w:sz="0" w:space="0" w:color="auto"/>
          </w:divBdr>
        </w:div>
        <w:div w:id="1509061829">
          <w:marLeft w:val="0"/>
          <w:marRight w:val="0"/>
          <w:marTop w:val="0"/>
          <w:marBottom w:val="0"/>
          <w:divBdr>
            <w:top w:val="none" w:sz="0" w:space="0" w:color="auto"/>
            <w:left w:val="none" w:sz="0" w:space="0" w:color="auto"/>
            <w:bottom w:val="none" w:sz="0" w:space="0" w:color="auto"/>
            <w:right w:val="none" w:sz="0" w:space="0" w:color="auto"/>
          </w:divBdr>
        </w:div>
      </w:divsChild>
    </w:div>
    <w:div w:id="1107653140">
      <w:marLeft w:val="0"/>
      <w:marRight w:val="0"/>
      <w:marTop w:val="0"/>
      <w:marBottom w:val="0"/>
      <w:divBdr>
        <w:top w:val="none" w:sz="0" w:space="0" w:color="auto"/>
        <w:left w:val="none" w:sz="0" w:space="0" w:color="auto"/>
        <w:bottom w:val="none" w:sz="0" w:space="0" w:color="auto"/>
        <w:right w:val="none" w:sz="0" w:space="0" w:color="auto"/>
      </w:divBdr>
      <w:divsChild>
        <w:div w:id="926496156">
          <w:marLeft w:val="0"/>
          <w:marRight w:val="0"/>
          <w:marTop w:val="0"/>
          <w:marBottom w:val="0"/>
          <w:divBdr>
            <w:top w:val="none" w:sz="0" w:space="0" w:color="auto"/>
            <w:left w:val="none" w:sz="0" w:space="0" w:color="auto"/>
            <w:bottom w:val="none" w:sz="0" w:space="0" w:color="auto"/>
            <w:right w:val="none" w:sz="0" w:space="0" w:color="auto"/>
          </w:divBdr>
        </w:div>
      </w:divsChild>
    </w:div>
    <w:div w:id="1110003873">
      <w:marLeft w:val="0"/>
      <w:marRight w:val="0"/>
      <w:marTop w:val="0"/>
      <w:marBottom w:val="0"/>
      <w:divBdr>
        <w:top w:val="none" w:sz="0" w:space="0" w:color="auto"/>
        <w:left w:val="none" w:sz="0" w:space="0" w:color="auto"/>
        <w:bottom w:val="none" w:sz="0" w:space="0" w:color="auto"/>
        <w:right w:val="none" w:sz="0" w:space="0" w:color="auto"/>
      </w:divBdr>
    </w:div>
    <w:div w:id="1110121178">
      <w:marLeft w:val="0"/>
      <w:marRight w:val="0"/>
      <w:marTop w:val="0"/>
      <w:marBottom w:val="0"/>
      <w:divBdr>
        <w:top w:val="none" w:sz="0" w:space="0" w:color="auto"/>
        <w:left w:val="none" w:sz="0" w:space="0" w:color="auto"/>
        <w:bottom w:val="none" w:sz="0" w:space="0" w:color="auto"/>
        <w:right w:val="none" w:sz="0" w:space="0" w:color="auto"/>
      </w:divBdr>
    </w:div>
    <w:div w:id="1110663763">
      <w:marLeft w:val="0"/>
      <w:marRight w:val="0"/>
      <w:marTop w:val="0"/>
      <w:marBottom w:val="240"/>
      <w:divBdr>
        <w:top w:val="none" w:sz="0" w:space="0" w:color="auto"/>
        <w:left w:val="none" w:sz="0" w:space="0" w:color="auto"/>
        <w:bottom w:val="none" w:sz="0" w:space="0" w:color="auto"/>
        <w:right w:val="none" w:sz="0" w:space="0" w:color="auto"/>
      </w:divBdr>
    </w:div>
    <w:div w:id="1110902811">
      <w:marLeft w:val="0"/>
      <w:marRight w:val="0"/>
      <w:marTop w:val="0"/>
      <w:marBottom w:val="180"/>
      <w:divBdr>
        <w:top w:val="none" w:sz="0" w:space="0" w:color="auto"/>
        <w:left w:val="none" w:sz="0" w:space="0" w:color="auto"/>
        <w:bottom w:val="none" w:sz="0" w:space="0" w:color="auto"/>
        <w:right w:val="none" w:sz="0" w:space="0" w:color="auto"/>
      </w:divBdr>
    </w:div>
    <w:div w:id="1112170867">
      <w:marLeft w:val="0"/>
      <w:marRight w:val="0"/>
      <w:marTop w:val="0"/>
      <w:marBottom w:val="240"/>
      <w:divBdr>
        <w:top w:val="none" w:sz="0" w:space="0" w:color="auto"/>
        <w:left w:val="none" w:sz="0" w:space="0" w:color="auto"/>
        <w:bottom w:val="none" w:sz="0" w:space="0" w:color="auto"/>
        <w:right w:val="none" w:sz="0" w:space="0" w:color="auto"/>
      </w:divBdr>
    </w:div>
    <w:div w:id="1113016888">
      <w:marLeft w:val="0"/>
      <w:marRight w:val="0"/>
      <w:marTop w:val="120"/>
      <w:marBottom w:val="120"/>
      <w:divBdr>
        <w:top w:val="none" w:sz="0" w:space="0" w:color="auto"/>
        <w:left w:val="none" w:sz="0" w:space="0" w:color="auto"/>
        <w:bottom w:val="none" w:sz="0" w:space="0" w:color="auto"/>
        <w:right w:val="none" w:sz="0" w:space="0" w:color="auto"/>
      </w:divBdr>
    </w:div>
    <w:div w:id="1113331886">
      <w:marLeft w:val="0"/>
      <w:marRight w:val="0"/>
      <w:marTop w:val="0"/>
      <w:marBottom w:val="0"/>
      <w:divBdr>
        <w:top w:val="none" w:sz="0" w:space="0" w:color="auto"/>
        <w:left w:val="none" w:sz="0" w:space="0" w:color="auto"/>
        <w:bottom w:val="none" w:sz="0" w:space="0" w:color="auto"/>
        <w:right w:val="none" w:sz="0" w:space="0" w:color="auto"/>
      </w:divBdr>
    </w:div>
    <w:div w:id="1113670244">
      <w:marLeft w:val="0"/>
      <w:marRight w:val="0"/>
      <w:marTop w:val="0"/>
      <w:marBottom w:val="0"/>
      <w:divBdr>
        <w:top w:val="none" w:sz="0" w:space="0" w:color="auto"/>
        <w:left w:val="none" w:sz="0" w:space="0" w:color="auto"/>
        <w:bottom w:val="none" w:sz="0" w:space="0" w:color="auto"/>
        <w:right w:val="none" w:sz="0" w:space="0" w:color="auto"/>
      </w:divBdr>
    </w:div>
    <w:div w:id="1114137211">
      <w:marLeft w:val="0"/>
      <w:marRight w:val="0"/>
      <w:marTop w:val="0"/>
      <w:marBottom w:val="0"/>
      <w:divBdr>
        <w:top w:val="none" w:sz="0" w:space="0" w:color="auto"/>
        <w:left w:val="none" w:sz="0" w:space="0" w:color="auto"/>
        <w:bottom w:val="none" w:sz="0" w:space="0" w:color="auto"/>
        <w:right w:val="none" w:sz="0" w:space="0" w:color="auto"/>
      </w:divBdr>
      <w:divsChild>
        <w:div w:id="942957420">
          <w:marLeft w:val="0"/>
          <w:marRight w:val="0"/>
          <w:marTop w:val="0"/>
          <w:marBottom w:val="0"/>
          <w:divBdr>
            <w:top w:val="none" w:sz="0" w:space="0" w:color="auto"/>
            <w:left w:val="none" w:sz="0" w:space="0" w:color="auto"/>
            <w:bottom w:val="none" w:sz="0" w:space="0" w:color="auto"/>
            <w:right w:val="none" w:sz="0" w:space="0" w:color="auto"/>
          </w:divBdr>
        </w:div>
        <w:div w:id="989092201">
          <w:marLeft w:val="0"/>
          <w:marRight w:val="0"/>
          <w:marTop w:val="0"/>
          <w:marBottom w:val="0"/>
          <w:divBdr>
            <w:top w:val="none" w:sz="0" w:space="0" w:color="auto"/>
            <w:left w:val="none" w:sz="0" w:space="0" w:color="auto"/>
            <w:bottom w:val="none" w:sz="0" w:space="0" w:color="auto"/>
            <w:right w:val="none" w:sz="0" w:space="0" w:color="auto"/>
          </w:divBdr>
        </w:div>
      </w:divsChild>
    </w:div>
    <w:div w:id="1115053110">
      <w:marLeft w:val="0"/>
      <w:marRight w:val="0"/>
      <w:marTop w:val="0"/>
      <w:marBottom w:val="0"/>
      <w:divBdr>
        <w:top w:val="none" w:sz="0" w:space="0" w:color="auto"/>
        <w:left w:val="none" w:sz="0" w:space="0" w:color="auto"/>
        <w:bottom w:val="none" w:sz="0" w:space="0" w:color="auto"/>
        <w:right w:val="none" w:sz="0" w:space="0" w:color="auto"/>
      </w:divBdr>
      <w:divsChild>
        <w:div w:id="1499467111">
          <w:marLeft w:val="0"/>
          <w:marRight w:val="0"/>
          <w:marTop w:val="0"/>
          <w:marBottom w:val="0"/>
          <w:divBdr>
            <w:top w:val="none" w:sz="0" w:space="0" w:color="auto"/>
            <w:left w:val="none" w:sz="0" w:space="0" w:color="auto"/>
            <w:bottom w:val="none" w:sz="0" w:space="0" w:color="auto"/>
            <w:right w:val="none" w:sz="0" w:space="0" w:color="auto"/>
          </w:divBdr>
        </w:div>
      </w:divsChild>
    </w:div>
    <w:div w:id="1115782700">
      <w:marLeft w:val="0"/>
      <w:marRight w:val="0"/>
      <w:marTop w:val="0"/>
      <w:marBottom w:val="240"/>
      <w:divBdr>
        <w:top w:val="none" w:sz="0" w:space="0" w:color="auto"/>
        <w:left w:val="none" w:sz="0" w:space="0" w:color="auto"/>
        <w:bottom w:val="none" w:sz="0" w:space="0" w:color="auto"/>
        <w:right w:val="none" w:sz="0" w:space="0" w:color="auto"/>
      </w:divBdr>
    </w:div>
    <w:div w:id="1117483330">
      <w:marLeft w:val="0"/>
      <w:marRight w:val="0"/>
      <w:marTop w:val="100"/>
      <w:marBottom w:val="0"/>
      <w:divBdr>
        <w:top w:val="none" w:sz="0" w:space="0" w:color="auto"/>
        <w:left w:val="none" w:sz="0" w:space="0" w:color="auto"/>
        <w:bottom w:val="none" w:sz="0" w:space="0" w:color="auto"/>
        <w:right w:val="none" w:sz="0" w:space="0" w:color="auto"/>
      </w:divBdr>
      <w:divsChild>
        <w:div w:id="357896209">
          <w:marLeft w:val="0"/>
          <w:marRight w:val="0"/>
          <w:marTop w:val="0"/>
          <w:marBottom w:val="0"/>
          <w:divBdr>
            <w:top w:val="none" w:sz="0" w:space="0" w:color="auto"/>
            <w:left w:val="none" w:sz="0" w:space="0" w:color="auto"/>
            <w:bottom w:val="none" w:sz="0" w:space="0" w:color="auto"/>
            <w:right w:val="none" w:sz="0" w:space="0" w:color="auto"/>
          </w:divBdr>
        </w:div>
        <w:div w:id="1997147234">
          <w:marLeft w:val="0"/>
          <w:marRight w:val="0"/>
          <w:marTop w:val="0"/>
          <w:marBottom w:val="0"/>
          <w:divBdr>
            <w:top w:val="none" w:sz="0" w:space="0" w:color="auto"/>
            <w:left w:val="none" w:sz="0" w:space="0" w:color="auto"/>
            <w:bottom w:val="none" w:sz="0" w:space="0" w:color="auto"/>
            <w:right w:val="none" w:sz="0" w:space="0" w:color="auto"/>
          </w:divBdr>
        </w:div>
      </w:divsChild>
    </w:div>
    <w:div w:id="1119108007">
      <w:marLeft w:val="0"/>
      <w:marRight w:val="0"/>
      <w:marTop w:val="0"/>
      <w:marBottom w:val="240"/>
      <w:divBdr>
        <w:top w:val="none" w:sz="0" w:space="0" w:color="auto"/>
        <w:left w:val="none" w:sz="0" w:space="0" w:color="auto"/>
        <w:bottom w:val="none" w:sz="0" w:space="0" w:color="auto"/>
        <w:right w:val="none" w:sz="0" w:space="0" w:color="auto"/>
      </w:divBdr>
    </w:div>
    <w:div w:id="1120221689">
      <w:marLeft w:val="0"/>
      <w:marRight w:val="0"/>
      <w:marTop w:val="180"/>
      <w:marBottom w:val="180"/>
      <w:divBdr>
        <w:top w:val="none" w:sz="0" w:space="0" w:color="auto"/>
        <w:left w:val="none" w:sz="0" w:space="0" w:color="auto"/>
        <w:bottom w:val="none" w:sz="0" w:space="0" w:color="auto"/>
        <w:right w:val="none" w:sz="0" w:space="0" w:color="auto"/>
      </w:divBdr>
    </w:div>
    <w:div w:id="1121386906">
      <w:marLeft w:val="0"/>
      <w:marRight w:val="0"/>
      <w:marTop w:val="0"/>
      <w:marBottom w:val="0"/>
      <w:divBdr>
        <w:top w:val="none" w:sz="0" w:space="0" w:color="auto"/>
        <w:left w:val="none" w:sz="0" w:space="0" w:color="auto"/>
        <w:bottom w:val="none" w:sz="0" w:space="0" w:color="auto"/>
        <w:right w:val="none" w:sz="0" w:space="0" w:color="auto"/>
      </w:divBdr>
      <w:divsChild>
        <w:div w:id="1976790712">
          <w:marLeft w:val="0"/>
          <w:marRight w:val="0"/>
          <w:marTop w:val="0"/>
          <w:marBottom w:val="0"/>
          <w:divBdr>
            <w:top w:val="none" w:sz="0" w:space="0" w:color="auto"/>
            <w:left w:val="none" w:sz="0" w:space="0" w:color="auto"/>
            <w:bottom w:val="none" w:sz="0" w:space="0" w:color="auto"/>
            <w:right w:val="none" w:sz="0" w:space="0" w:color="auto"/>
          </w:divBdr>
        </w:div>
      </w:divsChild>
    </w:div>
    <w:div w:id="1127241316">
      <w:marLeft w:val="0"/>
      <w:marRight w:val="0"/>
      <w:marTop w:val="0"/>
      <w:marBottom w:val="0"/>
      <w:divBdr>
        <w:top w:val="none" w:sz="0" w:space="0" w:color="auto"/>
        <w:left w:val="none" w:sz="0" w:space="0" w:color="auto"/>
        <w:bottom w:val="none" w:sz="0" w:space="0" w:color="auto"/>
        <w:right w:val="none" w:sz="0" w:space="0" w:color="auto"/>
      </w:divBdr>
      <w:divsChild>
        <w:div w:id="1643922375">
          <w:marLeft w:val="0"/>
          <w:marRight w:val="0"/>
          <w:marTop w:val="0"/>
          <w:marBottom w:val="0"/>
          <w:divBdr>
            <w:top w:val="none" w:sz="0" w:space="0" w:color="auto"/>
            <w:left w:val="none" w:sz="0" w:space="0" w:color="auto"/>
            <w:bottom w:val="none" w:sz="0" w:space="0" w:color="auto"/>
            <w:right w:val="none" w:sz="0" w:space="0" w:color="auto"/>
          </w:divBdr>
        </w:div>
      </w:divsChild>
    </w:div>
    <w:div w:id="1127702192">
      <w:marLeft w:val="0"/>
      <w:marRight w:val="0"/>
      <w:marTop w:val="0"/>
      <w:marBottom w:val="240"/>
      <w:divBdr>
        <w:top w:val="none" w:sz="0" w:space="0" w:color="auto"/>
        <w:left w:val="none" w:sz="0" w:space="0" w:color="auto"/>
        <w:bottom w:val="none" w:sz="0" w:space="0" w:color="auto"/>
        <w:right w:val="none" w:sz="0" w:space="0" w:color="auto"/>
      </w:divBdr>
    </w:div>
    <w:div w:id="1131047149">
      <w:marLeft w:val="0"/>
      <w:marRight w:val="0"/>
      <w:marTop w:val="200"/>
      <w:marBottom w:val="240"/>
      <w:divBdr>
        <w:top w:val="none" w:sz="0" w:space="0" w:color="auto"/>
        <w:left w:val="none" w:sz="0" w:space="0" w:color="auto"/>
        <w:bottom w:val="none" w:sz="0" w:space="0" w:color="auto"/>
        <w:right w:val="none" w:sz="0" w:space="0" w:color="auto"/>
      </w:divBdr>
    </w:div>
    <w:div w:id="1132139915">
      <w:marLeft w:val="0"/>
      <w:marRight w:val="0"/>
      <w:marTop w:val="0"/>
      <w:marBottom w:val="180"/>
      <w:divBdr>
        <w:top w:val="none" w:sz="0" w:space="0" w:color="auto"/>
        <w:left w:val="none" w:sz="0" w:space="0" w:color="auto"/>
        <w:bottom w:val="none" w:sz="0" w:space="0" w:color="auto"/>
        <w:right w:val="none" w:sz="0" w:space="0" w:color="auto"/>
      </w:divBdr>
    </w:div>
    <w:div w:id="1134832221">
      <w:marLeft w:val="0"/>
      <w:marRight w:val="0"/>
      <w:marTop w:val="120"/>
      <w:marBottom w:val="120"/>
      <w:divBdr>
        <w:top w:val="none" w:sz="0" w:space="0" w:color="auto"/>
        <w:left w:val="none" w:sz="0" w:space="0" w:color="auto"/>
        <w:bottom w:val="none" w:sz="0" w:space="0" w:color="auto"/>
        <w:right w:val="none" w:sz="0" w:space="0" w:color="auto"/>
      </w:divBdr>
    </w:div>
    <w:div w:id="1136530173">
      <w:marLeft w:val="0"/>
      <w:marRight w:val="0"/>
      <w:marTop w:val="180"/>
      <w:marBottom w:val="180"/>
      <w:divBdr>
        <w:top w:val="none" w:sz="0" w:space="0" w:color="auto"/>
        <w:left w:val="none" w:sz="0" w:space="0" w:color="auto"/>
        <w:bottom w:val="none" w:sz="0" w:space="0" w:color="auto"/>
        <w:right w:val="none" w:sz="0" w:space="0" w:color="auto"/>
      </w:divBdr>
    </w:div>
    <w:div w:id="1137381925">
      <w:marLeft w:val="0"/>
      <w:marRight w:val="0"/>
      <w:marTop w:val="0"/>
      <w:marBottom w:val="180"/>
      <w:divBdr>
        <w:top w:val="none" w:sz="0" w:space="0" w:color="auto"/>
        <w:left w:val="none" w:sz="0" w:space="0" w:color="auto"/>
        <w:bottom w:val="none" w:sz="0" w:space="0" w:color="auto"/>
        <w:right w:val="none" w:sz="0" w:space="0" w:color="auto"/>
      </w:divBdr>
    </w:div>
    <w:div w:id="1139029126">
      <w:marLeft w:val="0"/>
      <w:marRight w:val="0"/>
      <w:marTop w:val="0"/>
      <w:marBottom w:val="0"/>
      <w:divBdr>
        <w:top w:val="none" w:sz="0" w:space="0" w:color="auto"/>
        <w:left w:val="none" w:sz="0" w:space="0" w:color="auto"/>
        <w:bottom w:val="none" w:sz="0" w:space="0" w:color="auto"/>
        <w:right w:val="none" w:sz="0" w:space="0" w:color="auto"/>
      </w:divBdr>
    </w:div>
    <w:div w:id="1141388205">
      <w:marLeft w:val="0"/>
      <w:marRight w:val="0"/>
      <w:marTop w:val="100"/>
      <w:marBottom w:val="240"/>
      <w:divBdr>
        <w:top w:val="none" w:sz="0" w:space="0" w:color="auto"/>
        <w:left w:val="none" w:sz="0" w:space="0" w:color="auto"/>
        <w:bottom w:val="none" w:sz="0" w:space="0" w:color="auto"/>
        <w:right w:val="none" w:sz="0" w:space="0" w:color="auto"/>
      </w:divBdr>
    </w:div>
    <w:div w:id="1143428230">
      <w:marLeft w:val="0"/>
      <w:marRight w:val="0"/>
      <w:marTop w:val="0"/>
      <w:marBottom w:val="0"/>
      <w:divBdr>
        <w:top w:val="none" w:sz="0" w:space="0" w:color="auto"/>
        <w:left w:val="none" w:sz="0" w:space="0" w:color="auto"/>
        <w:bottom w:val="none" w:sz="0" w:space="0" w:color="auto"/>
        <w:right w:val="none" w:sz="0" w:space="0" w:color="auto"/>
      </w:divBdr>
      <w:divsChild>
        <w:div w:id="1684627037">
          <w:marLeft w:val="0"/>
          <w:marRight w:val="0"/>
          <w:marTop w:val="0"/>
          <w:marBottom w:val="0"/>
          <w:divBdr>
            <w:top w:val="none" w:sz="0" w:space="0" w:color="auto"/>
            <w:left w:val="none" w:sz="0" w:space="0" w:color="auto"/>
            <w:bottom w:val="none" w:sz="0" w:space="0" w:color="auto"/>
            <w:right w:val="none" w:sz="0" w:space="0" w:color="auto"/>
          </w:divBdr>
        </w:div>
      </w:divsChild>
    </w:div>
    <w:div w:id="1144011271">
      <w:marLeft w:val="0"/>
      <w:marRight w:val="0"/>
      <w:marTop w:val="0"/>
      <w:marBottom w:val="240"/>
      <w:divBdr>
        <w:top w:val="none" w:sz="0" w:space="0" w:color="auto"/>
        <w:left w:val="none" w:sz="0" w:space="0" w:color="auto"/>
        <w:bottom w:val="none" w:sz="0" w:space="0" w:color="auto"/>
        <w:right w:val="none" w:sz="0" w:space="0" w:color="auto"/>
      </w:divBdr>
    </w:div>
    <w:div w:id="1144859060">
      <w:marLeft w:val="0"/>
      <w:marRight w:val="0"/>
      <w:marTop w:val="0"/>
      <w:marBottom w:val="0"/>
      <w:divBdr>
        <w:top w:val="none" w:sz="0" w:space="0" w:color="auto"/>
        <w:left w:val="none" w:sz="0" w:space="0" w:color="auto"/>
        <w:bottom w:val="none" w:sz="0" w:space="0" w:color="auto"/>
        <w:right w:val="none" w:sz="0" w:space="0" w:color="auto"/>
      </w:divBdr>
      <w:divsChild>
        <w:div w:id="960066940">
          <w:marLeft w:val="0"/>
          <w:marRight w:val="0"/>
          <w:marTop w:val="0"/>
          <w:marBottom w:val="0"/>
          <w:divBdr>
            <w:top w:val="none" w:sz="0" w:space="0" w:color="auto"/>
            <w:left w:val="none" w:sz="0" w:space="0" w:color="auto"/>
            <w:bottom w:val="none" w:sz="0" w:space="0" w:color="auto"/>
            <w:right w:val="none" w:sz="0" w:space="0" w:color="auto"/>
          </w:divBdr>
        </w:div>
        <w:div w:id="1320618360">
          <w:marLeft w:val="0"/>
          <w:marRight w:val="0"/>
          <w:marTop w:val="0"/>
          <w:marBottom w:val="0"/>
          <w:divBdr>
            <w:top w:val="none" w:sz="0" w:space="0" w:color="auto"/>
            <w:left w:val="none" w:sz="0" w:space="0" w:color="auto"/>
            <w:bottom w:val="none" w:sz="0" w:space="0" w:color="auto"/>
            <w:right w:val="none" w:sz="0" w:space="0" w:color="auto"/>
          </w:divBdr>
        </w:div>
      </w:divsChild>
    </w:div>
    <w:div w:id="1146245814">
      <w:marLeft w:val="0"/>
      <w:marRight w:val="0"/>
      <w:marTop w:val="180"/>
      <w:marBottom w:val="180"/>
      <w:divBdr>
        <w:top w:val="none" w:sz="0" w:space="0" w:color="auto"/>
        <w:left w:val="none" w:sz="0" w:space="0" w:color="auto"/>
        <w:bottom w:val="none" w:sz="0" w:space="0" w:color="auto"/>
        <w:right w:val="none" w:sz="0" w:space="0" w:color="auto"/>
      </w:divBdr>
    </w:div>
    <w:div w:id="1153135268">
      <w:marLeft w:val="0"/>
      <w:marRight w:val="0"/>
      <w:marTop w:val="240"/>
      <w:marBottom w:val="240"/>
      <w:divBdr>
        <w:top w:val="none" w:sz="0" w:space="0" w:color="auto"/>
        <w:left w:val="none" w:sz="0" w:space="0" w:color="auto"/>
        <w:bottom w:val="none" w:sz="0" w:space="0" w:color="auto"/>
        <w:right w:val="none" w:sz="0" w:space="0" w:color="auto"/>
      </w:divBdr>
    </w:div>
    <w:div w:id="1154033058">
      <w:marLeft w:val="0"/>
      <w:marRight w:val="0"/>
      <w:marTop w:val="0"/>
      <w:marBottom w:val="240"/>
      <w:divBdr>
        <w:top w:val="none" w:sz="0" w:space="0" w:color="auto"/>
        <w:left w:val="none" w:sz="0" w:space="0" w:color="auto"/>
        <w:bottom w:val="none" w:sz="0" w:space="0" w:color="auto"/>
        <w:right w:val="none" w:sz="0" w:space="0" w:color="auto"/>
      </w:divBdr>
    </w:div>
    <w:div w:id="1155292121">
      <w:marLeft w:val="0"/>
      <w:marRight w:val="0"/>
      <w:marTop w:val="0"/>
      <w:marBottom w:val="0"/>
      <w:divBdr>
        <w:top w:val="none" w:sz="0" w:space="0" w:color="auto"/>
        <w:left w:val="none" w:sz="0" w:space="0" w:color="auto"/>
        <w:bottom w:val="none" w:sz="0" w:space="0" w:color="auto"/>
        <w:right w:val="none" w:sz="0" w:space="0" w:color="auto"/>
      </w:divBdr>
    </w:div>
    <w:div w:id="1156065718">
      <w:marLeft w:val="0"/>
      <w:marRight w:val="0"/>
      <w:marTop w:val="0"/>
      <w:marBottom w:val="240"/>
      <w:divBdr>
        <w:top w:val="none" w:sz="0" w:space="0" w:color="auto"/>
        <w:left w:val="none" w:sz="0" w:space="0" w:color="auto"/>
        <w:bottom w:val="none" w:sz="0" w:space="0" w:color="auto"/>
        <w:right w:val="none" w:sz="0" w:space="0" w:color="auto"/>
      </w:divBdr>
    </w:div>
    <w:div w:id="1156413367">
      <w:marLeft w:val="0"/>
      <w:marRight w:val="0"/>
      <w:marTop w:val="100"/>
      <w:marBottom w:val="120"/>
      <w:divBdr>
        <w:top w:val="none" w:sz="0" w:space="0" w:color="auto"/>
        <w:left w:val="none" w:sz="0" w:space="0" w:color="auto"/>
        <w:bottom w:val="none" w:sz="0" w:space="0" w:color="auto"/>
        <w:right w:val="none" w:sz="0" w:space="0" w:color="auto"/>
      </w:divBdr>
    </w:div>
    <w:div w:id="1157385025">
      <w:marLeft w:val="0"/>
      <w:marRight w:val="0"/>
      <w:marTop w:val="0"/>
      <w:marBottom w:val="0"/>
      <w:divBdr>
        <w:top w:val="none" w:sz="0" w:space="0" w:color="auto"/>
        <w:left w:val="none" w:sz="0" w:space="0" w:color="auto"/>
        <w:bottom w:val="none" w:sz="0" w:space="0" w:color="auto"/>
        <w:right w:val="none" w:sz="0" w:space="0" w:color="auto"/>
      </w:divBdr>
    </w:div>
    <w:div w:id="1157652364">
      <w:marLeft w:val="0"/>
      <w:marRight w:val="0"/>
      <w:marTop w:val="120"/>
      <w:marBottom w:val="120"/>
      <w:divBdr>
        <w:top w:val="none" w:sz="0" w:space="0" w:color="auto"/>
        <w:left w:val="none" w:sz="0" w:space="0" w:color="auto"/>
        <w:bottom w:val="none" w:sz="0" w:space="0" w:color="auto"/>
        <w:right w:val="none" w:sz="0" w:space="0" w:color="auto"/>
      </w:divBdr>
    </w:div>
    <w:div w:id="1158888236">
      <w:marLeft w:val="0"/>
      <w:marRight w:val="0"/>
      <w:marTop w:val="0"/>
      <w:marBottom w:val="180"/>
      <w:divBdr>
        <w:top w:val="none" w:sz="0" w:space="0" w:color="auto"/>
        <w:left w:val="none" w:sz="0" w:space="0" w:color="auto"/>
        <w:bottom w:val="none" w:sz="0" w:space="0" w:color="auto"/>
        <w:right w:val="none" w:sz="0" w:space="0" w:color="auto"/>
      </w:divBdr>
    </w:div>
    <w:div w:id="1161506376">
      <w:marLeft w:val="0"/>
      <w:marRight w:val="0"/>
      <w:marTop w:val="180"/>
      <w:marBottom w:val="180"/>
      <w:divBdr>
        <w:top w:val="none" w:sz="0" w:space="0" w:color="auto"/>
        <w:left w:val="none" w:sz="0" w:space="0" w:color="auto"/>
        <w:bottom w:val="none" w:sz="0" w:space="0" w:color="auto"/>
        <w:right w:val="none" w:sz="0" w:space="0" w:color="auto"/>
      </w:divBdr>
    </w:div>
    <w:div w:id="1162890692">
      <w:marLeft w:val="0"/>
      <w:marRight w:val="0"/>
      <w:marTop w:val="0"/>
      <w:marBottom w:val="0"/>
      <w:divBdr>
        <w:top w:val="none" w:sz="0" w:space="0" w:color="auto"/>
        <w:left w:val="none" w:sz="0" w:space="0" w:color="auto"/>
        <w:bottom w:val="none" w:sz="0" w:space="0" w:color="auto"/>
        <w:right w:val="none" w:sz="0" w:space="0" w:color="auto"/>
      </w:divBdr>
    </w:div>
    <w:div w:id="1163399369">
      <w:marLeft w:val="0"/>
      <w:marRight w:val="0"/>
      <w:marTop w:val="180"/>
      <w:marBottom w:val="180"/>
      <w:divBdr>
        <w:top w:val="none" w:sz="0" w:space="0" w:color="auto"/>
        <w:left w:val="none" w:sz="0" w:space="0" w:color="auto"/>
        <w:bottom w:val="none" w:sz="0" w:space="0" w:color="auto"/>
        <w:right w:val="none" w:sz="0" w:space="0" w:color="auto"/>
      </w:divBdr>
    </w:div>
    <w:div w:id="1163739353">
      <w:marLeft w:val="0"/>
      <w:marRight w:val="0"/>
      <w:marTop w:val="180"/>
      <w:marBottom w:val="180"/>
      <w:divBdr>
        <w:top w:val="none" w:sz="0" w:space="0" w:color="auto"/>
        <w:left w:val="none" w:sz="0" w:space="0" w:color="auto"/>
        <w:bottom w:val="none" w:sz="0" w:space="0" w:color="auto"/>
        <w:right w:val="none" w:sz="0" w:space="0" w:color="auto"/>
      </w:divBdr>
    </w:div>
    <w:div w:id="1164930193">
      <w:marLeft w:val="0"/>
      <w:marRight w:val="0"/>
      <w:marTop w:val="0"/>
      <w:marBottom w:val="0"/>
      <w:divBdr>
        <w:top w:val="none" w:sz="0" w:space="0" w:color="auto"/>
        <w:left w:val="none" w:sz="0" w:space="0" w:color="auto"/>
        <w:bottom w:val="none" w:sz="0" w:space="0" w:color="auto"/>
        <w:right w:val="none" w:sz="0" w:space="0" w:color="auto"/>
      </w:divBdr>
      <w:divsChild>
        <w:div w:id="1388603845">
          <w:marLeft w:val="0"/>
          <w:marRight w:val="0"/>
          <w:marTop w:val="0"/>
          <w:marBottom w:val="0"/>
          <w:divBdr>
            <w:top w:val="none" w:sz="0" w:space="0" w:color="auto"/>
            <w:left w:val="none" w:sz="0" w:space="0" w:color="auto"/>
            <w:bottom w:val="none" w:sz="0" w:space="0" w:color="auto"/>
            <w:right w:val="none" w:sz="0" w:space="0" w:color="auto"/>
          </w:divBdr>
        </w:div>
      </w:divsChild>
    </w:div>
    <w:div w:id="1164972376">
      <w:marLeft w:val="0"/>
      <w:marRight w:val="0"/>
      <w:marTop w:val="0"/>
      <w:marBottom w:val="180"/>
      <w:divBdr>
        <w:top w:val="none" w:sz="0" w:space="0" w:color="auto"/>
        <w:left w:val="none" w:sz="0" w:space="0" w:color="auto"/>
        <w:bottom w:val="none" w:sz="0" w:space="0" w:color="auto"/>
        <w:right w:val="none" w:sz="0" w:space="0" w:color="auto"/>
      </w:divBdr>
    </w:div>
    <w:div w:id="1165975962">
      <w:marLeft w:val="0"/>
      <w:marRight w:val="0"/>
      <w:marTop w:val="120"/>
      <w:marBottom w:val="120"/>
      <w:divBdr>
        <w:top w:val="none" w:sz="0" w:space="0" w:color="auto"/>
        <w:left w:val="none" w:sz="0" w:space="0" w:color="auto"/>
        <w:bottom w:val="none" w:sz="0" w:space="0" w:color="auto"/>
        <w:right w:val="none" w:sz="0" w:space="0" w:color="auto"/>
      </w:divBdr>
    </w:div>
    <w:div w:id="1168250324">
      <w:marLeft w:val="0"/>
      <w:marRight w:val="0"/>
      <w:marTop w:val="0"/>
      <w:marBottom w:val="0"/>
      <w:divBdr>
        <w:top w:val="none" w:sz="0" w:space="0" w:color="auto"/>
        <w:left w:val="none" w:sz="0" w:space="0" w:color="auto"/>
        <w:bottom w:val="none" w:sz="0" w:space="0" w:color="auto"/>
        <w:right w:val="none" w:sz="0" w:space="0" w:color="auto"/>
      </w:divBdr>
      <w:divsChild>
        <w:div w:id="1979258199">
          <w:marLeft w:val="0"/>
          <w:marRight w:val="0"/>
          <w:marTop w:val="0"/>
          <w:marBottom w:val="0"/>
          <w:divBdr>
            <w:top w:val="none" w:sz="0" w:space="0" w:color="auto"/>
            <w:left w:val="none" w:sz="0" w:space="0" w:color="auto"/>
            <w:bottom w:val="none" w:sz="0" w:space="0" w:color="auto"/>
            <w:right w:val="none" w:sz="0" w:space="0" w:color="auto"/>
          </w:divBdr>
        </w:div>
      </w:divsChild>
    </w:div>
    <w:div w:id="1169053665">
      <w:marLeft w:val="0"/>
      <w:marRight w:val="0"/>
      <w:marTop w:val="0"/>
      <w:marBottom w:val="240"/>
      <w:divBdr>
        <w:top w:val="none" w:sz="0" w:space="0" w:color="auto"/>
        <w:left w:val="none" w:sz="0" w:space="0" w:color="auto"/>
        <w:bottom w:val="none" w:sz="0" w:space="0" w:color="auto"/>
        <w:right w:val="none" w:sz="0" w:space="0" w:color="auto"/>
      </w:divBdr>
    </w:div>
    <w:div w:id="1169636288">
      <w:marLeft w:val="0"/>
      <w:marRight w:val="0"/>
      <w:marTop w:val="0"/>
      <w:marBottom w:val="180"/>
      <w:divBdr>
        <w:top w:val="none" w:sz="0" w:space="0" w:color="auto"/>
        <w:left w:val="none" w:sz="0" w:space="0" w:color="auto"/>
        <w:bottom w:val="none" w:sz="0" w:space="0" w:color="auto"/>
        <w:right w:val="none" w:sz="0" w:space="0" w:color="auto"/>
      </w:divBdr>
    </w:div>
    <w:div w:id="1169831062">
      <w:marLeft w:val="0"/>
      <w:marRight w:val="0"/>
      <w:marTop w:val="0"/>
      <w:marBottom w:val="180"/>
      <w:divBdr>
        <w:top w:val="none" w:sz="0" w:space="0" w:color="auto"/>
        <w:left w:val="none" w:sz="0" w:space="0" w:color="auto"/>
        <w:bottom w:val="none" w:sz="0" w:space="0" w:color="auto"/>
        <w:right w:val="none" w:sz="0" w:space="0" w:color="auto"/>
      </w:divBdr>
    </w:div>
    <w:div w:id="1170675433">
      <w:marLeft w:val="0"/>
      <w:marRight w:val="0"/>
      <w:marTop w:val="120"/>
      <w:marBottom w:val="180"/>
      <w:divBdr>
        <w:top w:val="none" w:sz="0" w:space="0" w:color="auto"/>
        <w:left w:val="none" w:sz="0" w:space="0" w:color="auto"/>
        <w:bottom w:val="none" w:sz="0" w:space="0" w:color="auto"/>
        <w:right w:val="none" w:sz="0" w:space="0" w:color="auto"/>
      </w:divBdr>
    </w:div>
    <w:div w:id="1172913066">
      <w:marLeft w:val="0"/>
      <w:marRight w:val="0"/>
      <w:marTop w:val="0"/>
      <w:marBottom w:val="240"/>
      <w:divBdr>
        <w:top w:val="none" w:sz="0" w:space="0" w:color="auto"/>
        <w:left w:val="none" w:sz="0" w:space="0" w:color="auto"/>
        <w:bottom w:val="none" w:sz="0" w:space="0" w:color="auto"/>
        <w:right w:val="none" w:sz="0" w:space="0" w:color="auto"/>
      </w:divBdr>
    </w:div>
    <w:div w:id="1175458734">
      <w:marLeft w:val="0"/>
      <w:marRight w:val="0"/>
      <w:marTop w:val="0"/>
      <w:marBottom w:val="0"/>
      <w:divBdr>
        <w:top w:val="none" w:sz="0" w:space="0" w:color="auto"/>
        <w:left w:val="none" w:sz="0" w:space="0" w:color="auto"/>
        <w:bottom w:val="none" w:sz="0" w:space="0" w:color="auto"/>
        <w:right w:val="none" w:sz="0" w:space="0" w:color="auto"/>
      </w:divBdr>
      <w:divsChild>
        <w:div w:id="1389304716">
          <w:marLeft w:val="0"/>
          <w:marRight w:val="0"/>
          <w:marTop w:val="0"/>
          <w:marBottom w:val="0"/>
          <w:divBdr>
            <w:top w:val="none" w:sz="0" w:space="0" w:color="auto"/>
            <w:left w:val="none" w:sz="0" w:space="0" w:color="auto"/>
            <w:bottom w:val="none" w:sz="0" w:space="0" w:color="auto"/>
            <w:right w:val="none" w:sz="0" w:space="0" w:color="auto"/>
          </w:divBdr>
        </w:div>
        <w:div w:id="1422869000">
          <w:marLeft w:val="0"/>
          <w:marRight w:val="0"/>
          <w:marTop w:val="0"/>
          <w:marBottom w:val="0"/>
          <w:divBdr>
            <w:top w:val="none" w:sz="0" w:space="0" w:color="auto"/>
            <w:left w:val="none" w:sz="0" w:space="0" w:color="auto"/>
            <w:bottom w:val="none" w:sz="0" w:space="0" w:color="auto"/>
            <w:right w:val="none" w:sz="0" w:space="0" w:color="auto"/>
          </w:divBdr>
        </w:div>
      </w:divsChild>
    </w:div>
    <w:div w:id="1176187696">
      <w:marLeft w:val="0"/>
      <w:marRight w:val="0"/>
      <w:marTop w:val="180"/>
      <w:marBottom w:val="180"/>
      <w:divBdr>
        <w:top w:val="none" w:sz="0" w:space="0" w:color="auto"/>
        <w:left w:val="none" w:sz="0" w:space="0" w:color="auto"/>
        <w:bottom w:val="none" w:sz="0" w:space="0" w:color="auto"/>
        <w:right w:val="none" w:sz="0" w:space="0" w:color="auto"/>
      </w:divBdr>
    </w:div>
    <w:div w:id="1177040651">
      <w:marLeft w:val="0"/>
      <w:marRight w:val="0"/>
      <w:marTop w:val="0"/>
      <w:marBottom w:val="180"/>
      <w:divBdr>
        <w:top w:val="none" w:sz="0" w:space="0" w:color="auto"/>
        <w:left w:val="none" w:sz="0" w:space="0" w:color="auto"/>
        <w:bottom w:val="none" w:sz="0" w:space="0" w:color="auto"/>
        <w:right w:val="none" w:sz="0" w:space="0" w:color="auto"/>
      </w:divBdr>
    </w:div>
    <w:div w:id="1178228473">
      <w:marLeft w:val="0"/>
      <w:marRight w:val="0"/>
      <w:marTop w:val="0"/>
      <w:marBottom w:val="0"/>
      <w:divBdr>
        <w:top w:val="none" w:sz="0" w:space="0" w:color="auto"/>
        <w:left w:val="none" w:sz="0" w:space="0" w:color="auto"/>
        <w:bottom w:val="none" w:sz="0" w:space="0" w:color="auto"/>
        <w:right w:val="none" w:sz="0" w:space="0" w:color="auto"/>
      </w:divBdr>
    </w:div>
    <w:div w:id="1182475598">
      <w:marLeft w:val="0"/>
      <w:marRight w:val="0"/>
      <w:marTop w:val="100"/>
      <w:marBottom w:val="0"/>
      <w:divBdr>
        <w:top w:val="none" w:sz="0" w:space="0" w:color="auto"/>
        <w:left w:val="none" w:sz="0" w:space="0" w:color="auto"/>
        <w:bottom w:val="none" w:sz="0" w:space="0" w:color="auto"/>
        <w:right w:val="none" w:sz="0" w:space="0" w:color="auto"/>
      </w:divBdr>
    </w:div>
    <w:div w:id="1182739569">
      <w:marLeft w:val="0"/>
      <w:marRight w:val="0"/>
      <w:marTop w:val="0"/>
      <w:marBottom w:val="0"/>
      <w:divBdr>
        <w:top w:val="none" w:sz="0" w:space="0" w:color="auto"/>
        <w:left w:val="none" w:sz="0" w:space="0" w:color="auto"/>
        <w:bottom w:val="none" w:sz="0" w:space="0" w:color="auto"/>
        <w:right w:val="none" w:sz="0" w:space="0" w:color="auto"/>
      </w:divBdr>
    </w:div>
    <w:div w:id="1184589596">
      <w:marLeft w:val="0"/>
      <w:marRight w:val="0"/>
      <w:marTop w:val="0"/>
      <w:marBottom w:val="0"/>
      <w:divBdr>
        <w:top w:val="none" w:sz="0" w:space="0" w:color="auto"/>
        <w:left w:val="none" w:sz="0" w:space="0" w:color="auto"/>
        <w:bottom w:val="none" w:sz="0" w:space="0" w:color="auto"/>
        <w:right w:val="none" w:sz="0" w:space="0" w:color="auto"/>
      </w:divBdr>
    </w:div>
    <w:div w:id="1186940223">
      <w:marLeft w:val="0"/>
      <w:marRight w:val="0"/>
      <w:marTop w:val="180"/>
      <w:marBottom w:val="180"/>
      <w:divBdr>
        <w:top w:val="none" w:sz="0" w:space="0" w:color="auto"/>
        <w:left w:val="none" w:sz="0" w:space="0" w:color="auto"/>
        <w:bottom w:val="none" w:sz="0" w:space="0" w:color="auto"/>
        <w:right w:val="none" w:sz="0" w:space="0" w:color="auto"/>
      </w:divBdr>
    </w:div>
    <w:div w:id="1187207768">
      <w:marLeft w:val="0"/>
      <w:marRight w:val="0"/>
      <w:marTop w:val="0"/>
      <w:marBottom w:val="180"/>
      <w:divBdr>
        <w:top w:val="none" w:sz="0" w:space="0" w:color="auto"/>
        <w:left w:val="none" w:sz="0" w:space="0" w:color="auto"/>
        <w:bottom w:val="none" w:sz="0" w:space="0" w:color="auto"/>
        <w:right w:val="none" w:sz="0" w:space="0" w:color="auto"/>
      </w:divBdr>
    </w:div>
    <w:div w:id="1187404952">
      <w:marLeft w:val="0"/>
      <w:marRight w:val="0"/>
      <w:marTop w:val="0"/>
      <w:marBottom w:val="0"/>
      <w:divBdr>
        <w:top w:val="none" w:sz="0" w:space="0" w:color="auto"/>
        <w:left w:val="none" w:sz="0" w:space="0" w:color="auto"/>
        <w:bottom w:val="none" w:sz="0" w:space="0" w:color="auto"/>
        <w:right w:val="none" w:sz="0" w:space="0" w:color="auto"/>
      </w:divBdr>
    </w:div>
    <w:div w:id="1190532346">
      <w:marLeft w:val="0"/>
      <w:marRight w:val="0"/>
      <w:marTop w:val="0"/>
      <w:marBottom w:val="240"/>
      <w:divBdr>
        <w:top w:val="none" w:sz="0" w:space="0" w:color="auto"/>
        <w:left w:val="none" w:sz="0" w:space="0" w:color="auto"/>
        <w:bottom w:val="none" w:sz="0" w:space="0" w:color="auto"/>
        <w:right w:val="none" w:sz="0" w:space="0" w:color="auto"/>
      </w:divBdr>
    </w:div>
    <w:div w:id="1196432073">
      <w:marLeft w:val="0"/>
      <w:marRight w:val="0"/>
      <w:marTop w:val="0"/>
      <w:marBottom w:val="0"/>
      <w:divBdr>
        <w:top w:val="none" w:sz="0" w:space="0" w:color="auto"/>
        <w:left w:val="none" w:sz="0" w:space="0" w:color="auto"/>
        <w:bottom w:val="none" w:sz="0" w:space="0" w:color="auto"/>
        <w:right w:val="none" w:sz="0" w:space="0" w:color="auto"/>
      </w:divBdr>
    </w:div>
    <w:div w:id="1198660940">
      <w:marLeft w:val="0"/>
      <w:marRight w:val="0"/>
      <w:marTop w:val="120"/>
      <w:marBottom w:val="120"/>
      <w:divBdr>
        <w:top w:val="none" w:sz="0" w:space="0" w:color="auto"/>
        <w:left w:val="none" w:sz="0" w:space="0" w:color="auto"/>
        <w:bottom w:val="none" w:sz="0" w:space="0" w:color="auto"/>
        <w:right w:val="none" w:sz="0" w:space="0" w:color="auto"/>
      </w:divBdr>
    </w:div>
    <w:div w:id="1199053341">
      <w:marLeft w:val="0"/>
      <w:marRight w:val="0"/>
      <w:marTop w:val="0"/>
      <w:marBottom w:val="0"/>
      <w:divBdr>
        <w:top w:val="none" w:sz="0" w:space="0" w:color="auto"/>
        <w:left w:val="none" w:sz="0" w:space="0" w:color="auto"/>
        <w:bottom w:val="none" w:sz="0" w:space="0" w:color="auto"/>
        <w:right w:val="none" w:sz="0" w:space="0" w:color="auto"/>
      </w:divBdr>
    </w:div>
    <w:div w:id="1201015864">
      <w:marLeft w:val="0"/>
      <w:marRight w:val="0"/>
      <w:marTop w:val="0"/>
      <w:marBottom w:val="0"/>
      <w:divBdr>
        <w:top w:val="none" w:sz="0" w:space="0" w:color="auto"/>
        <w:left w:val="none" w:sz="0" w:space="0" w:color="auto"/>
        <w:bottom w:val="none" w:sz="0" w:space="0" w:color="auto"/>
        <w:right w:val="none" w:sz="0" w:space="0" w:color="auto"/>
      </w:divBdr>
    </w:div>
    <w:div w:id="1203982194">
      <w:marLeft w:val="0"/>
      <w:marRight w:val="0"/>
      <w:marTop w:val="0"/>
      <w:marBottom w:val="240"/>
      <w:divBdr>
        <w:top w:val="none" w:sz="0" w:space="0" w:color="auto"/>
        <w:left w:val="none" w:sz="0" w:space="0" w:color="auto"/>
        <w:bottom w:val="none" w:sz="0" w:space="0" w:color="auto"/>
        <w:right w:val="none" w:sz="0" w:space="0" w:color="auto"/>
      </w:divBdr>
    </w:div>
    <w:div w:id="1205099039">
      <w:marLeft w:val="0"/>
      <w:marRight w:val="0"/>
      <w:marTop w:val="0"/>
      <w:marBottom w:val="0"/>
      <w:divBdr>
        <w:top w:val="none" w:sz="0" w:space="0" w:color="auto"/>
        <w:left w:val="none" w:sz="0" w:space="0" w:color="auto"/>
        <w:bottom w:val="none" w:sz="0" w:space="0" w:color="auto"/>
        <w:right w:val="none" w:sz="0" w:space="0" w:color="auto"/>
      </w:divBdr>
    </w:div>
    <w:div w:id="1206134915">
      <w:marLeft w:val="0"/>
      <w:marRight w:val="0"/>
      <w:marTop w:val="0"/>
      <w:marBottom w:val="240"/>
      <w:divBdr>
        <w:top w:val="none" w:sz="0" w:space="0" w:color="auto"/>
        <w:left w:val="none" w:sz="0" w:space="0" w:color="auto"/>
        <w:bottom w:val="none" w:sz="0" w:space="0" w:color="auto"/>
        <w:right w:val="none" w:sz="0" w:space="0" w:color="auto"/>
      </w:divBdr>
    </w:div>
    <w:div w:id="1206480385">
      <w:marLeft w:val="0"/>
      <w:marRight w:val="0"/>
      <w:marTop w:val="0"/>
      <w:marBottom w:val="240"/>
      <w:divBdr>
        <w:top w:val="none" w:sz="0" w:space="0" w:color="auto"/>
        <w:left w:val="none" w:sz="0" w:space="0" w:color="auto"/>
        <w:bottom w:val="none" w:sz="0" w:space="0" w:color="auto"/>
        <w:right w:val="none" w:sz="0" w:space="0" w:color="auto"/>
      </w:divBdr>
    </w:div>
    <w:div w:id="1212578089">
      <w:marLeft w:val="0"/>
      <w:marRight w:val="0"/>
      <w:marTop w:val="120"/>
      <w:marBottom w:val="120"/>
      <w:divBdr>
        <w:top w:val="none" w:sz="0" w:space="0" w:color="auto"/>
        <w:left w:val="none" w:sz="0" w:space="0" w:color="auto"/>
        <w:bottom w:val="none" w:sz="0" w:space="0" w:color="auto"/>
        <w:right w:val="none" w:sz="0" w:space="0" w:color="auto"/>
      </w:divBdr>
    </w:div>
    <w:div w:id="1212692606">
      <w:marLeft w:val="0"/>
      <w:marRight w:val="0"/>
      <w:marTop w:val="0"/>
      <w:marBottom w:val="240"/>
      <w:divBdr>
        <w:top w:val="none" w:sz="0" w:space="0" w:color="auto"/>
        <w:left w:val="none" w:sz="0" w:space="0" w:color="auto"/>
        <w:bottom w:val="none" w:sz="0" w:space="0" w:color="auto"/>
        <w:right w:val="none" w:sz="0" w:space="0" w:color="auto"/>
      </w:divBdr>
    </w:div>
    <w:div w:id="1213080057">
      <w:marLeft w:val="0"/>
      <w:marRight w:val="0"/>
      <w:marTop w:val="0"/>
      <w:marBottom w:val="0"/>
      <w:divBdr>
        <w:top w:val="none" w:sz="0" w:space="0" w:color="auto"/>
        <w:left w:val="none" w:sz="0" w:space="0" w:color="auto"/>
        <w:bottom w:val="none" w:sz="0" w:space="0" w:color="auto"/>
        <w:right w:val="none" w:sz="0" w:space="0" w:color="auto"/>
      </w:divBdr>
    </w:div>
    <w:div w:id="1213344050">
      <w:marLeft w:val="0"/>
      <w:marRight w:val="0"/>
      <w:marTop w:val="0"/>
      <w:marBottom w:val="0"/>
      <w:divBdr>
        <w:top w:val="none" w:sz="0" w:space="0" w:color="auto"/>
        <w:left w:val="none" w:sz="0" w:space="0" w:color="auto"/>
        <w:bottom w:val="none" w:sz="0" w:space="0" w:color="auto"/>
        <w:right w:val="none" w:sz="0" w:space="0" w:color="auto"/>
      </w:divBdr>
      <w:divsChild>
        <w:div w:id="286207543">
          <w:marLeft w:val="0"/>
          <w:marRight w:val="0"/>
          <w:marTop w:val="0"/>
          <w:marBottom w:val="0"/>
          <w:divBdr>
            <w:top w:val="none" w:sz="0" w:space="0" w:color="auto"/>
            <w:left w:val="none" w:sz="0" w:space="0" w:color="auto"/>
            <w:bottom w:val="none" w:sz="0" w:space="0" w:color="auto"/>
            <w:right w:val="none" w:sz="0" w:space="0" w:color="auto"/>
          </w:divBdr>
        </w:div>
        <w:div w:id="329875020">
          <w:marLeft w:val="0"/>
          <w:marRight w:val="0"/>
          <w:marTop w:val="0"/>
          <w:marBottom w:val="0"/>
          <w:divBdr>
            <w:top w:val="none" w:sz="0" w:space="0" w:color="auto"/>
            <w:left w:val="none" w:sz="0" w:space="0" w:color="auto"/>
            <w:bottom w:val="none" w:sz="0" w:space="0" w:color="auto"/>
            <w:right w:val="none" w:sz="0" w:space="0" w:color="auto"/>
          </w:divBdr>
        </w:div>
      </w:divsChild>
    </w:div>
    <w:div w:id="1213469620">
      <w:marLeft w:val="0"/>
      <w:marRight w:val="0"/>
      <w:marTop w:val="0"/>
      <w:marBottom w:val="0"/>
      <w:divBdr>
        <w:top w:val="none" w:sz="0" w:space="0" w:color="auto"/>
        <w:left w:val="none" w:sz="0" w:space="0" w:color="auto"/>
        <w:bottom w:val="none" w:sz="0" w:space="0" w:color="auto"/>
        <w:right w:val="none" w:sz="0" w:space="0" w:color="auto"/>
      </w:divBdr>
      <w:divsChild>
        <w:div w:id="2073769269">
          <w:marLeft w:val="0"/>
          <w:marRight w:val="0"/>
          <w:marTop w:val="0"/>
          <w:marBottom w:val="0"/>
          <w:divBdr>
            <w:top w:val="none" w:sz="0" w:space="0" w:color="auto"/>
            <w:left w:val="none" w:sz="0" w:space="0" w:color="auto"/>
            <w:bottom w:val="none" w:sz="0" w:space="0" w:color="auto"/>
            <w:right w:val="none" w:sz="0" w:space="0" w:color="auto"/>
          </w:divBdr>
        </w:div>
      </w:divsChild>
    </w:div>
    <w:div w:id="1214272775">
      <w:marLeft w:val="0"/>
      <w:marRight w:val="0"/>
      <w:marTop w:val="0"/>
      <w:marBottom w:val="0"/>
      <w:divBdr>
        <w:top w:val="none" w:sz="0" w:space="0" w:color="auto"/>
        <w:left w:val="none" w:sz="0" w:space="0" w:color="auto"/>
        <w:bottom w:val="none" w:sz="0" w:space="0" w:color="auto"/>
        <w:right w:val="none" w:sz="0" w:space="0" w:color="auto"/>
      </w:divBdr>
      <w:divsChild>
        <w:div w:id="1061639876">
          <w:marLeft w:val="0"/>
          <w:marRight w:val="0"/>
          <w:marTop w:val="0"/>
          <w:marBottom w:val="0"/>
          <w:divBdr>
            <w:top w:val="none" w:sz="0" w:space="0" w:color="auto"/>
            <w:left w:val="none" w:sz="0" w:space="0" w:color="auto"/>
            <w:bottom w:val="none" w:sz="0" w:space="0" w:color="auto"/>
            <w:right w:val="none" w:sz="0" w:space="0" w:color="auto"/>
          </w:divBdr>
        </w:div>
      </w:divsChild>
    </w:div>
    <w:div w:id="1214275566">
      <w:marLeft w:val="0"/>
      <w:marRight w:val="0"/>
      <w:marTop w:val="0"/>
      <w:marBottom w:val="180"/>
      <w:divBdr>
        <w:top w:val="none" w:sz="0" w:space="0" w:color="auto"/>
        <w:left w:val="none" w:sz="0" w:space="0" w:color="auto"/>
        <w:bottom w:val="none" w:sz="0" w:space="0" w:color="auto"/>
        <w:right w:val="none" w:sz="0" w:space="0" w:color="auto"/>
      </w:divBdr>
    </w:div>
    <w:div w:id="1216237551">
      <w:marLeft w:val="0"/>
      <w:marRight w:val="0"/>
      <w:marTop w:val="0"/>
      <w:marBottom w:val="180"/>
      <w:divBdr>
        <w:top w:val="none" w:sz="0" w:space="0" w:color="auto"/>
        <w:left w:val="none" w:sz="0" w:space="0" w:color="auto"/>
        <w:bottom w:val="none" w:sz="0" w:space="0" w:color="auto"/>
        <w:right w:val="none" w:sz="0" w:space="0" w:color="auto"/>
      </w:divBdr>
    </w:div>
    <w:div w:id="1218131617">
      <w:marLeft w:val="0"/>
      <w:marRight w:val="0"/>
      <w:marTop w:val="0"/>
      <w:marBottom w:val="0"/>
      <w:divBdr>
        <w:top w:val="none" w:sz="0" w:space="0" w:color="auto"/>
        <w:left w:val="none" w:sz="0" w:space="0" w:color="auto"/>
        <w:bottom w:val="none" w:sz="0" w:space="0" w:color="auto"/>
        <w:right w:val="none" w:sz="0" w:space="0" w:color="auto"/>
      </w:divBdr>
    </w:div>
    <w:div w:id="1221019723">
      <w:marLeft w:val="0"/>
      <w:marRight w:val="0"/>
      <w:marTop w:val="0"/>
      <w:marBottom w:val="240"/>
      <w:divBdr>
        <w:top w:val="none" w:sz="0" w:space="0" w:color="auto"/>
        <w:left w:val="none" w:sz="0" w:space="0" w:color="auto"/>
        <w:bottom w:val="none" w:sz="0" w:space="0" w:color="auto"/>
        <w:right w:val="none" w:sz="0" w:space="0" w:color="auto"/>
      </w:divBdr>
    </w:div>
    <w:div w:id="1222979722">
      <w:marLeft w:val="0"/>
      <w:marRight w:val="0"/>
      <w:marTop w:val="0"/>
      <w:marBottom w:val="240"/>
      <w:divBdr>
        <w:top w:val="none" w:sz="0" w:space="0" w:color="auto"/>
        <w:left w:val="none" w:sz="0" w:space="0" w:color="auto"/>
        <w:bottom w:val="none" w:sz="0" w:space="0" w:color="auto"/>
        <w:right w:val="none" w:sz="0" w:space="0" w:color="auto"/>
      </w:divBdr>
    </w:div>
    <w:div w:id="1225487501">
      <w:marLeft w:val="0"/>
      <w:marRight w:val="0"/>
      <w:marTop w:val="180"/>
      <w:marBottom w:val="180"/>
      <w:divBdr>
        <w:top w:val="none" w:sz="0" w:space="0" w:color="auto"/>
        <w:left w:val="none" w:sz="0" w:space="0" w:color="auto"/>
        <w:bottom w:val="none" w:sz="0" w:space="0" w:color="auto"/>
        <w:right w:val="none" w:sz="0" w:space="0" w:color="auto"/>
      </w:divBdr>
    </w:div>
    <w:div w:id="1226406170">
      <w:marLeft w:val="0"/>
      <w:marRight w:val="0"/>
      <w:marTop w:val="0"/>
      <w:marBottom w:val="240"/>
      <w:divBdr>
        <w:top w:val="none" w:sz="0" w:space="0" w:color="auto"/>
        <w:left w:val="none" w:sz="0" w:space="0" w:color="auto"/>
        <w:bottom w:val="none" w:sz="0" w:space="0" w:color="auto"/>
        <w:right w:val="none" w:sz="0" w:space="0" w:color="auto"/>
      </w:divBdr>
    </w:div>
    <w:div w:id="1226526800">
      <w:marLeft w:val="0"/>
      <w:marRight w:val="0"/>
      <w:marTop w:val="120"/>
      <w:marBottom w:val="240"/>
      <w:divBdr>
        <w:top w:val="none" w:sz="0" w:space="0" w:color="auto"/>
        <w:left w:val="none" w:sz="0" w:space="0" w:color="auto"/>
        <w:bottom w:val="none" w:sz="0" w:space="0" w:color="auto"/>
        <w:right w:val="none" w:sz="0" w:space="0" w:color="auto"/>
      </w:divBdr>
    </w:div>
    <w:div w:id="1227372766">
      <w:marLeft w:val="0"/>
      <w:marRight w:val="0"/>
      <w:marTop w:val="0"/>
      <w:marBottom w:val="0"/>
      <w:divBdr>
        <w:top w:val="none" w:sz="0" w:space="0" w:color="auto"/>
        <w:left w:val="none" w:sz="0" w:space="0" w:color="auto"/>
        <w:bottom w:val="none" w:sz="0" w:space="0" w:color="auto"/>
        <w:right w:val="none" w:sz="0" w:space="0" w:color="auto"/>
      </w:divBdr>
      <w:divsChild>
        <w:div w:id="804665306">
          <w:marLeft w:val="0"/>
          <w:marRight w:val="0"/>
          <w:marTop w:val="0"/>
          <w:marBottom w:val="0"/>
          <w:divBdr>
            <w:top w:val="none" w:sz="0" w:space="0" w:color="auto"/>
            <w:left w:val="none" w:sz="0" w:space="0" w:color="auto"/>
            <w:bottom w:val="none" w:sz="0" w:space="0" w:color="auto"/>
            <w:right w:val="none" w:sz="0" w:space="0" w:color="auto"/>
          </w:divBdr>
        </w:div>
      </w:divsChild>
    </w:div>
    <w:div w:id="1230268197">
      <w:marLeft w:val="0"/>
      <w:marRight w:val="0"/>
      <w:marTop w:val="120"/>
      <w:marBottom w:val="120"/>
      <w:divBdr>
        <w:top w:val="none" w:sz="0" w:space="0" w:color="auto"/>
        <w:left w:val="none" w:sz="0" w:space="0" w:color="auto"/>
        <w:bottom w:val="none" w:sz="0" w:space="0" w:color="auto"/>
        <w:right w:val="none" w:sz="0" w:space="0" w:color="auto"/>
      </w:divBdr>
    </w:div>
    <w:div w:id="1234126637">
      <w:marLeft w:val="0"/>
      <w:marRight w:val="0"/>
      <w:marTop w:val="180"/>
      <w:marBottom w:val="180"/>
      <w:divBdr>
        <w:top w:val="none" w:sz="0" w:space="0" w:color="auto"/>
        <w:left w:val="none" w:sz="0" w:space="0" w:color="auto"/>
        <w:bottom w:val="none" w:sz="0" w:space="0" w:color="auto"/>
        <w:right w:val="none" w:sz="0" w:space="0" w:color="auto"/>
      </w:divBdr>
    </w:div>
    <w:div w:id="1236478162">
      <w:marLeft w:val="0"/>
      <w:marRight w:val="0"/>
      <w:marTop w:val="0"/>
      <w:marBottom w:val="0"/>
      <w:divBdr>
        <w:top w:val="none" w:sz="0" w:space="0" w:color="auto"/>
        <w:left w:val="none" w:sz="0" w:space="0" w:color="auto"/>
        <w:bottom w:val="none" w:sz="0" w:space="0" w:color="auto"/>
        <w:right w:val="none" w:sz="0" w:space="0" w:color="auto"/>
      </w:divBdr>
      <w:divsChild>
        <w:div w:id="450982560">
          <w:marLeft w:val="0"/>
          <w:marRight w:val="0"/>
          <w:marTop w:val="0"/>
          <w:marBottom w:val="0"/>
          <w:divBdr>
            <w:top w:val="none" w:sz="0" w:space="0" w:color="auto"/>
            <w:left w:val="none" w:sz="0" w:space="0" w:color="auto"/>
            <w:bottom w:val="none" w:sz="0" w:space="0" w:color="auto"/>
            <w:right w:val="none" w:sz="0" w:space="0" w:color="auto"/>
          </w:divBdr>
        </w:div>
        <w:div w:id="443961665">
          <w:marLeft w:val="0"/>
          <w:marRight w:val="0"/>
          <w:marTop w:val="0"/>
          <w:marBottom w:val="0"/>
          <w:divBdr>
            <w:top w:val="none" w:sz="0" w:space="0" w:color="auto"/>
            <w:left w:val="none" w:sz="0" w:space="0" w:color="auto"/>
            <w:bottom w:val="none" w:sz="0" w:space="0" w:color="auto"/>
            <w:right w:val="none" w:sz="0" w:space="0" w:color="auto"/>
          </w:divBdr>
        </w:div>
        <w:div w:id="1298223666">
          <w:marLeft w:val="0"/>
          <w:marRight w:val="0"/>
          <w:marTop w:val="0"/>
          <w:marBottom w:val="0"/>
          <w:divBdr>
            <w:top w:val="none" w:sz="0" w:space="0" w:color="auto"/>
            <w:left w:val="none" w:sz="0" w:space="0" w:color="auto"/>
            <w:bottom w:val="none" w:sz="0" w:space="0" w:color="auto"/>
            <w:right w:val="none" w:sz="0" w:space="0" w:color="auto"/>
          </w:divBdr>
        </w:div>
      </w:divsChild>
    </w:div>
    <w:div w:id="1241254146">
      <w:marLeft w:val="0"/>
      <w:marRight w:val="0"/>
      <w:marTop w:val="0"/>
      <w:marBottom w:val="180"/>
      <w:divBdr>
        <w:top w:val="none" w:sz="0" w:space="0" w:color="auto"/>
        <w:left w:val="none" w:sz="0" w:space="0" w:color="auto"/>
        <w:bottom w:val="none" w:sz="0" w:space="0" w:color="auto"/>
        <w:right w:val="none" w:sz="0" w:space="0" w:color="auto"/>
      </w:divBdr>
    </w:div>
    <w:div w:id="1243873378">
      <w:marLeft w:val="0"/>
      <w:marRight w:val="0"/>
      <w:marTop w:val="120"/>
      <w:marBottom w:val="120"/>
      <w:divBdr>
        <w:top w:val="none" w:sz="0" w:space="0" w:color="auto"/>
        <w:left w:val="none" w:sz="0" w:space="0" w:color="auto"/>
        <w:bottom w:val="none" w:sz="0" w:space="0" w:color="auto"/>
        <w:right w:val="none" w:sz="0" w:space="0" w:color="auto"/>
      </w:divBdr>
    </w:div>
    <w:div w:id="1247229062">
      <w:marLeft w:val="0"/>
      <w:marRight w:val="0"/>
      <w:marTop w:val="0"/>
      <w:marBottom w:val="240"/>
      <w:divBdr>
        <w:top w:val="none" w:sz="0" w:space="0" w:color="auto"/>
        <w:left w:val="none" w:sz="0" w:space="0" w:color="auto"/>
        <w:bottom w:val="none" w:sz="0" w:space="0" w:color="auto"/>
        <w:right w:val="none" w:sz="0" w:space="0" w:color="auto"/>
      </w:divBdr>
    </w:div>
    <w:div w:id="1250701757">
      <w:marLeft w:val="0"/>
      <w:marRight w:val="0"/>
      <w:marTop w:val="0"/>
      <w:marBottom w:val="180"/>
      <w:divBdr>
        <w:top w:val="none" w:sz="0" w:space="0" w:color="auto"/>
        <w:left w:val="none" w:sz="0" w:space="0" w:color="auto"/>
        <w:bottom w:val="none" w:sz="0" w:space="0" w:color="auto"/>
        <w:right w:val="none" w:sz="0" w:space="0" w:color="auto"/>
      </w:divBdr>
    </w:div>
    <w:div w:id="1254123051">
      <w:marLeft w:val="0"/>
      <w:marRight w:val="0"/>
      <w:marTop w:val="0"/>
      <w:marBottom w:val="0"/>
      <w:divBdr>
        <w:top w:val="none" w:sz="0" w:space="0" w:color="auto"/>
        <w:left w:val="none" w:sz="0" w:space="0" w:color="auto"/>
        <w:bottom w:val="none" w:sz="0" w:space="0" w:color="auto"/>
        <w:right w:val="none" w:sz="0" w:space="0" w:color="auto"/>
      </w:divBdr>
      <w:divsChild>
        <w:div w:id="643589092">
          <w:marLeft w:val="0"/>
          <w:marRight w:val="0"/>
          <w:marTop w:val="0"/>
          <w:marBottom w:val="0"/>
          <w:divBdr>
            <w:top w:val="none" w:sz="0" w:space="0" w:color="auto"/>
            <w:left w:val="none" w:sz="0" w:space="0" w:color="auto"/>
            <w:bottom w:val="none" w:sz="0" w:space="0" w:color="auto"/>
            <w:right w:val="none" w:sz="0" w:space="0" w:color="auto"/>
          </w:divBdr>
        </w:div>
      </w:divsChild>
    </w:div>
    <w:div w:id="1256479378">
      <w:marLeft w:val="0"/>
      <w:marRight w:val="0"/>
      <w:marTop w:val="0"/>
      <w:marBottom w:val="180"/>
      <w:divBdr>
        <w:top w:val="none" w:sz="0" w:space="0" w:color="auto"/>
        <w:left w:val="none" w:sz="0" w:space="0" w:color="auto"/>
        <w:bottom w:val="none" w:sz="0" w:space="0" w:color="auto"/>
        <w:right w:val="none" w:sz="0" w:space="0" w:color="auto"/>
      </w:divBdr>
    </w:div>
    <w:div w:id="1256816573">
      <w:marLeft w:val="0"/>
      <w:marRight w:val="0"/>
      <w:marTop w:val="100"/>
      <w:marBottom w:val="0"/>
      <w:divBdr>
        <w:top w:val="none" w:sz="0" w:space="0" w:color="auto"/>
        <w:left w:val="none" w:sz="0" w:space="0" w:color="auto"/>
        <w:bottom w:val="none" w:sz="0" w:space="0" w:color="auto"/>
        <w:right w:val="none" w:sz="0" w:space="0" w:color="auto"/>
      </w:divBdr>
    </w:div>
    <w:div w:id="1258782360">
      <w:marLeft w:val="0"/>
      <w:marRight w:val="0"/>
      <w:marTop w:val="0"/>
      <w:marBottom w:val="0"/>
      <w:divBdr>
        <w:top w:val="none" w:sz="0" w:space="0" w:color="auto"/>
        <w:left w:val="none" w:sz="0" w:space="0" w:color="auto"/>
        <w:bottom w:val="none" w:sz="0" w:space="0" w:color="auto"/>
        <w:right w:val="none" w:sz="0" w:space="0" w:color="auto"/>
      </w:divBdr>
      <w:divsChild>
        <w:div w:id="1011222350">
          <w:marLeft w:val="0"/>
          <w:marRight w:val="0"/>
          <w:marTop w:val="0"/>
          <w:marBottom w:val="0"/>
          <w:divBdr>
            <w:top w:val="none" w:sz="0" w:space="0" w:color="auto"/>
            <w:left w:val="none" w:sz="0" w:space="0" w:color="auto"/>
            <w:bottom w:val="none" w:sz="0" w:space="0" w:color="auto"/>
            <w:right w:val="none" w:sz="0" w:space="0" w:color="auto"/>
          </w:divBdr>
        </w:div>
      </w:divsChild>
    </w:div>
    <w:div w:id="1258975930">
      <w:marLeft w:val="0"/>
      <w:marRight w:val="0"/>
      <w:marTop w:val="180"/>
      <w:marBottom w:val="180"/>
      <w:divBdr>
        <w:top w:val="none" w:sz="0" w:space="0" w:color="auto"/>
        <w:left w:val="none" w:sz="0" w:space="0" w:color="auto"/>
        <w:bottom w:val="none" w:sz="0" w:space="0" w:color="auto"/>
        <w:right w:val="none" w:sz="0" w:space="0" w:color="auto"/>
      </w:divBdr>
    </w:div>
    <w:div w:id="1260718895">
      <w:marLeft w:val="0"/>
      <w:marRight w:val="0"/>
      <w:marTop w:val="0"/>
      <w:marBottom w:val="0"/>
      <w:divBdr>
        <w:top w:val="none" w:sz="0" w:space="0" w:color="auto"/>
        <w:left w:val="none" w:sz="0" w:space="0" w:color="auto"/>
        <w:bottom w:val="none" w:sz="0" w:space="0" w:color="auto"/>
        <w:right w:val="none" w:sz="0" w:space="0" w:color="auto"/>
      </w:divBdr>
      <w:divsChild>
        <w:div w:id="1150366491">
          <w:marLeft w:val="0"/>
          <w:marRight w:val="0"/>
          <w:marTop w:val="0"/>
          <w:marBottom w:val="0"/>
          <w:divBdr>
            <w:top w:val="none" w:sz="0" w:space="0" w:color="auto"/>
            <w:left w:val="none" w:sz="0" w:space="0" w:color="auto"/>
            <w:bottom w:val="none" w:sz="0" w:space="0" w:color="auto"/>
            <w:right w:val="none" w:sz="0" w:space="0" w:color="auto"/>
          </w:divBdr>
        </w:div>
        <w:div w:id="616638165">
          <w:marLeft w:val="0"/>
          <w:marRight w:val="0"/>
          <w:marTop w:val="0"/>
          <w:marBottom w:val="0"/>
          <w:divBdr>
            <w:top w:val="none" w:sz="0" w:space="0" w:color="auto"/>
            <w:left w:val="none" w:sz="0" w:space="0" w:color="auto"/>
            <w:bottom w:val="none" w:sz="0" w:space="0" w:color="auto"/>
            <w:right w:val="none" w:sz="0" w:space="0" w:color="auto"/>
          </w:divBdr>
        </w:div>
      </w:divsChild>
    </w:div>
    <w:div w:id="1260991392">
      <w:marLeft w:val="0"/>
      <w:marRight w:val="0"/>
      <w:marTop w:val="0"/>
      <w:marBottom w:val="180"/>
      <w:divBdr>
        <w:top w:val="none" w:sz="0" w:space="0" w:color="auto"/>
        <w:left w:val="none" w:sz="0" w:space="0" w:color="auto"/>
        <w:bottom w:val="none" w:sz="0" w:space="0" w:color="auto"/>
        <w:right w:val="none" w:sz="0" w:space="0" w:color="auto"/>
      </w:divBdr>
    </w:div>
    <w:div w:id="1261185163">
      <w:marLeft w:val="0"/>
      <w:marRight w:val="0"/>
      <w:marTop w:val="0"/>
      <w:marBottom w:val="180"/>
      <w:divBdr>
        <w:top w:val="none" w:sz="0" w:space="0" w:color="auto"/>
        <w:left w:val="none" w:sz="0" w:space="0" w:color="auto"/>
        <w:bottom w:val="none" w:sz="0" w:space="0" w:color="auto"/>
        <w:right w:val="none" w:sz="0" w:space="0" w:color="auto"/>
      </w:divBdr>
    </w:div>
    <w:div w:id="1262256043">
      <w:marLeft w:val="0"/>
      <w:marRight w:val="0"/>
      <w:marTop w:val="0"/>
      <w:marBottom w:val="0"/>
      <w:divBdr>
        <w:top w:val="none" w:sz="0" w:space="0" w:color="auto"/>
        <w:left w:val="none" w:sz="0" w:space="0" w:color="auto"/>
        <w:bottom w:val="none" w:sz="0" w:space="0" w:color="auto"/>
        <w:right w:val="none" w:sz="0" w:space="0" w:color="auto"/>
      </w:divBdr>
      <w:divsChild>
        <w:div w:id="1876455887">
          <w:marLeft w:val="0"/>
          <w:marRight w:val="0"/>
          <w:marTop w:val="0"/>
          <w:marBottom w:val="0"/>
          <w:divBdr>
            <w:top w:val="none" w:sz="0" w:space="0" w:color="auto"/>
            <w:left w:val="none" w:sz="0" w:space="0" w:color="auto"/>
            <w:bottom w:val="none" w:sz="0" w:space="0" w:color="auto"/>
            <w:right w:val="none" w:sz="0" w:space="0" w:color="auto"/>
          </w:divBdr>
        </w:div>
      </w:divsChild>
    </w:div>
    <w:div w:id="1263300936">
      <w:marLeft w:val="0"/>
      <w:marRight w:val="0"/>
      <w:marTop w:val="180"/>
      <w:marBottom w:val="180"/>
      <w:divBdr>
        <w:top w:val="none" w:sz="0" w:space="0" w:color="auto"/>
        <w:left w:val="none" w:sz="0" w:space="0" w:color="auto"/>
        <w:bottom w:val="none" w:sz="0" w:space="0" w:color="auto"/>
        <w:right w:val="none" w:sz="0" w:space="0" w:color="auto"/>
      </w:divBdr>
    </w:div>
    <w:div w:id="1263878313">
      <w:marLeft w:val="0"/>
      <w:marRight w:val="0"/>
      <w:marTop w:val="0"/>
      <w:marBottom w:val="0"/>
      <w:divBdr>
        <w:top w:val="none" w:sz="0" w:space="0" w:color="auto"/>
        <w:left w:val="none" w:sz="0" w:space="0" w:color="auto"/>
        <w:bottom w:val="none" w:sz="0" w:space="0" w:color="auto"/>
        <w:right w:val="none" w:sz="0" w:space="0" w:color="auto"/>
      </w:divBdr>
    </w:div>
    <w:div w:id="1263957371">
      <w:marLeft w:val="0"/>
      <w:marRight w:val="0"/>
      <w:marTop w:val="120"/>
      <w:marBottom w:val="120"/>
      <w:divBdr>
        <w:top w:val="none" w:sz="0" w:space="0" w:color="auto"/>
        <w:left w:val="none" w:sz="0" w:space="0" w:color="auto"/>
        <w:bottom w:val="none" w:sz="0" w:space="0" w:color="auto"/>
        <w:right w:val="none" w:sz="0" w:space="0" w:color="auto"/>
      </w:divBdr>
    </w:div>
    <w:div w:id="1264262520">
      <w:marLeft w:val="0"/>
      <w:marRight w:val="0"/>
      <w:marTop w:val="0"/>
      <w:marBottom w:val="0"/>
      <w:divBdr>
        <w:top w:val="none" w:sz="0" w:space="0" w:color="auto"/>
        <w:left w:val="none" w:sz="0" w:space="0" w:color="auto"/>
        <w:bottom w:val="none" w:sz="0" w:space="0" w:color="auto"/>
        <w:right w:val="none" w:sz="0" w:space="0" w:color="auto"/>
      </w:divBdr>
    </w:div>
    <w:div w:id="1264343203">
      <w:marLeft w:val="0"/>
      <w:marRight w:val="0"/>
      <w:marTop w:val="0"/>
      <w:marBottom w:val="0"/>
      <w:divBdr>
        <w:top w:val="none" w:sz="0" w:space="0" w:color="auto"/>
        <w:left w:val="none" w:sz="0" w:space="0" w:color="auto"/>
        <w:bottom w:val="none" w:sz="0" w:space="0" w:color="auto"/>
        <w:right w:val="none" w:sz="0" w:space="0" w:color="auto"/>
      </w:divBdr>
      <w:divsChild>
        <w:div w:id="474877698">
          <w:marLeft w:val="0"/>
          <w:marRight w:val="0"/>
          <w:marTop w:val="0"/>
          <w:marBottom w:val="0"/>
          <w:divBdr>
            <w:top w:val="none" w:sz="0" w:space="0" w:color="auto"/>
            <w:left w:val="none" w:sz="0" w:space="0" w:color="auto"/>
            <w:bottom w:val="none" w:sz="0" w:space="0" w:color="auto"/>
            <w:right w:val="none" w:sz="0" w:space="0" w:color="auto"/>
          </w:divBdr>
        </w:div>
        <w:div w:id="1526016727">
          <w:marLeft w:val="0"/>
          <w:marRight w:val="0"/>
          <w:marTop w:val="0"/>
          <w:marBottom w:val="0"/>
          <w:divBdr>
            <w:top w:val="none" w:sz="0" w:space="0" w:color="auto"/>
            <w:left w:val="none" w:sz="0" w:space="0" w:color="auto"/>
            <w:bottom w:val="none" w:sz="0" w:space="0" w:color="auto"/>
            <w:right w:val="none" w:sz="0" w:space="0" w:color="auto"/>
          </w:divBdr>
        </w:div>
        <w:div w:id="95710008">
          <w:marLeft w:val="0"/>
          <w:marRight w:val="0"/>
          <w:marTop w:val="0"/>
          <w:marBottom w:val="0"/>
          <w:divBdr>
            <w:top w:val="none" w:sz="0" w:space="0" w:color="auto"/>
            <w:left w:val="none" w:sz="0" w:space="0" w:color="auto"/>
            <w:bottom w:val="none" w:sz="0" w:space="0" w:color="auto"/>
            <w:right w:val="none" w:sz="0" w:space="0" w:color="auto"/>
          </w:divBdr>
        </w:div>
        <w:div w:id="1754429976">
          <w:marLeft w:val="0"/>
          <w:marRight w:val="0"/>
          <w:marTop w:val="0"/>
          <w:marBottom w:val="0"/>
          <w:divBdr>
            <w:top w:val="none" w:sz="0" w:space="0" w:color="auto"/>
            <w:left w:val="none" w:sz="0" w:space="0" w:color="auto"/>
            <w:bottom w:val="none" w:sz="0" w:space="0" w:color="auto"/>
            <w:right w:val="none" w:sz="0" w:space="0" w:color="auto"/>
          </w:divBdr>
        </w:div>
      </w:divsChild>
    </w:div>
    <w:div w:id="1266310255">
      <w:marLeft w:val="0"/>
      <w:marRight w:val="0"/>
      <w:marTop w:val="0"/>
      <w:marBottom w:val="0"/>
      <w:divBdr>
        <w:top w:val="none" w:sz="0" w:space="0" w:color="auto"/>
        <w:left w:val="none" w:sz="0" w:space="0" w:color="auto"/>
        <w:bottom w:val="none" w:sz="0" w:space="0" w:color="auto"/>
        <w:right w:val="none" w:sz="0" w:space="0" w:color="auto"/>
      </w:divBdr>
      <w:divsChild>
        <w:div w:id="139929011">
          <w:marLeft w:val="0"/>
          <w:marRight w:val="0"/>
          <w:marTop w:val="0"/>
          <w:marBottom w:val="0"/>
          <w:divBdr>
            <w:top w:val="none" w:sz="0" w:space="0" w:color="auto"/>
            <w:left w:val="none" w:sz="0" w:space="0" w:color="auto"/>
            <w:bottom w:val="none" w:sz="0" w:space="0" w:color="auto"/>
            <w:right w:val="none" w:sz="0" w:space="0" w:color="auto"/>
          </w:divBdr>
        </w:div>
      </w:divsChild>
    </w:div>
    <w:div w:id="1266697261">
      <w:marLeft w:val="0"/>
      <w:marRight w:val="0"/>
      <w:marTop w:val="0"/>
      <w:marBottom w:val="0"/>
      <w:divBdr>
        <w:top w:val="none" w:sz="0" w:space="0" w:color="auto"/>
        <w:left w:val="none" w:sz="0" w:space="0" w:color="auto"/>
        <w:bottom w:val="none" w:sz="0" w:space="0" w:color="auto"/>
        <w:right w:val="none" w:sz="0" w:space="0" w:color="auto"/>
      </w:divBdr>
      <w:divsChild>
        <w:div w:id="988436598">
          <w:marLeft w:val="0"/>
          <w:marRight w:val="0"/>
          <w:marTop w:val="0"/>
          <w:marBottom w:val="0"/>
          <w:divBdr>
            <w:top w:val="none" w:sz="0" w:space="0" w:color="auto"/>
            <w:left w:val="none" w:sz="0" w:space="0" w:color="auto"/>
            <w:bottom w:val="none" w:sz="0" w:space="0" w:color="auto"/>
            <w:right w:val="none" w:sz="0" w:space="0" w:color="auto"/>
          </w:divBdr>
        </w:div>
      </w:divsChild>
    </w:div>
    <w:div w:id="1267039283">
      <w:marLeft w:val="0"/>
      <w:marRight w:val="0"/>
      <w:marTop w:val="0"/>
      <w:marBottom w:val="0"/>
      <w:divBdr>
        <w:top w:val="none" w:sz="0" w:space="0" w:color="auto"/>
        <w:left w:val="none" w:sz="0" w:space="0" w:color="auto"/>
        <w:bottom w:val="none" w:sz="0" w:space="0" w:color="auto"/>
        <w:right w:val="none" w:sz="0" w:space="0" w:color="auto"/>
      </w:divBdr>
    </w:div>
    <w:div w:id="1267494298">
      <w:marLeft w:val="0"/>
      <w:marRight w:val="0"/>
      <w:marTop w:val="0"/>
      <w:marBottom w:val="180"/>
      <w:divBdr>
        <w:top w:val="none" w:sz="0" w:space="0" w:color="auto"/>
        <w:left w:val="none" w:sz="0" w:space="0" w:color="auto"/>
        <w:bottom w:val="none" w:sz="0" w:space="0" w:color="auto"/>
        <w:right w:val="none" w:sz="0" w:space="0" w:color="auto"/>
      </w:divBdr>
    </w:div>
    <w:div w:id="1276015835">
      <w:marLeft w:val="0"/>
      <w:marRight w:val="0"/>
      <w:marTop w:val="180"/>
      <w:marBottom w:val="180"/>
      <w:divBdr>
        <w:top w:val="none" w:sz="0" w:space="0" w:color="auto"/>
        <w:left w:val="none" w:sz="0" w:space="0" w:color="auto"/>
        <w:bottom w:val="none" w:sz="0" w:space="0" w:color="auto"/>
        <w:right w:val="none" w:sz="0" w:space="0" w:color="auto"/>
      </w:divBdr>
    </w:div>
    <w:div w:id="1276518901">
      <w:marLeft w:val="0"/>
      <w:marRight w:val="0"/>
      <w:marTop w:val="0"/>
      <w:marBottom w:val="0"/>
      <w:divBdr>
        <w:top w:val="none" w:sz="0" w:space="0" w:color="auto"/>
        <w:left w:val="none" w:sz="0" w:space="0" w:color="auto"/>
        <w:bottom w:val="none" w:sz="0" w:space="0" w:color="auto"/>
        <w:right w:val="none" w:sz="0" w:space="0" w:color="auto"/>
      </w:divBdr>
      <w:divsChild>
        <w:div w:id="1214469358">
          <w:marLeft w:val="0"/>
          <w:marRight w:val="0"/>
          <w:marTop w:val="0"/>
          <w:marBottom w:val="0"/>
          <w:divBdr>
            <w:top w:val="none" w:sz="0" w:space="0" w:color="auto"/>
            <w:left w:val="none" w:sz="0" w:space="0" w:color="auto"/>
            <w:bottom w:val="none" w:sz="0" w:space="0" w:color="auto"/>
            <w:right w:val="none" w:sz="0" w:space="0" w:color="auto"/>
          </w:divBdr>
        </w:div>
      </w:divsChild>
    </w:div>
    <w:div w:id="1277978103">
      <w:marLeft w:val="0"/>
      <w:marRight w:val="0"/>
      <w:marTop w:val="0"/>
      <w:marBottom w:val="0"/>
      <w:divBdr>
        <w:top w:val="none" w:sz="0" w:space="0" w:color="auto"/>
        <w:left w:val="none" w:sz="0" w:space="0" w:color="auto"/>
        <w:bottom w:val="none" w:sz="0" w:space="0" w:color="auto"/>
        <w:right w:val="none" w:sz="0" w:space="0" w:color="auto"/>
      </w:divBdr>
    </w:div>
    <w:div w:id="1278486436">
      <w:marLeft w:val="0"/>
      <w:marRight w:val="0"/>
      <w:marTop w:val="0"/>
      <w:marBottom w:val="180"/>
      <w:divBdr>
        <w:top w:val="none" w:sz="0" w:space="0" w:color="auto"/>
        <w:left w:val="none" w:sz="0" w:space="0" w:color="auto"/>
        <w:bottom w:val="none" w:sz="0" w:space="0" w:color="auto"/>
        <w:right w:val="none" w:sz="0" w:space="0" w:color="auto"/>
      </w:divBdr>
    </w:div>
    <w:div w:id="1280992578">
      <w:marLeft w:val="0"/>
      <w:marRight w:val="0"/>
      <w:marTop w:val="0"/>
      <w:marBottom w:val="240"/>
      <w:divBdr>
        <w:top w:val="none" w:sz="0" w:space="0" w:color="auto"/>
        <w:left w:val="none" w:sz="0" w:space="0" w:color="auto"/>
        <w:bottom w:val="none" w:sz="0" w:space="0" w:color="auto"/>
        <w:right w:val="none" w:sz="0" w:space="0" w:color="auto"/>
      </w:divBdr>
    </w:div>
    <w:div w:id="1281306080">
      <w:marLeft w:val="0"/>
      <w:marRight w:val="0"/>
      <w:marTop w:val="0"/>
      <w:marBottom w:val="0"/>
      <w:divBdr>
        <w:top w:val="none" w:sz="0" w:space="0" w:color="auto"/>
        <w:left w:val="none" w:sz="0" w:space="0" w:color="auto"/>
        <w:bottom w:val="none" w:sz="0" w:space="0" w:color="auto"/>
        <w:right w:val="none" w:sz="0" w:space="0" w:color="auto"/>
      </w:divBdr>
    </w:div>
    <w:div w:id="1286155621">
      <w:marLeft w:val="0"/>
      <w:marRight w:val="0"/>
      <w:marTop w:val="0"/>
      <w:marBottom w:val="240"/>
      <w:divBdr>
        <w:top w:val="none" w:sz="0" w:space="0" w:color="auto"/>
        <w:left w:val="none" w:sz="0" w:space="0" w:color="auto"/>
        <w:bottom w:val="none" w:sz="0" w:space="0" w:color="auto"/>
        <w:right w:val="none" w:sz="0" w:space="0" w:color="auto"/>
      </w:divBdr>
    </w:div>
    <w:div w:id="1286305604">
      <w:marLeft w:val="0"/>
      <w:marRight w:val="0"/>
      <w:marTop w:val="0"/>
      <w:marBottom w:val="0"/>
      <w:divBdr>
        <w:top w:val="none" w:sz="0" w:space="0" w:color="auto"/>
        <w:left w:val="none" w:sz="0" w:space="0" w:color="auto"/>
        <w:bottom w:val="none" w:sz="0" w:space="0" w:color="auto"/>
        <w:right w:val="none" w:sz="0" w:space="0" w:color="auto"/>
      </w:divBdr>
    </w:div>
    <w:div w:id="1288394603">
      <w:marLeft w:val="0"/>
      <w:marRight w:val="0"/>
      <w:marTop w:val="0"/>
      <w:marBottom w:val="0"/>
      <w:divBdr>
        <w:top w:val="none" w:sz="0" w:space="0" w:color="auto"/>
        <w:left w:val="none" w:sz="0" w:space="0" w:color="auto"/>
        <w:bottom w:val="none" w:sz="0" w:space="0" w:color="auto"/>
        <w:right w:val="none" w:sz="0" w:space="0" w:color="auto"/>
      </w:divBdr>
      <w:divsChild>
        <w:div w:id="1982154654">
          <w:marLeft w:val="0"/>
          <w:marRight w:val="0"/>
          <w:marTop w:val="0"/>
          <w:marBottom w:val="0"/>
          <w:divBdr>
            <w:top w:val="none" w:sz="0" w:space="0" w:color="auto"/>
            <w:left w:val="none" w:sz="0" w:space="0" w:color="auto"/>
            <w:bottom w:val="none" w:sz="0" w:space="0" w:color="auto"/>
            <w:right w:val="none" w:sz="0" w:space="0" w:color="auto"/>
          </w:divBdr>
        </w:div>
        <w:div w:id="609120683">
          <w:marLeft w:val="0"/>
          <w:marRight w:val="0"/>
          <w:marTop w:val="0"/>
          <w:marBottom w:val="0"/>
          <w:divBdr>
            <w:top w:val="none" w:sz="0" w:space="0" w:color="auto"/>
            <w:left w:val="none" w:sz="0" w:space="0" w:color="auto"/>
            <w:bottom w:val="none" w:sz="0" w:space="0" w:color="auto"/>
            <w:right w:val="none" w:sz="0" w:space="0" w:color="auto"/>
          </w:divBdr>
        </w:div>
      </w:divsChild>
    </w:div>
    <w:div w:id="1288849754">
      <w:marLeft w:val="0"/>
      <w:marRight w:val="0"/>
      <w:marTop w:val="0"/>
      <w:marBottom w:val="180"/>
      <w:divBdr>
        <w:top w:val="none" w:sz="0" w:space="0" w:color="auto"/>
        <w:left w:val="none" w:sz="0" w:space="0" w:color="auto"/>
        <w:bottom w:val="none" w:sz="0" w:space="0" w:color="auto"/>
        <w:right w:val="none" w:sz="0" w:space="0" w:color="auto"/>
      </w:divBdr>
    </w:div>
    <w:div w:id="1289970724">
      <w:marLeft w:val="0"/>
      <w:marRight w:val="0"/>
      <w:marTop w:val="0"/>
      <w:marBottom w:val="240"/>
      <w:divBdr>
        <w:top w:val="none" w:sz="0" w:space="0" w:color="auto"/>
        <w:left w:val="none" w:sz="0" w:space="0" w:color="auto"/>
        <w:bottom w:val="none" w:sz="0" w:space="0" w:color="auto"/>
        <w:right w:val="none" w:sz="0" w:space="0" w:color="auto"/>
      </w:divBdr>
    </w:div>
    <w:div w:id="1290936270">
      <w:marLeft w:val="0"/>
      <w:marRight w:val="0"/>
      <w:marTop w:val="100"/>
      <w:marBottom w:val="0"/>
      <w:divBdr>
        <w:top w:val="none" w:sz="0" w:space="0" w:color="auto"/>
        <w:left w:val="none" w:sz="0" w:space="0" w:color="auto"/>
        <w:bottom w:val="none" w:sz="0" w:space="0" w:color="auto"/>
        <w:right w:val="none" w:sz="0" w:space="0" w:color="auto"/>
      </w:divBdr>
      <w:divsChild>
        <w:div w:id="1858544886">
          <w:marLeft w:val="0"/>
          <w:marRight w:val="0"/>
          <w:marTop w:val="0"/>
          <w:marBottom w:val="0"/>
          <w:divBdr>
            <w:top w:val="none" w:sz="0" w:space="0" w:color="auto"/>
            <w:left w:val="none" w:sz="0" w:space="0" w:color="auto"/>
            <w:bottom w:val="none" w:sz="0" w:space="0" w:color="auto"/>
            <w:right w:val="none" w:sz="0" w:space="0" w:color="auto"/>
          </w:divBdr>
        </w:div>
        <w:div w:id="2040935915">
          <w:marLeft w:val="0"/>
          <w:marRight w:val="0"/>
          <w:marTop w:val="0"/>
          <w:marBottom w:val="0"/>
          <w:divBdr>
            <w:top w:val="none" w:sz="0" w:space="0" w:color="auto"/>
            <w:left w:val="none" w:sz="0" w:space="0" w:color="auto"/>
            <w:bottom w:val="none" w:sz="0" w:space="0" w:color="auto"/>
            <w:right w:val="none" w:sz="0" w:space="0" w:color="auto"/>
          </w:divBdr>
        </w:div>
        <w:div w:id="577249161">
          <w:marLeft w:val="0"/>
          <w:marRight w:val="0"/>
          <w:marTop w:val="0"/>
          <w:marBottom w:val="0"/>
          <w:divBdr>
            <w:top w:val="none" w:sz="0" w:space="0" w:color="auto"/>
            <w:left w:val="none" w:sz="0" w:space="0" w:color="auto"/>
            <w:bottom w:val="none" w:sz="0" w:space="0" w:color="auto"/>
            <w:right w:val="none" w:sz="0" w:space="0" w:color="auto"/>
          </w:divBdr>
        </w:div>
        <w:div w:id="1555964285">
          <w:marLeft w:val="0"/>
          <w:marRight w:val="0"/>
          <w:marTop w:val="0"/>
          <w:marBottom w:val="0"/>
          <w:divBdr>
            <w:top w:val="none" w:sz="0" w:space="0" w:color="auto"/>
            <w:left w:val="none" w:sz="0" w:space="0" w:color="auto"/>
            <w:bottom w:val="none" w:sz="0" w:space="0" w:color="auto"/>
            <w:right w:val="none" w:sz="0" w:space="0" w:color="auto"/>
          </w:divBdr>
        </w:div>
        <w:div w:id="1446995132">
          <w:marLeft w:val="0"/>
          <w:marRight w:val="0"/>
          <w:marTop w:val="0"/>
          <w:marBottom w:val="0"/>
          <w:divBdr>
            <w:top w:val="none" w:sz="0" w:space="0" w:color="auto"/>
            <w:left w:val="none" w:sz="0" w:space="0" w:color="auto"/>
            <w:bottom w:val="none" w:sz="0" w:space="0" w:color="auto"/>
            <w:right w:val="none" w:sz="0" w:space="0" w:color="auto"/>
          </w:divBdr>
        </w:div>
        <w:div w:id="634218641">
          <w:marLeft w:val="0"/>
          <w:marRight w:val="0"/>
          <w:marTop w:val="0"/>
          <w:marBottom w:val="0"/>
          <w:divBdr>
            <w:top w:val="none" w:sz="0" w:space="0" w:color="auto"/>
            <w:left w:val="none" w:sz="0" w:space="0" w:color="auto"/>
            <w:bottom w:val="none" w:sz="0" w:space="0" w:color="auto"/>
            <w:right w:val="none" w:sz="0" w:space="0" w:color="auto"/>
          </w:divBdr>
        </w:div>
        <w:div w:id="806166650">
          <w:marLeft w:val="0"/>
          <w:marRight w:val="0"/>
          <w:marTop w:val="0"/>
          <w:marBottom w:val="0"/>
          <w:divBdr>
            <w:top w:val="none" w:sz="0" w:space="0" w:color="auto"/>
            <w:left w:val="none" w:sz="0" w:space="0" w:color="auto"/>
            <w:bottom w:val="none" w:sz="0" w:space="0" w:color="auto"/>
            <w:right w:val="none" w:sz="0" w:space="0" w:color="auto"/>
          </w:divBdr>
        </w:div>
        <w:div w:id="1822696669">
          <w:marLeft w:val="0"/>
          <w:marRight w:val="0"/>
          <w:marTop w:val="0"/>
          <w:marBottom w:val="0"/>
          <w:divBdr>
            <w:top w:val="none" w:sz="0" w:space="0" w:color="auto"/>
            <w:left w:val="none" w:sz="0" w:space="0" w:color="auto"/>
            <w:bottom w:val="none" w:sz="0" w:space="0" w:color="auto"/>
            <w:right w:val="none" w:sz="0" w:space="0" w:color="auto"/>
          </w:divBdr>
        </w:div>
        <w:div w:id="853153840">
          <w:marLeft w:val="0"/>
          <w:marRight w:val="0"/>
          <w:marTop w:val="0"/>
          <w:marBottom w:val="0"/>
          <w:divBdr>
            <w:top w:val="none" w:sz="0" w:space="0" w:color="auto"/>
            <w:left w:val="none" w:sz="0" w:space="0" w:color="auto"/>
            <w:bottom w:val="none" w:sz="0" w:space="0" w:color="auto"/>
            <w:right w:val="none" w:sz="0" w:space="0" w:color="auto"/>
          </w:divBdr>
        </w:div>
        <w:div w:id="1942253267">
          <w:marLeft w:val="0"/>
          <w:marRight w:val="0"/>
          <w:marTop w:val="0"/>
          <w:marBottom w:val="0"/>
          <w:divBdr>
            <w:top w:val="none" w:sz="0" w:space="0" w:color="auto"/>
            <w:left w:val="none" w:sz="0" w:space="0" w:color="auto"/>
            <w:bottom w:val="none" w:sz="0" w:space="0" w:color="auto"/>
            <w:right w:val="none" w:sz="0" w:space="0" w:color="auto"/>
          </w:divBdr>
        </w:div>
        <w:div w:id="1314211534">
          <w:marLeft w:val="0"/>
          <w:marRight w:val="0"/>
          <w:marTop w:val="0"/>
          <w:marBottom w:val="0"/>
          <w:divBdr>
            <w:top w:val="none" w:sz="0" w:space="0" w:color="auto"/>
            <w:left w:val="none" w:sz="0" w:space="0" w:color="auto"/>
            <w:bottom w:val="none" w:sz="0" w:space="0" w:color="auto"/>
            <w:right w:val="none" w:sz="0" w:space="0" w:color="auto"/>
          </w:divBdr>
        </w:div>
        <w:div w:id="1720201775">
          <w:marLeft w:val="0"/>
          <w:marRight w:val="0"/>
          <w:marTop w:val="0"/>
          <w:marBottom w:val="0"/>
          <w:divBdr>
            <w:top w:val="none" w:sz="0" w:space="0" w:color="auto"/>
            <w:left w:val="none" w:sz="0" w:space="0" w:color="auto"/>
            <w:bottom w:val="none" w:sz="0" w:space="0" w:color="auto"/>
            <w:right w:val="none" w:sz="0" w:space="0" w:color="auto"/>
          </w:divBdr>
        </w:div>
        <w:div w:id="1261178214">
          <w:marLeft w:val="0"/>
          <w:marRight w:val="0"/>
          <w:marTop w:val="0"/>
          <w:marBottom w:val="0"/>
          <w:divBdr>
            <w:top w:val="none" w:sz="0" w:space="0" w:color="auto"/>
            <w:left w:val="none" w:sz="0" w:space="0" w:color="auto"/>
            <w:bottom w:val="none" w:sz="0" w:space="0" w:color="auto"/>
            <w:right w:val="none" w:sz="0" w:space="0" w:color="auto"/>
          </w:divBdr>
        </w:div>
        <w:div w:id="371729453">
          <w:marLeft w:val="0"/>
          <w:marRight w:val="0"/>
          <w:marTop w:val="0"/>
          <w:marBottom w:val="0"/>
          <w:divBdr>
            <w:top w:val="none" w:sz="0" w:space="0" w:color="auto"/>
            <w:left w:val="none" w:sz="0" w:space="0" w:color="auto"/>
            <w:bottom w:val="none" w:sz="0" w:space="0" w:color="auto"/>
            <w:right w:val="none" w:sz="0" w:space="0" w:color="auto"/>
          </w:divBdr>
        </w:div>
        <w:div w:id="1974943093">
          <w:marLeft w:val="0"/>
          <w:marRight w:val="0"/>
          <w:marTop w:val="0"/>
          <w:marBottom w:val="0"/>
          <w:divBdr>
            <w:top w:val="none" w:sz="0" w:space="0" w:color="auto"/>
            <w:left w:val="none" w:sz="0" w:space="0" w:color="auto"/>
            <w:bottom w:val="none" w:sz="0" w:space="0" w:color="auto"/>
            <w:right w:val="none" w:sz="0" w:space="0" w:color="auto"/>
          </w:divBdr>
        </w:div>
        <w:div w:id="1260329191">
          <w:marLeft w:val="0"/>
          <w:marRight w:val="0"/>
          <w:marTop w:val="0"/>
          <w:marBottom w:val="0"/>
          <w:divBdr>
            <w:top w:val="none" w:sz="0" w:space="0" w:color="auto"/>
            <w:left w:val="none" w:sz="0" w:space="0" w:color="auto"/>
            <w:bottom w:val="none" w:sz="0" w:space="0" w:color="auto"/>
            <w:right w:val="none" w:sz="0" w:space="0" w:color="auto"/>
          </w:divBdr>
        </w:div>
        <w:div w:id="1832062655">
          <w:marLeft w:val="0"/>
          <w:marRight w:val="0"/>
          <w:marTop w:val="0"/>
          <w:marBottom w:val="0"/>
          <w:divBdr>
            <w:top w:val="none" w:sz="0" w:space="0" w:color="auto"/>
            <w:left w:val="none" w:sz="0" w:space="0" w:color="auto"/>
            <w:bottom w:val="none" w:sz="0" w:space="0" w:color="auto"/>
            <w:right w:val="none" w:sz="0" w:space="0" w:color="auto"/>
          </w:divBdr>
        </w:div>
        <w:div w:id="1034968006">
          <w:marLeft w:val="0"/>
          <w:marRight w:val="0"/>
          <w:marTop w:val="0"/>
          <w:marBottom w:val="0"/>
          <w:divBdr>
            <w:top w:val="none" w:sz="0" w:space="0" w:color="auto"/>
            <w:left w:val="none" w:sz="0" w:space="0" w:color="auto"/>
            <w:bottom w:val="none" w:sz="0" w:space="0" w:color="auto"/>
            <w:right w:val="none" w:sz="0" w:space="0" w:color="auto"/>
          </w:divBdr>
        </w:div>
        <w:div w:id="1687364164">
          <w:marLeft w:val="0"/>
          <w:marRight w:val="0"/>
          <w:marTop w:val="0"/>
          <w:marBottom w:val="0"/>
          <w:divBdr>
            <w:top w:val="none" w:sz="0" w:space="0" w:color="auto"/>
            <w:left w:val="none" w:sz="0" w:space="0" w:color="auto"/>
            <w:bottom w:val="none" w:sz="0" w:space="0" w:color="auto"/>
            <w:right w:val="none" w:sz="0" w:space="0" w:color="auto"/>
          </w:divBdr>
        </w:div>
        <w:div w:id="358776149">
          <w:marLeft w:val="0"/>
          <w:marRight w:val="0"/>
          <w:marTop w:val="0"/>
          <w:marBottom w:val="0"/>
          <w:divBdr>
            <w:top w:val="none" w:sz="0" w:space="0" w:color="auto"/>
            <w:left w:val="none" w:sz="0" w:space="0" w:color="auto"/>
            <w:bottom w:val="none" w:sz="0" w:space="0" w:color="auto"/>
            <w:right w:val="none" w:sz="0" w:space="0" w:color="auto"/>
          </w:divBdr>
        </w:div>
        <w:div w:id="1387728448">
          <w:marLeft w:val="0"/>
          <w:marRight w:val="0"/>
          <w:marTop w:val="0"/>
          <w:marBottom w:val="0"/>
          <w:divBdr>
            <w:top w:val="none" w:sz="0" w:space="0" w:color="auto"/>
            <w:left w:val="none" w:sz="0" w:space="0" w:color="auto"/>
            <w:bottom w:val="none" w:sz="0" w:space="0" w:color="auto"/>
            <w:right w:val="none" w:sz="0" w:space="0" w:color="auto"/>
          </w:divBdr>
        </w:div>
        <w:div w:id="681929970">
          <w:marLeft w:val="0"/>
          <w:marRight w:val="0"/>
          <w:marTop w:val="0"/>
          <w:marBottom w:val="0"/>
          <w:divBdr>
            <w:top w:val="none" w:sz="0" w:space="0" w:color="auto"/>
            <w:left w:val="none" w:sz="0" w:space="0" w:color="auto"/>
            <w:bottom w:val="none" w:sz="0" w:space="0" w:color="auto"/>
            <w:right w:val="none" w:sz="0" w:space="0" w:color="auto"/>
          </w:divBdr>
        </w:div>
        <w:div w:id="604315253">
          <w:marLeft w:val="0"/>
          <w:marRight w:val="0"/>
          <w:marTop w:val="0"/>
          <w:marBottom w:val="0"/>
          <w:divBdr>
            <w:top w:val="none" w:sz="0" w:space="0" w:color="auto"/>
            <w:left w:val="none" w:sz="0" w:space="0" w:color="auto"/>
            <w:bottom w:val="none" w:sz="0" w:space="0" w:color="auto"/>
            <w:right w:val="none" w:sz="0" w:space="0" w:color="auto"/>
          </w:divBdr>
        </w:div>
        <w:div w:id="1818766105">
          <w:marLeft w:val="0"/>
          <w:marRight w:val="0"/>
          <w:marTop w:val="0"/>
          <w:marBottom w:val="0"/>
          <w:divBdr>
            <w:top w:val="none" w:sz="0" w:space="0" w:color="auto"/>
            <w:left w:val="none" w:sz="0" w:space="0" w:color="auto"/>
            <w:bottom w:val="none" w:sz="0" w:space="0" w:color="auto"/>
            <w:right w:val="none" w:sz="0" w:space="0" w:color="auto"/>
          </w:divBdr>
        </w:div>
        <w:div w:id="86511433">
          <w:marLeft w:val="0"/>
          <w:marRight w:val="0"/>
          <w:marTop w:val="0"/>
          <w:marBottom w:val="0"/>
          <w:divBdr>
            <w:top w:val="none" w:sz="0" w:space="0" w:color="auto"/>
            <w:left w:val="none" w:sz="0" w:space="0" w:color="auto"/>
            <w:bottom w:val="none" w:sz="0" w:space="0" w:color="auto"/>
            <w:right w:val="none" w:sz="0" w:space="0" w:color="auto"/>
          </w:divBdr>
        </w:div>
        <w:div w:id="39090595">
          <w:marLeft w:val="0"/>
          <w:marRight w:val="0"/>
          <w:marTop w:val="0"/>
          <w:marBottom w:val="0"/>
          <w:divBdr>
            <w:top w:val="none" w:sz="0" w:space="0" w:color="auto"/>
            <w:left w:val="none" w:sz="0" w:space="0" w:color="auto"/>
            <w:bottom w:val="none" w:sz="0" w:space="0" w:color="auto"/>
            <w:right w:val="none" w:sz="0" w:space="0" w:color="auto"/>
          </w:divBdr>
        </w:div>
        <w:div w:id="667867">
          <w:marLeft w:val="0"/>
          <w:marRight w:val="0"/>
          <w:marTop w:val="0"/>
          <w:marBottom w:val="0"/>
          <w:divBdr>
            <w:top w:val="none" w:sz="0" w:space="0" w:color="auto"/>
            <w:left w:val="none" w:sz="0" w:space="0" w:color="auto"/>
            <w:bottom w:val="none" w:sz="0" w:space="0" w:color="auto"/>
            <w:right w:val="none" w:sz="0" w:space="0" w:color="auto"/>
          </w:divBdr>
        </w:div>
        <w:div w:id="1230965685">
          <w:marLeft w:val="0"/>
          <w:marRight w:val="0"/>
          <w:marTop w:val="0"/>
          <w:marBottom w:val="0"/>
          <w:divBdr>
            <w:top w:val="none" w:sz="0" w:space="0" w:color="auto"/>
            <w:left w:val="none" w:sz="0" w:space="0" w:color="auto"/>
            <w:bottom w:val="none" w:sz="0" w:space="0" w:color="auto"/>
            <w:right w:val="none" w:sz="0" w:space="0" w:color="auto"/>
          </w:divBdr>
        </w:div>
        <w:div w:id="453059099">
          <w:marLeft w:val="0"/>
          <w:marRight w:val="0"/>
          <w:marTop w:val="0"/>
          <w:marBottom w:val="0"/>
          <w:divBdr>
            <w:top w:val="none" w:sz="0" w:space="0" w:color="auto"/>
            <w:left w:val="none" w:sz="0" w:space="0" w:color="auto"/>
            <w:bottom w:val="none" w:sz="0" w:space="0" w:color="auto"/>
            <w:right w:val="none" w:sz="0" w:space="0" w:color="auto"/>
          </w:divBdr>
        </w:div>
        <w:div w:id="1785415202">
          <w:marLeft w:val="0"/>
          <w:marRight w:val="0"/>
          <w:marTop w:val="0"/>
          <w:marBottom w:val="0"/>
          <w:divBdr>
            <w:top w:val="none" w:sz="0" w:space="0" w:color="auto"/>
            <w:left w:val="none" w:sz="0" w:space="0" w:color="auto"/>
            <w:bottom w:val="none" w:sz="0" w:space="0" w:color="auto"/>
            <w:right w:val="none" w:sz="0" w:space="0" w:color="auto"/>
          </w:divBdr>
        </w:div>
        <w:div w:id="484316584">
          <w:marLeft w:val="0"/>
          <w:marRight w:val="0"/>
          <w:marTop w:val="0"/>
          <w:marBottom w:val="0"/>
          <w:divBdr>
            <w:top w:val="none" w:sz="0" w:space="0" w:color="auto"/>
            <w:left w:val="none" w:sz="0" w:space="0" w:color="auto"/>
            <w:bottom w:val="none" w:sz="0" w:space="0" w:color="auto"/>
            <w:right w:val="none" w:sz="0" w:space="0" w:color="auto"/>
          </w:divBdr>
        </w:div>
        <w:div w:id="1550844999">
          <w:marLeft w:val="0"/>
          <w:marRight w:val="0"/>
          <w:marTop w:val="0"/>
          <w:marBottom w:val="0"/>
          <w:divBdr>
            <w:top w:val="none" w:sz="0" w:space="0" w:color="auto"/>
            <w:left w:val="none" w:sz="0" w:space="0" w:color="auto"/>
            <w:bottom w:val="none" w:sz="0" w:space="0" w:color="auto"/>
            <w:right w:val="none" w:sz="0" w:space="0" w:color="auto"/>
          </w:divBdr>
        </w:div>
        <w:div w:id="641234287">
          <w:marLeft w:val="0"/>
          <w:marRight w:val="0"/>
          <w:marTop w:val="0"/>
          <w:marBottom w:val="0"/>
          <w:divBdr>
            <w:top w:val="none" w:sz="0" w:space="0" w:color="auto"/>
            <w:left w:val="none" w:sz="0" w:space="0" w:color="auto"/>
            <w:bottom w:val="none" w:sz="0" w:space="0" w:color="auto"/>
            <w:right w:val="none" w:sz="0" w:space="0" w:color="auto"/>
          </w:divBdr>
        </w:div>
        <w:div w:id="1273855201">
          <w:marLeft w:val="0"/>
          <w:marRight w:val="0"/>
          <w:marTop w:val="0"/>
          <w:marBottom w:val="0"/>
          <w:divBdr>
            <w:top w:val="none" w:sz="0" w:space="0" w:color="auto"/>
            <w:left w:val="none" w:sz="0" w:space="0" w:color="auto"/>
            <w:bottom w:val="none" w:sz="0" w:space="0" w:color="auto"/>
            <w:right w:val="none" w:sz="0" w:space="0" w:color="auto"/>
          </w:divBdr>
        </w:div>
        <w:div w:id="1994094018">
          <w:marLeft w:val="0"/>
          <w:marRight w:val="0"/>
          <w:marTop w:val="0"/>
          <w:marBottom w:val="0"/>
          <w:divBdr>
            <w:top w:val="none" w:sz="0" w:space="0" w:color="auto"/>
            <w:left w:val="none" w:sz="0" w:space="0" w:color="auto"/>
            <w:bottom w:val="none" w:sz="0" w:space="0" w:color="auto"/>
            <w:right w:val="none" w:sz="0" w:space="0" w:color="auto"/>
          </w:divBdr>
        </w:div>
        <w:div w:id="1063719987">
          <w:marLeft w:val="0"/>
          <w:marRight w:val="0"/>
          <w:marTop w:val="0"/>
          <w:marBottom w:val="0"/>
          <w:divBdr>
            <w:top w:val="none" w:sz="0" w:space="0" w:color="auto"/>
            <w:left w:val="none" w:sz="0" w:space="0" w:color="auto"/>
            <w:bottom w:val="none" w:sz="0" w:space="0" w:color="auto"/>
            <w:right w:val="none" w:sz="0" w:space="0" w:color="auto"/>
          </w:divBdr>
        </w:div>
        <w:div w:id="1931311192">
          <w:marLeft w:val="0"/>
          <w:marRight w:val="0"/>
          <w:marTop w:val="0"/>
          <w:marBottom w:val="0"/>
          <w:divBdr>
            <w:top w:val="none" w:sz="0" w:space="0" w:color="auto"/>
            <w:left w:val="none" w:sz="0" w:space="0" w:color="auto"/>
            <w:bottom w:val="none" w:sz="0" w:space="0" w:color="auto"/>
            <w:right w:val="none" w:sz="0" w:space="0" w:color="auto"/>
          </w:divBdr>
        </w:div>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sChild>
    </w:div>
    <w:div w:id="1292058258">
      <w:marLeft w:val="0"/>
      <w:marRight w:val="0"/>
      <w:marTop w:val="0"/>
      <w:marBottom w:val="0"/>
      <w:divBdr>
        <w:top w:val="none" w:sz="0" w:space="0" w:color="auto"/>
        <w:left w:val="none" w:sz="0" w:space="0" w:color="auto"/>
        <w:bottom w:val="none" w:sz="0" w:space="0" w:color="auto"/>
        <w:right w:val="none" w:sz="0" w:space="0" w:color="auto"/>
      </w:divBdr>
    </w:div>
    <w:div w:id="1296444640">
      <w:marLeft w:val="0"/>
      <w:marRight w:val="0"/>
      <w:marTop w:val="0"/>
      <w:marBottom w:val="240"/>
      <w:divBdr>
        <w:top w:val="none" w:sz="0" w:space="0" w:color="auto"/>
        <w:left w:val="none" w:sz="0" w:space="0" w:color="auto"/>
        <w:bottom w:val="none" w:sz="0" w:space="0" w:color="auto"/>
        <w:right w:val="none" w:sz="0" w:space="0" w:color="auto"/>
      </w:divBdr>
    </w:div>
    <w:div w:id="1296793219">
      <w:marLeft w:val="0"/>
      <w:marRight w:val="0"/>
      <w:marTop w:val="0"/>
      <w:marBottom w:val="0"/>
      <w:divBdr>
        <w:top w:val="none" w:sz="0" w:space="0" w:color="auto"/>
        <w:left w:val="none" w:sz="0" w:space="0" w:color="auto"/>
        <w:bottom w:val="none" w:sz="0" w:space="0" w:color="auto"/>
        <w:right w:val="none" w:sz="0" w:space="0" w:color="auto"/>
      </w:divBdr>
      <w:divsChild>
        <w:div w:id="627974503">
          <w:marLeft w:val="0"/>
          <w:marRight w:val="0"/>
          <w:marTop w:val="0"/>
          <w:marBottom w:val="0"/>
          <w:divBdr>
            <w:top w:val="none" w:sz="0" w:space="0" w:color="auto"/>
            <w:left w:val="none" w:sz="0" w:space="0" w:color="auto"/>
            <w:bottom w:val="none" w:sz="0" w:space="0" w:color="auto"/>
            <w:right w:val="none" w:sz="0" w:space="0" w:color="auto"/>
          </w:divBdr>
        </w:div>
        <w:div w:id="1849900545">
          <w:marLeft w:val="0"/>
          <w:marRight w:val="0"/>
          <w:marTop w:val="0"/>
          <w:marBottom w:val="0"/>
          <w:divBdr>
            <w:top w:val="none" w:sz="0" w:space="0" w:color="auto"/>
            <w:left w:val="none" w:sz="0" w:space="0" w:color="auto"/>
            <w:bottom w:val="none" w:sz="0" w:space="0" w:color="auto"/>
            <w:right w:val="none" w:sz="0" w:space="0" w:color="auto"/>
          </w:divBdr>
        </w:div>
      </w:divsChild>
    </w:div>
    <w:div w:id="1297953163">
      <w:marLeft w:val="0"/>
      <w:marRight w:val="0"/>
      <w:marTop w:val="0"/>
      <w:marBottom w:val="240"/>
      <w:divBdr>
        <w:top w:val="none" w:sz="0" w:space="0" w:color="auto"/>
        <w:left w:val="none" w:sz="0" w:space="0" w:color="auto"/>
        <w:bottom w:val="none" w:sz="0" w:space="0" w:color="auto"/>
        <w:right w:val="none" w:sz="0" w:space="0" w:color="auto"/>
      </w:divBdr>
    </w:div>
    <w:div w:id="1299997212">
      <w:marLeft w:val="0"/>
      <w:marRight w:val="0"/>
      <w:marTop w:val="0"/>
      <w:marBottom w:val="0"/>
      <w:divBdr>
        <w:top w:val="none" w:sz="0" w:space="0" w:color="auto"/>
        <w:left w:val="none" w:sz="0" w:space="0" w:color="auto"/>
        <w:bottom w:val="none" w:sz="0" w:space="0" w:color="auto"/>
        <w:right w:val="none" w:sz="0" w:space="0" w:color="auto"/>
      </w:divBdr>
    </w:div>
    <w:div w:id="1301963447">
      <w:marLeft w:val="0"/>
      <w:marRight w:val="0"/>
      <w:marTop w:val="60"/>
      <w:marBottom w:val="120"/>
      <w:divBdr>
        <w:top w:val="none" w:sz="0" w:space="0" w:color="auto"/>
        <w:left w:val="none" w:sz="0" w:space="0" w:color="auto"/>
        <w:bottom w:val="none" w:sz="0" w:space="0" w:color="auto"/>
        <w:right w:val="none" w:sz="0" w:space="0" w:color="auto"/>
      </w:divBdr>
    </w:div>
    <w:div w:id="1304236309">
      <w:marLeft w:val="0"/>
      <w:marRight w:val="0"/>
      <w:marTop w:val="0"/>
      <w:marBottom w:val="240"/>
      <w:divBdr>
        <w:top w:val="none" w:sz="0" w:space="0" w:color="auto"/>
        <w:left w:val="none" w:sz="0" w:space="0" w:color="auto"/>
        <w:bottom w:val="none" w:sz="0" w:space="0" w:color="auto"/>
        <w:right w:val="none" w:sz="0" w:space="0" w:color="auto"/>
      </w:divBdr>
    </w:div>
    <w:div w:id="1304626175">
      <w:marLeft w:val="0"/>
      <w:marRight w:val="0"/>
      <w:marTop w:val="0"/>
      <w:marBottom w:val="180"/>
      <w:divBdr>
        <w:top w:val="none" w:sz="0" w:space="0" w:color="auto"/>
        <w:left w:val="none" w:sz="0" w:space="0" w:color="auto"/>
        <w:bottom w:val="none" w:sz="0" w:space="0" w:color="auto"/>
        <w:right w:val="none" w:sz="0" w:space="0" w:color="auto"/>
      </w:divBdr>
    </w:div>
    <w:div w:id="1307197351">
      <w:marLeft w:val="0"/>
      <w:marRight w:val="0"/>
      <w:marTop w:val="60"/>
      <w:marBottom w:val="0"/>
      <w:divBdr>
        <w:top w:val="none" w:sz="0" w:space="0" w:color="auto"/>
        <w:left w:val="none" w:sz="0" w:space="0" w:color="auto"/>
        <w:bottom w:val="none" w:sz="0" w:space="0" w:color="auto"/>
        <w:right w:val="none" w:sz="0" w:space="0" w:color="auto"/>
      </w:divBdr>
    </w:div>
    <w:div w:id="1307734160">
      <w:marLeft w:val="0"/>
      <w:marRight w:val="0"/>
      <w:marTop w:val="0"/>
      <w:marBottom w:val="0"/>
      <w:divBdr>
        <w:top w:val="none" w:sz="0" w:space="0" w:color="auto"/>
        <w:left w:val="none" w:sz="0" w:space="0" w:color="auto"/>
        <w:bottom w:val="none" w:sz="0" w:space="0" w:color="auto"/>
        <w:right w:val="none" w:sz="0" w:space="0" w:color="auto"/>
      </w:divBdr>
    </w:div>
    <w:div w:id="1307928942">
      <w:marLeft w:val="0"/>
      <w:marRight w:val="0"/>
      <w:marTop w:val="0"/>
      <w:marBottom w:val="0"/>
      <w:divBdr>
        <w:top w:val="none" w:sz="0" w:space="0" w:color="auto"/>
        <w:left w:val="none" w:sz="0" w:space="0" w:color="auto"/>
        <w:bottom w:val="none" w:sz="0" w:space="0" w:color="auto"/>
        <w:right w:val="none" w:sz="0" w:space="0" w:color="auto"/>
      </w:divBdr>
    </w:div>
    <w:div w:id="1308052012">
      <w:marLeft w:val="0"/>
      <w:marRight w:val="0"/>
      <w:marTop w:val="0"/>
      <w:marBottom w:val="0"/>
      <w:divBdr>
        <w:top w:val="none" w:sz="0" w:space="0" w:color="auto"/>
        <w:left w:val="none" w:sz="0" w:space="0" w:color="auto"/>
        <w:bottom w:val="none" w:sz="0" w:space="0" w:color="auto"/>
        <w:right w:val="none" w:sz="0" w:space="0" w:color="auto"/>
      </w:divBdr>
      <w:divsChild>
        <w:div w:id="1620840899">
          <w:marLeft w:val="0"/>
          <w:marRight w:val="0"/>
          <w:marTop w:val="0"/>
          <w:marBottom w:val="0"/>
          <w:divBdr>
            <w:top w:val="none" w:sz="0" w:space="0" w:color="auto"/>
            <w:left w:val="none" w:sz="0" w:space="0" w:color="auto"/>
            <w:bottom w:val="none" w:sz="0" w:space="0" w:color="auto"/>
            <w:right w:val="none" w:sz="0" w:space="0" w:color="auto"/>
          </w:divBdr>
        </w:div>
        <w:div w:id="1767385516">
          <w:marLeft w:val="0"/>
          <w:marRight w:val="0"/>
          <w:marTop w:val="0"/>
          <w:marBottom w:val="0"/>
          <w:divBdr>
            <w:top w:val="none" w:sz="0" w:space="0" w:color="auto"/>
            <w:left w:val="none" w:sz="0" w:space="0" w:color="auto"/>
            <w:bottom w:val="none" w:sz="0" w:space="0" w:color="auto"/>
            <w:right w:val="none" w:sz="0" w:space="0" w:color="auto"/>
          </w:divBdr>
        </w:div>
      </w:divsChild>
    </w:div>
    <w:div w:id="1312369472">
      <w:marLeft w:val="0"/>
      <w:marRight w:val="0"/>
      <w:marTop w:val="0"/>
      <w:marBottom w:val="0"/>
      <w:divBdr>
        <w:top w:val="none" w:sz="0" w:space="0" w:color="auto"/>
        <w:left w:val="none" w:sz="0" w:space="0" w:color="auto"/>
        <w:bottom w:val="none" w:sz="0" w:space="0" w:color="auto"/>
        <w:right w:val="none" w:sz="0" w:space="0" w:color="auto"/>
      </w:divBdr>
      <w:divsChild>
        <w:div w:id="892619706">
          <w:marLeft w:val="0"/>
          <w:marRight w:val="0"/>
          <w:marTop w:val="0"/>
          <w:marBottom w:val="0"/>
          <w:divBdr>
            <w:top w:val="none" w:sz="0" w:space="0" w:color="auto"/>
            <w:left w:val="none" w:sz="0" w:space="0" w:color="auto"/>
            <w:bottom w:val="none" w:sz="0" w:space="0" w:color="auto"/>
            <w:right w:val="none" w:sz="0" w:space="0" w:color="auto"/>
          </w:divBdr>
          <w:divsChild>
            <w:div w:id="8408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391">
      <w:marLeft w:val="0"/>
      <w:marRight w:val="0"/>
      <w:marTop w:val="0"/>
      <w:marBottom w:val="0"/>
      <w:divBdr>
        <w:top w:val="none" w:sz="0" w:space="0" w:color="auto"/>
        <w:left w:val="none" w:sz="0" w:space="0" w:color="auto"/>
        <w:bottom w:val="none" w:sz="0" w:space="0" w:color="auto"/>
        <w:right w:val="none" w:sz="0" w:space="0" w:color="auto"/>
      </w:divBdr>
    </w:div>
    <w:div w:id="1313220039">
      <w:marLeft w:val="0"/>
      <w:marRight w:val="0"/>
      <w:marTop w:val="0"/>
      <w:marBottom w:val="240"/>
      <w:divBdr>
        <w:top w:val="none" w:sz="0" w:space="0" w:color="auto"/>
        <w:left w:val="none" w:sz="0" w:space="0" w:color="auto"/>
        <w:bottom w:val="none" w:sz="0" w:space="0" w:color="auto"/>
        <w:right w:val="none" w:sz="0" w:space="0" w:color="auto"/>
      </w:divBdr>
    </w:div>
    <w:div w:id="1314481990">
      <w:marLeft w:val="0"/>
      <w:marRight w:val="0"/>
      <w:marTop w:val="0"/>
      <w:marBottom w:val="0"/>
      <w:divBdr>
        <w:top w:val="none" w:sz="0" w:space="0" w:color="auto"/>
        <w:left w:val="none" w:sz="0" w:space="0" w:color="auto"/>
        <w:bottom w:val="none" w:sz="0" w:space="0" w:color="auto"/>
        <w:right w:val="none" w:sz="0" w:space="0" w:color="auto"/>
      </w:divBdr>
      <w:divsChild>
        <w:div w:id="476797515">
          <w:marLeft w:val="0"/>
          <w:marRight w:val="0"/>
          <w:marTop w:val="0"/>
          <w:marBottom w:val="0"/>
          <w:divBdr>
            <w:top w:val="none" w:sz="0" w:space="0" w:color="auto"/>
            <w:left w:val="none" w:sz="0" w:space="0" w:color="auto"/>
            <w:bottom w:val="none" w:sz="0" w:space="0" w:color="auto"/>
            <w:right w:val="none" w:sz="0" w:space="0" w:color="auto"/>
          </w:divBdr>
        </w:div>
        <w:div w:id="175728424">
          <w:marLeft w:val="0"/>
          <w:marRight w:val="0"/>
          <w:marTop w:val="0"/>
          <w:marBottom w:val="0"/>
          <w:divBdr>
            <w:top w:val="none" w:sz="0" w:space="0" w:color="auto"/>
            <w:left w:val="none" w:sz="0" w:space="0" w:color="auto"/>
            <w:bottom w:val="none" w:sz="0" w:space="0" w:color="auto"/>
            <w:right w:val="none" w:sz="0" w:space="0" w:color="auto"/>
          </w:divBdr>
        </w:div>
        <w:div w:id="2112624128">
          <w:marLeft w:val="0"/>
          <w:marRight w:val="0"/>
          <w:marTop w:val="0"/>
          <w:marBottom w:val="0"/>
          <w:divBdr>
            <w:top w:val="none" w:sz="0" w:space="0" w:color="auto"/>
            <w:left w:val="none" w:sz="0" w:space="0" w:color="auto"/>
            <w:bottom w:val="none" w:sz="0" w:space="0" w:color="auto"/>
            <w:right w:val="none" w:sz="0" w:space="0" w:color="auto"/>
          </w:divBdr>
        </w:div>
      </w:divsChild>
    </w:div>
    <w:div w:id="1315375182">
      <w:marLeft w:val="0"/>
      <w:marRight w:val="0"/>
      <w:marTop w:val="0"/>
      <w:marBottom w:val="0"/>
      <w:divBdr>
        <w:top w:val="none" w:sz="0" w:space="0" w:color="auto"/>
        <w:left w:val="none" w:sz="0" w:space="0" w:color="auto"/>
        <w:bottom w:val="none" w:sz="0" w:space="0" w:color="auto"/>
        <w:right w:val="none" w:sz="0" w:space="0" w:color="auto"/>
      </w:divBdr>
    </w:div>
    <w:div w:id="1315451037">
      <w:marLeft w:val="0"/>
      <w:marRight w:val="0"/>
      <w:marTop w:val="120"/>
      <w:marBottom w:val="120"/>
      <w:divBdr>
        <w:top w:val="none" w:sz="0" w:space="0" w:color="auto"/>
        <w:left w:val="none" w:sz="0" w:space="0" w:color="auto"/>
        <w:bottom w:val="none" w:sz="0" w:space="0" w:color="auto"/>
        <w:right w:val="none" w:sz="0" w:space="0" w:color="auto"/>
      </w:divBdr>
    </w:div>
    <w:div w:id="1315833523">
      <w:marLeft w:val="0"/>
      <w:marRight w:val="0"/>
      <w:marTop w:val="0"/>
      <w:marBottom w:val="180"/>
      <w:divBdr>
        <w:top w:val="none" w:sz="0" w:space="0" w:color="auto"/>
        <w:left w:val="none" w:sz="0" w:space="0" w:color="auto"/>
        <w:bottom w:val="none" w:sz="0" w:space="0" w:color="auto"/>
        <w:right w:val="none" w:sz="0" w:space="0" w:color="auto"/>
      </w:divBdr>
    </w:div>
    <w:div w:id="1316104142">
      <w:marLeft w:val="0"/>
      <w:marRight w:val="0"/>
      <w:marTop w:val="0"/>
      <w:marBottom w:val="0"/>
      <w:divBdr>
        <w:top w:val="none" w:sz="0" w:space="0" w:color="auto"/>
        <w:left w:val="none" w:sz="0" w:space="0" w:color="auto"/>
        <w:bottom w:val="none" w:sz="0" w:space="0" w:color="auto"/>
        <w:right w:val="none" w:sz="0" w:space="0" w:color="auto"/>
      </w:divBdr>
      <w:divsChild>
        <w:div w:id="431126929">
          <w:marLeft w:val="0"/>
          <w:marRight w:val="0"/>
          <w:marTop w:val="0"/>
          <w:marBottom w:val="0"/>
          <w:divBdr>
            <w:top w:val="none" w:sz="0" w:space="0" w:color="auto"/>
            <w:left w:val="none" w:sz="0" w:space="0" w:color="auto"/>
            <w:bottom w:val="none" w:sz="0" w:space="0" w:color="auto"/>
            <w:right w:val="none" w:sz="0" w:space="0" w:color="auto"/>
          </w:divBdr>
        </w:div>
      </w:divsChild>
    </w:div>
    <w:div w:id="1316689334">
      <w:marLeft w:val="0"/>
      <w:marRight w:val="0"/>
      <w:marTop w:val="180"/>
      <w:marBottom w:val="180"/>
      <w:divBdr>
        <w:top w:val="none" w:sz="0" w:space="0" w:color="auto"/>
        <w:left w:val="none" w:sz="0" w:space="0" w:color="auto"/>
        <w:bottom w:val="none" w:sz="0" w:space="0" w:color="auto"/>
        <w:right w:val="none" w:sz="0" w:space="0" w:color="auto"/>
      </w:divBdr>
    </w:div>
    <w:div w:id="1319768070">
      <w:marLeft w:val="0"/>
      <w:marRight w:val="0"/>
      <w:marTop w:val="0"/>
      <w:marBottom w:val="240"/>
      <w:divBdr>
        <w:top w:val="none" w:sz="0" w:space="0" w:color="auto"/>
        <w:left w:val="none" w:sz="0" w:space="0" w:color="auto"/>
        <w:bottom w:val="none" w:sz="0" w:space="0" w:color="auto"/>
        <w:right w:val="none" w:sz="0" w:space="0" w:color="auto"/>
      </w:divBdr>
    </w:div>
    <w:div w:id="1320427037">
      <w:marLeft w:val="0"/>
      <w:marRight w:val="0"/>
      <w:marTop w:val="0"/>
      <w:marBottom w:val="240"/>
      <w:divBdr>
        <w:top w:val="none" w:sz="0" w:space="0" w:color="auto"/>
        <w:left w:val="none" w:sz="0" w:space="0" w:color="auto"/>
        <w:bottom w:val="none" w:sz="0" w:space="0" w:color="auto"/>
        <w:right w:val="none" w:sz="0" w:space="0" w:color="auto"/>
      </w:divBdr>
    </w:div>
    <w:div w:id="1321081424">
      <w:marLeft w:val="0"/>
      <w:marRight w:val="0"/>
      <w:marTop w:val="0"/>
      <w:marBottom w:val="0"/>
      <w:divBdr>
        <w:top w:val="none" w:sz="0" w:space="0" w:color="auto"/>
        <w:left w:val="none" w:sz="0" w:space="0" w:color="auto"/>
        <w:bottom w:val="none" w:sz="0" w:space="0" w:color="auto"/>
        <w:right w:val="none" w:sz="0" w:space="0" w:color="auto"/>
      </w:divBdr>
    </w:div>
    <w:div w:id="1321272318">
      <w:marLeft w:val="0"/>
      <w:marRight w:val="0"/>
      <w:marTop w:val="0"/>
      <w:marBottom w:val="180"/>
      <w:divBdr>
        <w:top w:val="none" w:sz="0" w:space="0" w:color="auto"/>
        <w:left w:val="none" w:sz="0" w:space="0" w:color="auto"/>
        <w:bottom w:val="none" w:sz="0" w:space="0" w:color="auto"/>
        <w:right w:val="none" w:sz="0" w:space="0" w:color="auto"/>
      </w:divBdr>
    </w:div>
    <w:div w:id="1321808481">
      <w:marLeft w:val="0"/>
      <w:marRight w:val="0"/>
      <w:marTop w:val="0"/>
      <w:marBottom w:val="0"/>
      <w:divBdr>
        <w:top w:val="none" w:sz="0" w:space="0" w:color="auto"/>
        <w:left w:val="none" w:sz="0" w:space="0" w:color="auto"/>
        <w:bottom w:val="none" w:sz="0" w:space="0" w:color="auto"/>
        <w:right w:val="none" w:sz="0" w:space="0" w:color="auto"/>
      </w:divBdr>
      <w:divsChild>
        <w:div w:id="1089891591">
          <w:marLeft w:val="0"/>
          <w:marRight w:val="0"/>
          <w:marTop w:val="0"/>
          <w:marBottom w:val="0"/>
          <w:divBdr>
            <w:top w:val="none" w:sz="0" w:space="0" w:color="auto"/>
            <w:left w:val="none" w:sz="0" w:space="0" w:color="auto"/>
            <w:bottom w:val="none" w:sz="0" w:space="0" w:color="auto"/>
            <w:right w:val="none" w:sz="0" w:space="0" w:color="auto"/>
          </w:divBdr>
        </w:div>
      </w:divsChild>
    </w:div>
    <w:div w:id="1323771738">
      <w:marLeft w:val="0"/>
      <w:marRight w:val="0"/>
      <w:marTop w:val="0"/>
      <w:marBottom w:val="0"/>
      <w:divBdr>
        <w:top w:val="none" w:sz="0" w:space="0" w:color="auto"/>
        <w:left w:val="none" w:sz="0" w:space="0" w:color="auto"/>
        <w:bottom w:val="none" w:sz="0" w:space="0" w:color="auto"/>
        <w:right w:val="none" w:sz="0" w:space="0" w:color="auto"/>
      </w:divBdr>
    </w:div>
    <w:div w:id="1325088412">
      <w:marLeft w:val="0"/>
      <w:marRight w:val="0"/>
      <w:marTop w:val="0"/>
      <w:marBottom w:val="0"/>
      <w:divBdr>
        <w:top w:val="none" w:sz="0" w:space="0" w:color="auto"/>
        <w:left w:val="none" w:sz="0" w:space="0" w:color="auto"/>
        <w:bottom w:val="none" w:sz="0" w:space="0" w:color="auto"/>
        <w:right w:val="none" w:sz="0" w:space="0" w:color="auto"/>
      </w:divBdr>
      <w:divsChild>
        <w:div w:id="139395431">
          <w:marLeft w:val="0"/>
          <w:marRight w:val="0"/>
          <w:marTop w:val="0"/>
          <w:marBottom w:val="0"/>
          <w:divBdr>
            <w:top w:val="none" w:sz="0" w:space="0" w:color="auto"/>
            <w:left w:val="none" w:sz="0" w:space="0" w:color="auto"/>
            <w:bottom w:val="none" w:sz="0" w:space="0" w:color="auto"/>
            <w:right w:val="none" w:sz="0" w:space="0" w:color="auto"/>
          </w:divBdr>
        </w:div>
      </w:divsChild>
    </w:div>
    <w:div w:id="1325358914">
      <w:marLeft w:val="0"/>
      <w:marRight w:val="0"/>
      <w:marTop w:val="180"/>
      <w:marBottom w:val="180"/>
      <w:divBdr>
        <w:top w:val="none" w:sz="0" w:space="0" w:color="auto"/>
        <w:left w:val="none" w:sz="0" w:space="0" w:color="auto"/>
        <w:bottom w:val="none" w:sz="0" w:space="0" w:color="auto"/>
        <w:right w:val="none" w:sz="0" w:space="0" w:color="auto"/>
      </w:divBdr>
    </w:div>
    <w:div w:id="1326131291">
      <w:marLeft w:val="0"/>
      <w:marRight w:val="0"/>
      <w:marTop w:val="0"/>
      <w:marBottom w:val="180"/>
      <w:divBdr>
        <w:top w:val="none" w:sz="0" w:space="0" w:color="auto"/>
        <w:left w:val="none" w:sz="0" w:space="0" w:color="auto"/>
        <w:bottom w:val="none" w:sz="0" w:space="0" w:color="auto"/>
        <w:right w:val="none" w:sz="0" w:space="0" w:color="auto"/>
      </w:divBdr>
    </w:div>
    <w:div w:id="1326863174">
      <w:marLeft w:val="0"/>
      <w:marRight w:val="0"/>
      <w:marTop w:val="180"/>
      <w:marBottom w:val="180"/>
      <w:divBdr>
        <w:top w:val="none" w:sz="0" w:space="0" w:color="auto"/>
        <w:left w:val="none" w:sz="0" w:space="0" w:color="auto"/>
        <w:bottom w:val="none" w:sz="0" w:space="0" w:color="auto"/>
        <w:right w:val="none" w:sz="0" w:space="0" w:color="auto"/>
      </w:divBdr>
    </w:div>
    <w:div w:id="1327519060">
      <w:marLeft w:val="0"/>
      <w:marRight w:val="0"/>
      <w:marTop w:val="0"/>
      <w:marBottom w:val="0"/>
      <w:divBdr>
        <w:top w:val="none" w:sz="0" w:space="0" w:color="auto"/>
        <w:left w:val="none" w:sz="0" w:space="0" w:color="auto"/>
        <w:bottom w:val="none" w:sz="0" w:space="0" w:color="auto"/>
        <w:right w:val="none" w:sz="0" w:space="0" w:color="auto"/>
      </w:divBdr>
      <w:divsChild>
        <w:div w:id="1068263430">
          <w:marLeft w:val="0"/>
          <w:marRight w:val="0"/>
          <w:marTop w:val="0"/>
          <w:marBottom w:val="0"/>
          <w:divBdr>
            <w:top w:val="none" w:sz="0" w:space="0" w:color="auto"/>
            <w:left w:val="none" w:sz="0" w:space="0" w:color="auto"/>
            <w:bottom w:val="none" w:sz="0" w:space="0" w:color="auto"/>
            <w:right w:val="none" w:sz="0" w:space="0" w:color="auto"/>
          </w:divBdr>
        </w:div>
      </w:divsChild>
    </w:div>
    <w:div w:id="1329359189">
      <w:marLeft w:val="0"/>
      <w:marRight w:val="0"/>
      <w:marTop w:val="0"/>
      <w:marBottom w:val="240"/>
      <w:divBdr>
        <w:top w:val="none" w:sz="0" w:space="0" w:color="auto"/>
        <w:left w:val="none" w:sz="0" w:space="0" w:color="auto"/>
        <w:bottom w:val="none" w:sz="0" w:space="0" w:color="auto"/>
        <w:right w:val="none" w:sz="0" w:space="0" w:color="auto"/>
      </w:divBdr>
    </w:div>
    <w:div w:id="1330406438">
      <w:marLeft w:val="0"/>
      <w:marRight w:val="0"/>
      <w:marTop w:val="0"/>
      <w:marBottom w:val="240"/>
      <w:divBdr>
        <w:top w:val="none" w:sz="0" w:space="0" w:color="auto"/>
        <w:left w:val="none" w:sz="0" w:space="0" w:color="auto"/>
        <w:bottom w:val="none" w:sz="0" w:space="0" w:color="auto"/>
        <w:right w:val="none" w:sz="0" w:space="0" w:color="auto"/>
      </w:divBdr>
    </w:div>
    <w:div w:id="1331524008">
      <w:marLeft w:val="0"/>
      <w:marRight w:val="0"/>
      <w:marTop w:val="180"/>
      <w:marBottom w:val="180"/>
      <w:divBdr>
        <w:top w:val="none" w:sz="0" w:space="0" w:color="auto"/>
        <w:left w:val="none" w:sz="0" w:space="0" w:color="auto"/>
        <w:bottom w:val="none" w:sz="0" w:space="0" w:color="auto"/>
        <w:right w:val="none" w:sz="0" w:space="0" w:color="auto"/>
      </w:divBdr>
    </w:div>
    <w:div w:id="1334144609">
      <w:marLeft w:val="0"/>
      <w:marRight w:val="0"/>
      <w:marTop w:val="0"/>
      <w:marBottom w:val="0"/>
      <w:divBdr>
        <w:top w:val="none" w:sz="0" w:space="0" w:color="auto"/>
        <w:left w:val="none" w:sz="0" w:space="0" w:color="auto"/>
        <w:bottom w:val="none" w:sz="0" w:space="0" w:color="auto"/>
        <w:right w:val="none" w:sz="0" w:space="0" w:color="auto"/>
      </w:divBdr>
    </w:div>
    <w:div w:id="1336617799">
      <w:marLeft w:val="0"/>
      <w:marRight w:val="0"/>
      <w:marTop w:val="0"/>
      <w:marBottom w:val="240"/>
      <w:divBdr>
        <w:top w:val="none" w:sz="0" w:space="0" w:color="auto"/>
        <w:left w:val="none" w:sz="0" w:space="0" w:color="auto"/>
        <w:bottom w:val="none" w:sz="0" w:space="0" w:color="auto"/>
        <w:right w:val="none" w:sz="0" w:space="0" w:color="auto"/>
      </w:divBdr>
    </w:div>
    <w:div w:id="1339308922">
      <w:marLeft w:val="0"/>
      <w:marRight w:val="0"/>
      <w:marTop w:val="120"/>
      <w:marBottom w:val="120"/>
      <w:divBdr>
        <w:top w:val="none" w:sz="0" w:space="0" w:color="auto"/>
        <w:left w:val="none" w:sz="0" w:space="0" w:color="auto"/>
        <w:bottom w:val="none" w:sz="0" w:space="0" w:color="auto"/>
        <w:right w:val="none" w:sz="0" w:space="0" w:color="auto"/>
      </w:divBdr>
    </w:div>
    <w:div w:id="1339311116">
      <w:marLeft w:val="0"/>
      <w:marRight w:val="0"/>
      <w:marTop w:val="0"/>
      <w:marBottom w:val="180"/>
      <w:divBdr>
        <w:top w:val="none" w:sz="0" w:space="0" w:color="auto"/>
        <w:left w:val="none" w:sz="0" w:space="0" w:color="auto"/>
        <w:bottom w:val="none" w:sz="0" w:space="0" w:color="auto"/>
        <w:right w:val="none" w:sz="0" w:space="0" w:color="auto"/>
      </w:divBdr>
    </w:div>
    <w:div w:id="1339699326">
      <w:marLeft w:val="0"/>
      <w:marRight w:val="0"/>
      <w:marTop w:val="0"/>
      <w:marBottom w:val="240"/>
      <w:divBdr>
        <w:top w:val="none" w:sz="0" w:space="0" w:color="auto"/>
        <w:left w:val="none" w:sz="0" w:space="0" w:color="auto"/>
        <w:bottom w:val="none" w:sz="0" w:space="0" w:color="auto"/>
        <w:right w:val="none" w:sz="0" w:space="0" w:color="auto"/>
      </w:divBdr>
    </w:div>
    <w:div w:id="1340424098">
      <w:marLeft w:val="0"/>
      <w:marRight w:val="0"/>
      <w:marTop w:val="0"/>
      <w:marBottom w:val="180"/>
      <w:divBdr>
        <w:top w:val="none" w:sz="0" w:space="0" w:color="auto"/>
        <w:left w:val="none" w:sz="0" w:space="0" w:color="auto"/>
        <w:bottom w:val="none" w:sz="0" w:space="0" w:color="auto"/>
        <w:right w:val="none" w:sz="0" w:space="0" w:color="auto"/>
      </w:divBdr>
    </w:div>
    <w:div w:id="1341154912">
      <w:marLeft w:val="0"/>
      <w:marRight w:val="0"/>
      <w:marTop w:val="0"/>
      <w:marBottom w:val="0"/>
      <w:divBdr>
        <w:top w:val="none" w:sz="0" w:space="0" w:color="auto"/>
        <w:left w:val="none" w:sz="0" w:space="0" w:color="auto"/>
        <w:bottom w:val="none" w:sz="0" w:space="0" w:color="auto"/>
        <w:right w:val="none" w:sz="0" w:space="0" w:color="auto"/>
      </w:divBdr>
      <w:divsChild>
        <w:div w:id="563873718">
          <w:marLeft w:val="0"/>
          <w:marRight w:val="0"/>
          <w:marTop w:val="0"/>
          <w:marBottom w:val="0"/>
          <w:divBdr>
            <w:top w:val="none" w:sz="0" w:space="0" w:color="auto"/>
            <w:left w:val="none" w:sz="0" w:space="0" w:color="auto"/>
            <w:bottom w:val="none" w:sz="0" w:space="0" w:color="auto"/>
            <w:right w:val="none" w:sz="0" w:space="0" w:color="auto"/>
          </w:divBdr>
        </w:div>
      </w:divsChild>
    </w:div>
    <w:div w:id="1341855838">
      <w:marLeft w:val="0"/>
      <w:marRight w:val="0"/>
      <w:marTop w:val="0"/>
      <w:marBottom w:val="0"/>
      <w:divBdr>
        <w:top w:val="none" w:sz="0" w:space="0" w:color="auto"/>
        <w:left w:val="none" w:sz="0" w:space="0" w:color="auto"/>
        <w:bottom w:val="none" w:sz="0" w:space="0" w:color="auto"/>
        <w:right w:val="none" w:sz="0" w:space="0" w:color="auto"/>
      </w:divBdr>
      <w:divsChild>
        <w:div w:id="228466589">
          <w:marLeft w:val="0"/>
          <w:marRight w:val="0"/>
          <w:marTop w:val="0"/>
          <w:marBottom w:val="0"/>
          <w:divBdr>
            <w:top w:val="none" w:sz="0" w:space="0" w:color="auto"/>
            <w:left w:val="none" w:sz="0" w:space="0" w:color="auto"/>
            <w:bottom w:val="none" w:sz="0" w:space="0" w:color="auto"/>
            <w:right w:val="none" w:sz="0" w:space="0" w:color="auto"/>
          </w:divBdr>
        </w:div>
      </w:divsChild>
    </w:div>
    <w:div w:id="1342202006">
      <w:marLeft w:val="0"/>
      <w:marRight w:val="0"/>
      <w:marTop w:val="0"/>
      <w:marBottom w:val="180"/>
      <w:divBdr>
        <w:top w:val="none" w:sz="0" w:space="0" w:color="auto"/>
        <w:left w:val="none" w:sz="0" w:space="0" w:color="auto"/>
        <w:bottom w:val="none" w:sz="0" w:space="0" w:color="auto"/>
        <w:right w:val="none" w:sz="0" w:space="0" w:color="auto"/>
      </w:divBdr>
    </w:div>
    <w:div w:id="1345085569">
      <w:marLeft w:val="0"/>
      <w:marRight w:val="0"/>
      <w:marTop w:val="180"/>
      <w:marBottom w:val="180"/>
      <w:divBdr>
        <w:top w:val="none" w:sz="0" w:space="0" w:color="auto"/>
        <w:left w:val="none" w:sz="0" w:space="0" w:color="auto"/>
        <w:bottom w:val="none" w:sz="0" w:space="0" w:color="auto"/>
        <w:right w:val="none" w:sz="0" w:space="0" w:color="auto"/>
      </w:divBdr>
    </w:div>
    <w:div w:id="1345473294">
      <w:marLeft w:val="0"/>
      <w:marRight w:val="0"/>
      <w:marTop w:val="0"/>
      <w:marBottom w:val="240"/>
      <w:divBdr>
        <w:top w:val="none" w:sz="0" w:space="0" w:color="auto"/>
        <w:left w:val="none" w:sz="0" w:space="0" w:color="auto"/>
        <w:bottom w:val="none" w:sz="0" w:space="0" w:color="auto"/>
        <w:right w:val="none" w:sz="0" w:space="0" w:color="auto"/>
      </w:divBdr>
    </w:div>
    <w:div w:id="1345670152">
      <w:marLeft w:val="0"/>
      <w:marRight w:val="0"/>
      <w:marTop w:val="0"/>
      <w:marBottom w:val="180"/>
      <w:divBdr>
        <w:top w:val="none" w:sz="0" w:space="0" w:color="auto"/>
        <w:left w:val="none" w:sz="0" w:space="0" w:color="auto"/>
        <w:bottom w:val="none" w:sz="0" w:space="0" w:color="auto"/>
        <w:right w:val="none" w:sz="0" w:space="0" w:color="auto"/>
      </w:divBdr>
    </w:div>
    <w:div w:id="1349867009">
      <w:marLeft w:val="0"/>
      <w:marRight w:val="0"/>
      <w:marTop w:val="0"/>
      <w:marBottom w:val="0"/>
      <w:divBdr>
        <w:top w:val="none" w:sz="0" w:space="0" w:color="auto"/>
        <w:left w:val="none" w:sz="0" w:space="0" w:color="auto"/>
        <w:bottom w:val="none" w:sz="0" w:space="0" w:color="auto"/>
        <w:right w:val="none" w:sz="0" w:space="0" w:color="auto"/>
      </w:divBdr>
    </w:div>
    <w:div w:id="1355811845">
      <w:marLeft w:val="0"/>
      <w:marRight w:val="0"/>
      <w:marTop w:val="0"/>
      <w:marBottom w:val="180"/>
      <w:divBdr>
        <w:top w:val="none" w:sz="0" w:space="0" w:color="auto"/>
        <w:left w:val="none" w:sz="0" w:space="0" w:color="auto"/>
        <w:bottom w:val="none" w:sz="0" w:space="0" w:color="auto"/>
        <w:right w:val="none" w:sz="0" w:space="0" w:color="auto"/>
      </w:divBdr>
    </w:div>
    <w:div w:id="1358431335">
      <w:marLeft w:val="0"/>
      <w:marRight w:val="0"/>
      <w:marTop w:val="0"/>
      <w:marBottom w:val="180"/>
      <w:divBdr>
        <w:top w:val="none" w:sz="0" w:space="0" w:color="auto"/>
        <w:left w:val="none" w:sz="0" w:space="0" w:color="auto"/>
        <w:bottom w:val="none" w:sz="0" w:space="0" w:color="auto"/>
        <w:right w:val="none" w:sz="0" w:space="0" w:color="auto"/>
      </w:divBdr>
    </w:div>
    <w:div w:id="1358892848">
      <w:marLeft w:val="0"/>
      <w:marRight w:val="0"/>
      <w:marTop w:val="0"/>
      <w:marBottom w:val="0"/>
      <w:divBdr>
        <w:top w:val="none" w:sz="0" w:space="0" w:color="auto"/>
        <w:left w:val="none" w:sz="0" w:space="0" w:color="auto"/>
        <w:bottom w:val="none" w:sz="0" w:space="0" w:color="auto"/>
        <w:right w:val="none" w:sz="0" w:space="0" w:color="auto"/>
      </w:divBdr>
    </w:div>
    <w:div w:id="1358894047">
      <w:marLeft w:val="0"/>
      <w:marRight w:val="0"/>
      <w:marTop w:val="0"/>
      <w:marBottom w:val="0"/>
      <w:divBdr>
        <w:top w:val="none" w:sz="0" w:space="0" w:color="auto"/>
        <w:left w:val="none" w:sz="0" w:space="0" w:color="auto"/>
        <w:bottom w:val="none" w:sz="0" w:space="0" w:color="auto"/>
        <w:right w:val="none" w:sz="0" w:space="0" w:color="auto"/>
      </w:divBdr>
    </w:div>
    <w:div w:id="1365979871">
      <w:marLeft w:val="0"/>
      <w:marRight w:val="0"/>
      <w:marTop w:val="0"/>
      <w:marBottom w:val="0"/>
      <w:divBdr>
        <w:top w:val="none" w:sz="0" w:space="0" w:color="auto"/>
        <w:left w:val="none" w:sz="0" w:space="0" w:color="auto"/>
        <w:bottom w:val="none" w:sz="0" w:space="0" w:color="auto"/>
        <w:right w:val="none" w:sz="0" w:space="0" w:color="auto"/>
      </w:divBdr>
    </w:div>
    <w:div w:id="1367371865">
      <w:marLeft w:val="0"/>
      <w:marRight w:val="0"/>
      <w:marTop w:val="0"/>
      <w:marBottom w:val="240"/>
      <w:divBdr>
        <w:top w:val="none" w:sz="0" w:space="0" w:color="auto"/>
        <w:left w:val="none" w:sz="0" w:space="0" w:color="auto"/>
        <w:bottom w:val="none" w:sz="0" w:space="0" w:color="auto"/>
        <w:right w:val="none" w:sz="0" w:space="0" w:color="auto"/>
      </w:divBdr>
    </w:div>
    <w:div w:id="1368214437">
      <w:marLeft w:val="0"/>
      <w:marRight w:val="0"/>
      <w:marTop w:val="180"/>
      <w:marBottom w:val="180"/>
      <w:divBdr>
        <w:top w:val="none" w:sz="0" w:space="0" w:color="auto"/>
        <w:left w:val="none" w:sz="0" w:space="0" w:color="auto"/>
        <w:bottom w:val="none" w:sz="0" w:space="0" w:color="auto"/>
        <w:right w:val="none" w:sz="0" w:space="0" w:color="auto"/>
      </w:divBdr>
    </w:div>
    <w:div w:id="1368992613">
      <w:marLeft w:val="0"/>
      <w:marRight w:val="0"/>
      <w:marTop w:val="0"/>
      <w:marBottom w:val="240"/>
      <w:divBdr>
        <w:top w:val="none" w:sz="0" w:space="0" w:color="auto"/>
        <w:left w:val="none" w:sz="0" w:space="0" w:color="auto"/>
        <w:bottom w:val="none" w:sz="0" w:space="0" w:color="auto"/>
        <w:right w:val="none" w:sz="0" w:space="0" w:color="auto"/>
      </w:divBdr>
    </w:div>
    <w:div w:id="1371758065">
      <w:marLeft w:val="0"/>
      <w:marRight w:val="0"/>
      <w:marTop w:val="180"/>
      <w:marBottom w:val="180"/>
      <w:divBdr>
        <w:top w:val="none" w:sz="0" w:space="0" w:color="auto"/>
        <w:left w:val="none" w:sz="0" w:space="0" w:color="auto"/>
        <w:bottom w:val="none" w:sz="0" w:space="0" w:color="auto"/>
        <w:right w:val="none" w:sz="0" w:space="0" w:color="auto"/>
      </w:divBdr>
    </w:div>
    <w:div w:id="1372418882">
      <w:marLeft w:val="0"/>
      <w:marRight w:val="0"/>
      <w:marTop w:val="0"/>
      <w:marBottom w:val="180"/>
      <w:divBdr>
        <w:top w:val="none" w:sz="0" w:space="0" w:color="auto"/>
        <w:left w:val="none" w:sz="0" w:space="0" w:color="auto"/>
        <w:bottom w:val="none" w:sz="0" w:space="0" w:color="auto"/>
        <w:right w:val="none" w:sz="0" w:space="0" w:color="auto"/>
      </w:divBdr>
    </w:div>
    <w:div w:id="1372993411">
      <w:marLeft w:val="0"/>
      <w:marRight w:val="0"/>
      <w:marTop w:val="100"/>
      <w:marBottom w:val="0"/>
      <w:divBdr>
        <w:top w:val="none" w:sz="0" w:space="0" w:color="auto"/>
        <w:left w:val="none" w:sz="0" w:space="0" w:color="auto"/>
        <w:bottom w:val="none" w:sz="0" w:space="0" w:color="auto"/>
        <w:right w:val="none" w:sz="0" w:space="0" w:color="auto"/>
      </w:divBdr>
    </w:div>
    <w:div w:id="1377461213">
      <w:marLeft w:val="0"/>
      <w:marRight w:val="0"/>
      <w:marTop w:val="0"/>
      <w:marBottom w:val="240"/>
      <w:divBdr>
        <w:top w:val="none" w:sz="0" w:space="0" w:color="auto"/>
        <w:left w:val="none" w:sz="0" w:space="0" w:color="auto"/>
        <w:bottom w:val="none" w:sz="0" w:space="0" w:color="auto"/>
        <w:right w:val="none" w:sz="0" w:space="0" w:color="auto"/>
      </w:divBdr>
    </w:div>
    <w:div w:id="1379283835">
      <w:marLeft w:val="0"/>
      <w:marRight w:val="0"/>
      <w:marTop w:val="0"/>
      <w:marBottom w:val="0"/>
      <w:divBdr>
        <w:top w:val="none" w:sz="0" w:space="0" w:color="auto"/>
        <w:left w:val="none" w:sz="0" w:space="0" w:color="auto"/>
        <w:bottom w:val="none" w:sz="0" w:space="0" w:color="auto"/>
        <w:right w:val="none" w:sz="0" w:space="0" w:color="auto"/>
      </w:divBdr>
    </w:div>
    <w:div w:id="1382559285">
      <w:marLeft w:val="0"/>
      <w:marRight w:val="0"/>
      <w:marTop w:val="180"/>
      <w:marBottom w:val="180"/>
      <w:divBdr>
        <w:top w:val="none" w:sz="0" w:space="0" w:color="auto"/>
        <w:left w:val="none" w:sz="0" w:space="0" w:color="auto"/>
        <w:bottom w:val="none" w:sz="0" w:space="0" w:color="auto"/>
        <w:right w:val="none" w:sz="0" w:space="0" w:color="auto"/>
      </w:divBdr>
    </w:div>
    <w:div w:id="1384478808">
      <w:marLeft w:val="0"/>
      <w:marRight w:val="0"/>
      <w:marTop w:val="0"/>
      <w:marBottom w:val="240"/>
      <w:divBdr>
        <w:top w:val="none" w:sz="0" w:space="0" w:color="auto"/>
        <w:left w:val="none" w:sz="0" w:space="0" w:color="auto"/>
        <w:bottom w:val="none" w:sz="0" w:space="0" w:color="auto"/>
        <w:right w:val="none" w:sz="0" w:space="0" w:color="auto"/>
      </w:divBdr>
    </w:div>
    <w:div w:id="1384522208">
      <w:marLeft w:val="0"/>
      <w:marRight w:val="0"/>
      <w:marTop w:val="0"/>
      <w:marBottom w:val="0"/>
      <w:divBdr>
        <w:top w:val="none" w:sz="0" w:space="0" w:color="auto"/>
        <w:left w:val="none" w:sz="0" w:space="0" w:color="auto"/>
        <w:bottom w:val="none" w:sz="0" w:space="0" w:color="auto"/>
        <w:right w:val="none" w:sz="0" w:space="0" w:color="auto"/>
      </w:divBdr>
    </w:div>
    <w:div w:id="1384909461">
      <w:marLeft w:val="0"/>
      <w:marRight w:val="0"/>
      <w:marTop w:val="120"/>
      <w:marBottom w:val="180"/>
      <w:divBdr>
        <w:top w:val="none" w:sz="0" w:space="0" w:color="auto"/>
        <w:left w:val="none" w:sz="0" w:space="0" w:color="auto"/>
        <w:bottom w:val="none" w:sz="0" w:space="0" w:color="auto"/>
        <w:right w:val="none" w:sz="0" w:space="0" w:color="auto"/>
      </w:divBdr>
    </w:div>
    <w:div w:id="1387098925">
      <w:marLeft w:val="0"/>
      <w:marRight w:val="0"/>
      <w:marTop w:val="0"/>
      <w:marBottom w:val="180"/>
      <w:divBdr>
        <w:top w:val="none" w:sz="0" w:space="0" w:color="auto"/>
        <w:left w:val="none" w:sz="0" w:space="0" w:color="auto"/>
        <w:bottom w:val="none" w:sz="0" w:space="0" w:color="auto"/>
        <w:right w:val="none" w:sz="0" w:space="0" w:color="auto"/>
      </w:divBdr>
    </w:div>
    <w:div w:id="1388185072">
      <w:marLeft w:val="0"/>
      <w:marRight w:val="0"/>
      <w:marTop w:val="0"/>
      <w:marBottom w:val="180"/>
      <w:divBdr>
        <w:top w:val="none" w:sz="0" w:space="0" w:color="auto"/>
        <w:left w:val="none" w:sz="0" w:space="0" w:color="auto"/>
        <w:bottom w:val="none" w:sz="0" w:space="0" w:color="auto"/>
        <w:right w:val="none" w:sz="0" w:space="0" w:color="auto"/>
      </w:divBdr>
    </w:div>
    <w:div w:id="1389763616">
      <w:marLeft w:val="0"/>
      <w:marRight w:val="0"/>
      <w:marTop w:val="0"/>
      <w:marBottom w:val="0"/>
      <w:divBdr>
        <w:top w:val="none" w:sz="0" w:space="0" w:color="auto"/>
        <w:left w:val="none" w:sz="0" w:space="0" w:color="auto"/>
        <w:bottom w:val="none" w:sz="0" w:space="0" w:color="auto"/>
        <w:right w:val="none" w:sz="0" w:space="0" w:color="auto"/>
      </w:divBdr>
      <w:divsChild>
        <w:div w:id="2097893407">
          <w:marLeft w:val="0"/>
          <w:marRight w:val="0"/>
          <w:marTop w:val="0"/>
          <w:marBottom w:val="180"/>
          <w:divBdr>
            <w:top w:val="none" w:sz="0" w:space="0" w:color="auto"/>
            <w:left w:val="none" w:sz="0" w:space="0" w:color="auto"/>
            <w:bottom w:val="none" w:sz="0" w:space="0" w:color="auto"/>
            <w:right w:val="none" w:sz="0" w:space="0" w:color="auto"/>
          </w:divBdr>
        </w:div>
      </w:divsChild>
    </w:div>
    <w:div w:id="1391493023">
      <w:marLeft w:val="0"/>
      <w:marRight w:val="0"/>
      <w:marTop w:val="180"/>
      <w:marBottom w:val="180"/>
      <w:divBdr>
        <w:top w:val="none" w:sz="0" w:space="0" w:color="auto"/>
        <w:left w:val="none" w:sz="0" w:space="0" w:color="auto"/>
        <w:bottom w:val="none" w:sz="0" w:space="0" w:color="auto"/>
        <w:right w:val="none" w:sz="0" w:space="0" w:color="auto"/>
      </w:divBdr>
    </w:div>
    <w:div w:id="1391729231">
      <w:marLeft w:val="0"/>
      <w:marRight w:val="0"/>
      <w:marTop w:val="0"/>
      <w:marBottom w:val="0"/>
      <w:divBdr>
        <w:top w:val="none" w:sz="0" w:space="0" w:color="auto"/>
        <w:left w:val="none" w:sz="0" w:space="0" w:color="auto"/>
        <w:bottom w:val="none" w:sz="0" w:space="0" w:color="auto"/>
        <w:right w:val="none" w:sz="0" w:space="0" w:color="auto"/>
      </w:divBdr>
    </w:div>
    <w:div w:id="1391881927">
      <w:marLeft w:val="0"/>
      <w:marRight w:val="0"/>
      <w:marTop w:val="0"/>
      <w:marBottom w:val="240"/>
      <w:divBdr>
        <w:top w:val="none" w:sz="0" w:space="0" w:color="auto"/>
        <w:left w:val="none" w:sz="0" w:space="0" w:color="auto"/>
        <w:bottom w:val="none" w:sz="0" w:space="0" w:color="auto"/>
        <w:right w:val="none" w:sz="0" w:space="0" w:color="auto"/>
      </w:divBdr>
    </w:div>
    <w:div w:id="1392314537">
      <w:marLeft w:val="0"/>
      <w:marRight w:val="0"/>
      <w:marTop w:val="180"/>
      <w:marBottom w:val="180"/>
      <w:divBdr>
        <w:top w:val="none" w:sz="0" w:space="0" w:color="auto"/>
        <w:left w:val="none" w:sz="0" w:space="0" w:color="auto"/>
        <w:bottom w:val="none" w:sz="0" w:space="0" w:color="auto"/>
        <w:right w:val="none" w:sz="0" w:space="0" w:color="auto"/>
      </w:divBdr>
    </w:div>
    <w:div w:id="1394347704">
      <w:marLeft w:val="0"/>
      <w:marRight w:val="0"/>
      <w:marTop w:val="0"/>
      <w:marBottom w:val="240"/>
      <w:divBdr>
        <w:top w:val="none" w:sz="0" w:space="0" w:color="auto"/>
        <w:left w:val="none" w:sz="0" w:space="0" w:color="auto"/>
        <w:bottom w:val="none" w:sz="0" w:space="0" w:color="auto"/>
        <w:right w:val="none" w:sz="0" w:space="0" w:color="auto"/>
      </w:divBdr>
    </w:div>
    <w:div w:id="1395926574">
      <w:marLeft w:val="0"/>
      <w:marRight w:val="0"/>
      <w:marTop w:val="0"/>
      <w:marBottom w:val="0"/>
      <w:divBdr>
        <w:top w:val="none" w:sz="0" w:space="0" w:color="auto"/>
        <w:left w:val="none" w:sz="0" w:space="0" w:color="auto"/>
        <w:bottom w:val="none" w:sz="0" w:space="0" w:color="auto"/>
        <w:right w:val="none" w:sz="0" w:space="0" w:color="auto"/>
      </w:divBdr>
    </w:div>
    <w:div w:id="1396853371">
      <w:marLeft w:val="0"/>
      <w:marRight w:val="0"/>
      <w:marTop w:val="0"/>
      <w:marBottom w:val="0"/>
      <w:divBdr>
        <w:top w:val="none" w:sz="0" w:space="0" w:color="auto"/>
        <w:left w:val="none" w:sz="0" w:space="0" w:color="auto"/>
        <w:bottom w:val="none" w:sz="0" w:space="0" w:color="auto"/>
        <w:right w:val="none" w:sz="0" w:space="0" w:color="auto"/>
      </w:divBdr>
    </w:div>
    <w:div w:id="1397239436">
      <w:marLeft w:val="0"/>
      <w:marRight w:val="0"/>
      <w:marTop w:val="0"/>
      <w:marBottom w:val="180"/>
      <w:divBdr>
        <w:top w:val="none" w:sz="0" w:space="0" w:color="auto"/>
        <w:left w:val="none" w:sz="0" w:space="0" w:color="auto"/>
        <w:bottom w:val="none" w:sz="0" w:space="0" w:color="auto"/>
        <w:right w:val="none" w:sz="0" w:space="0" w:color="auto"/>
      </w:divBdr>
    </w:div>
    <w:div w:id="1397505792">
      <w:marLeft w:val="0"/>
      <w:marRight w:val="0"/>
      <w:marTop w:val="0"/>
      <w:marBottom w:val="180"/>
      <w:divBdr>
        <w:top w:val="none" w:sz="0" w:space="0" w:color="auto"/>
        <w:left w:val="none" w:sz="0" w:space="0" w:color="auto"/>
        <w:bottom w:val="none" w:sz="0" w:space="0" w:color="auto"/>
        <w:right w:val="none" w:sz="0" w:space="0" w:color="auto"/>
      </w:divBdr>
    </w:div>
    <w:div w:id="1399017855">
      <w:marLeft w:val="0"/>
      <w:marRight w:val="0"/>
      <w:marTop w:val="0"/>
      <w:marBottom w:val="240"/>
      <w:divBdr>
        <w:top w:val="none" w:sz="0" w:space="0" w:color="auto"/>
        <w:left w:val="none" w:sz="0" w:space="0" w:color="auto"/>
        <w:bottom w:val="none" w:sz="0" w:space="0" w:color="auto"/>
        <w:right w:val="none" w:sz="0" w:space="0" w:color="auto"/>
      </w:divBdr>
    </w:div>
    <w:div w:id="1399479245">
      <w:marLeft w:val="0"/>
      <w:marRight w:val="0"/>
      <w:marTop w:val="0"/>
      <w:marBottom w:val="180"/>
      <w:divBdr>
        <w:top w:val="none" w:sz="0" w:space="0" w:color="auto"/>
        <w:left w:val="none" w:sz="0" w:space="0" w:color="auto"/>
        <w:bottom w:val="none" w:sz="0" w:space="0" w:color="auto"/>
        <w:right w:val="none" w:sz="0" w:space="0" w:color="auto"/>
      </w:divBdr>
    </w:div>
    <w:div w:id="1400591460">
      <w:marLeft w:val="0"/>
      <w:marRight w:val="0"/>
      <w:marTop w:val="0"/>
      <w:marBottom w:val="240"/>
      <w:divBdr>
        <w:top w:val="none" w:sz="0" w:space="0" w:color="auto"/>
        <w:left w:val="none" w:sz="0" w:space="0" w:color="auto"/>
        <w:bottom w:val="none" w:sz="0" w:space="0" w:color="auto"/>
        <w:right w:val="none" w:sz="0" w:space="0" w:color="auto"/>
      </w:divBdr>
    </w:div>
    <w:div w:id="1402210869">
      <w:marLeft w:val="0"/>
      <w:marRight w:val="0"/>
      <w:marTop w:val="0"/>
      <w:marBottom w:val="240"/>
      <w:divBdr>
        <w:top w:val="none" w:sz="0" w:space="0" w:color="auto"/>
        <w:left w:val="none" w:sz="0" w:space="0" w:color="auto"/>
        <w:bottom w:val="none" w:sz="0" w:space="0" w:color="auto"/>
        <w:right w:val="none" w:sz="0" w:space="0" w:color="auto"/>
      </w:divBdr>
    </w:div>
    <w:div w:id="1402823708">
      <w:marLeft w:val="0"/>
      <w:marRight w:val="0"/>
      <w:marTop w:val="0"/>
      <w:marBottom w:val="0"/>
      <w:divBdr>
        <w:top w:val="none" w:sz="0" w:space="0" w:color="auto"/>
        <w:left w:val="none" w:sz="0" w:space="0" w:color="auto"/>
        <w:bottom w:val="none" w:sz="0" w:space="0" w:color="auto"/>
        <w:right w:val="none" w:sz="0" w:space="0" w:color="auto"/>
      </w:divBdr>
    </w:div>
    <w:div w:id="1403335800">
      <w:marLeft w:val="0"/>
      <w:marRight w:val="0"/>
      <w:marTop w:val="0"/>
      <w:marBottom w:val="0"/>
      <w:divBdr>
        <w:top w:val="none" w:sz="0" w:space="0" w:color="auto"/>
        <w:left w:val="none" w:sz="0" w:space="0" w:color="auto"/>
        <w:bottom w:val="none" w:sz="0" w:space="0" w:color="auto"/>
        <w:right w:val="none" w:sz="0" w:space="0" w:color="auto"/>
      </w:divBdr>
      <w:divsChild>
        <w:div w:id="97065601">
          <w:marLeft w:val="0"/>
          <w:marRight w:val="0"/>
          <w:marTop w:val="0"/>
          <w:marBottom w:val="0"/>
          <w:divBdr>
            <w:top w:val="none" w:sz="0" w:space="0" w:color="auto"/>
            <w:left w:val="none" w:sz="0" w:space="0" w:color="auto"/>
            <w:bottom w:val="none" w:sz="0" w:space="0" w:color="auto"/>
            <w:right w:val="none" w:sz="0" w:space="0" w:color="auto"/>
          </w:divBdr>
        </w:div>
      </w:divsChild>
    </w:div>
    <w:div w:id="1404911941">
      <w:marLeft w:val="0"/>
      <w:marRight w:val="0"/>
      <w:marTop w:val="0"/>
      <w:marBottom w:val="0"/>
      <w:divBdr>
        <w:top w:val="none" w:sz="0" w:space="0" w:color="auto"/>
        <w:left w:val="none" w:sz="0" w:space="0" w:color="auto"/>
        <w:bottom w:val="none" w:sz="0" w:space="0" w:color="auto"/>
        <w:right w:val="none" w:sz="0" w:space="0" w:color="auto"/>
      </w:divBdr>
    </w:div>
    <w:div w:id="1405682187">
      <w:marLeft w:val="0"/>
      <w:marRight w:val="0"/>
      <w:marTop w:val="0"/>
      <w:marBottom w:val="0"/>
      <w:divBdr>
        <w:top w:val="none" w:sz="0" w:space="0" w:color="auto"/>
        <w:left w:val="none" w:sz="0" w:space="0" w:color="auto"/>
        <w:bottom w:val="none" w:sz="0" w:space="0" w:color="auto"/>
        <w:right w:val="none" w:sz="0" w:space="0" w:color="auto"/>
      </w:divBdr>
    </w:div>
    <w:div w:id="1406950172">
      <w:marLeft w:val="0"/>
      <w:marRight w:val="0"/>
      <w:marTop w:val="0"/>
      <w:marBottom w:val="240"/>
      <w:divBdr>
        <w:top w:val="none" w:sz="0" w:space="0" w:color="auto"/>
        <w:left w:val="none" w:sz="0" w:space="0" w:color="auto"/>
        <w:bottom w:val="none" w:sz="0" w:space="0" w:color="auto"/>
        <w:right w:val="none" w:sz="0" w:space="0" w:color="auto"/>
      </w:divBdr>
    </w:div>
    <w:div w:id="1407652664">
      <w:marLeft w:val="0"/>
      <w:marRight w:val="0"/>
      <w:marTop w:val="0"/>
      <w:marBottom w:val="0"/>
      <w:divBdr>
        <w:top w:val="none" w:sz="0" w:space="0" w:color="auto"/>
        <w:left w:val="none" w:sz="0" w:space="0" w:color="auto"/>
        <w:bottom w:val="none" w:sz="0" w:space="0" w:color="auto"/>
        <w:right w:val="none" w:sz="0" w:space="0" w:color="auto"/>
      </w:divBdr>
    </w:div>
    <w:div w:id="1410536047">
      <w:marLeft w:val="0"/>
      <w:marRight w:val="0"/>
      <w:marTop w:val="0"/>
      <w:marBottom w:val="240"/>
      <w:divBdr>
        <w:top w:val="none" w:sz="0" w:space="0" w:color="auto"/>
        <w:left w:val="none" w:sz="0" w:space="0" w:color="auto"/>
        <w:bottom w:val="none" w:sz="0" w:space="0" w:color="auto"/>
        <w:right w:val="none" w:sz="0" w:space="0" w:color="auto"/>
      </w:divBdr>
    </w:div>
    <w:div w:id="1417749546">
      <w:marLeft w:val="0"/>
      <w:marRight w:val="0"/>
      <w:marTop w:val="0"/>
      <w:marBottom w:val="0"/>
      <w:divBdr>
        <w:top w:val="none" w:sz="0" w:space="0" w:color="auto"/>
        <w:left w:val="none" w:sz="0" w:space="0" w:color="auto"/>
        <w:bottom w:val="none" w:sz="0" w:space="0" w:color="auto"/>
        <w:right w:val="none" w:sz="0" w:space="0" w:color="auto"/>
      </w:divBdr>
      <w:divsChild>
        <w:div w:id="512185008">
          <w:marLeft w:val="0"/>
          <w:marRight w:val="0"/>
          <w:marTop w:val="0"/>
          <w:marBottom w:val="0"/>
          <w:divBdr>
            <w:top w:val="none" w:sz="0" w:space="0" w:color="auto"/>
            <w:left w:val="none" w:sz="0" w:space="0" w:color="auto"/>
            <w:bottom w:val="none" w:sz="0" w:space="0" w:color="auto"/>
            <w:right w:val="none" w:sz="0" w:space="0" w:color="auto"/>
          </w:divBdr>
        </w:div>
      </w:divsChild>
    </w:div>
    <w:div w:id="1418818347">
      <w:marLeft w:val="0"/>
      <w:marRight w:val="0"/>
      <w:marTop w:val="0"/>
      <w:marBottom w:val="180"/>
      <w:divBdr>
        <w:top w:val="none" w:sz="0" w:space="0" w:color="auto"/>
        <w:left w:val="none" w:sz="0" w:space="0" w:color="auto"/>
        <w:bottom w:val="none" w:sz="0" w:space="0" w:color="auto"/>
        <w:right w:val="none" w:sz="0" w:space="0" w:color="auto"/>
      </w:divBdr>
    </w:div>
    <w:div w:id="1419323326">
      <w:marLeft w:val="0"/>
      <w:marRight w:val="0"/>
      <w:marTop w:val="0"/>
      <w:marBottom w:val="0"/>
      <w:divBdr>
        <w:top w:val="none" w:sz="0" w:space="0" w:color="auto"/>
        <w:left w:val="none" w:sz="0" w:space="0" w:color="auto"/>
        <w:bottom w:val="none" w:sz="0" w:space="0" w:color="auto"/>
        <w:right w:val="none" w:sz="0" w:space="0" w:color="auto"/>
      </w:divBdr>
      <w:divsChild>
        <w:div w:id="1639069528">
          <w:marLeft w:val="0"/>
          <w:marRight w:val="0"/>
          <w:marTop w:val="0"/>
          <w:marBottom w:val="180"/>
          <w:divBdr>
            <w:top w:val="none" w:sz="0" w:space="0" w:color="auto"/>
            <w:left w:val="none" w:sz="0" w:space="0" w:color="auto"/>
            <w:bottom w:val="none" w:sz="0" w:space="0" w:color="auto"/>
            <w:right w:val="none" w:sz="0" w:space="0" w:color="auto"/>
          </w:divBdr>
        </w:div>
      </w:divsChild>
    </w:div>
    <w:div w:id="1420525152">
      <w:marLeft w:val="0"/>
      <w:marRight w:val="0"/>
      <w:marTop w:val="120"/>
      <w:marBottom w:val="120"/>
      <w:divBdr>
        <w:top w:val="none" w:sz="0" w:space="0" w:color="auto"/>
        <w:left w:val="none" w:sz="0" w:space="0" w:color="auto"/>
        <w:bottom w:val="none" w:sz="0" w:space="0" w:color="auto"/>
        <w:right w:val="none" w:sz="0" w:space="0" w:color="auto"/>
      </w:divBdr>
    </w:div>
    <w:div w:id="1421415754">
      <w:marLeft w:val="0"/>
      <w:marRight w:val="0"/>
      <w:marTop w:val="180"/>
      <w:marBottom w:val="180"/>
      <w:divBdr>
        <w:top w:val="none" w:sz="0" w:space="0" w:color="auto"/>
        <w:left w:val="none" w:sz="0" w:space="0" w:color="auto"/>
        <w:bottom w:val="none" w:sz="0" w:space="0" w:color="auto"/>
        <w:right w:val="none" w:sz="0" w:space="0" w:color="auto"/>
      </w:divBdr>
    </w:div>
    <w:div w:id="1421566498">
      <w:marLeft w:val="0"/>
      <w:marRight w:val="0"/>
      <w:marTop w:val="240"/>
      <w:marBottom w:val="240"/>
      <w:divBdr>
        <w:top w:val="none" w:sz="0" w:space="0" w:color="auto"/>
        <w:left w:val="none" w:sz="0" w:space="0" w:color="auto"/>
        <w:bottom w:val="none" w:sz="0" w:space="0" w:color="auto"/>
        <w:right w:val="none" w:sz="0" w:space="0" w:color="auto"/>
      </w:divBdr>
    </w:div>
    <w:div w:id="1422721110">
      <w:marLeft w:val="0"/>
      <w:marRight w:val="0"/>
      <w:marTop w:val="180"/>
      <w:marBottom w:val="180"/>
      <w:divBdr>
        <w:top w:val="none" w:sz="0" w:space="0" w:color="auto"/>
        <w:left w:val="none" w:sz="0" w:space="0" w:color="auto"/>
        <w:bottom w:val="none" w:sz="0" w:space="0" w:color="auto"/>
        <w:right w:val="none" w:sz="0" w:space="0" w:color="auto"/>
      </w:divBdr>
    </w:div>
    <w:div w:id="1423605340">
      <w:marLeft w:val="0"/>
      <w:marRight w:val="0"/>
      <w:marTop w:val="120"/>
      <w:marBottom w:val="120"/>
      <w:divBdr>
        <w:top w:val="none" w:sz="0" w:space="0" w:color="auto"/>
        <w:left w:val="none" w:sz="0" w:space="0" w:color="auto"/>
        <w:bottom w:val="none" w:sz="0" w:space="0" w:color="auto"/>
        <w:right w:val="none" w:sz="0" w:space="0" w:color="auto"/>
      </w:divBdr>
    </w:div>
    <w:div w:id="1424108626">
      <w:marLeft w:val="0"/>
      <w:marRight w:val="0"/>
      <w:marTop w:val="120"/>
      <w:marBottom w:val="120"/>
      <w:divBdr>
        <w:top w:val="none" w:sz="0" w:space="0" w:color="auto"/>
        <w:left w:val="none" w:sz="0" w:space="0" w:color="auto"/>
        <w:bottom w:val="none" w:sz="0" w:space="0" w:color="auto"/>
        <w:right w:val="none" w:sz="0" w:space="0" w:color="auto"/>
      </w:divBdr>
    </w:div>
    <w:div w:id="1424645571">
      <w:marLeft w:val="0"/>
      <w:marRight w:val="0"/>
      <w:marTop w:val="0"/>
      <w:marBottom w:val="240"/>
      <w:divBdr>
        <w:top w:val="none" w:sz="0" w:space="0" w:color="auto"/>
        <w:left w:val="none" w:sz="0" w:space="0" w:color="auto"/>
        <w:bottom w:val="none" w:sz="0" w:space="0" w:color="auto"/>
        <w:right w:val="none" w:sz="0" w:space="0" w:color="auto"/>
      </w:divBdr>
    </w:div>
    <w:div w:id="1424717604">
      <w:marLeft w:val="0"/>
      <w:marRight w:val="0"/>
      <w:marTop w:val="100"/>
      <w:marBottom w:val="0"/>
      <w:divBdr>
        <w:top w:val="none" w:sz="0" w:space="0" w:color="auto"/>
        <w:left w:val="none" w:sz="0" w:space="0" w:color="auto"/>
        <w:bottom w:val="none" w:sz="0" w:space="0" w:color="auto"/>
        <w:right w:val="none" w:sz="0" w:space="0" w:color="auto"/>
      </w:divBdr>
    </w:div>
    <w:div w:id="1425878562">
      <w:marLeft w:val="0"/>
      <w:marRight w:val="0"/>
      <w:marTop w:val="0"/>
      <w:marBottom w:val="240"/>
      <w:divBdr>
        <w:top w:val="none" w:sz="0" w:space="0" w:color="auto"/>
        <w:left w:val="none" w:sz="0" w:space="0" w:color="auto"/>
        <w:bottom w:val="none" w:sz="0" w:space="0" w:color="auto"/>
        <w:right w:val="none" w:sz="0" w:space="0" w:color="auto"/>
      </w:divBdr>
    </w:div>
    <w:div w:id="1435515880">
      <w:marLeft w:val="0"/>
      <w:marRight w:val="0"/>
      <w:marTop w:val="0"/>
      <w:marBottom w:val="180"/>
      <w:divBdr>
        <w:top w:val="none" w:sz="0" w:space="0" w:color="auto"/>
        <w:left w:val="none" w:sz="0" w:space="0" w:color="auto"/>
        <w:bottom w:val="none" w:sz="0" w:space="0" w:color="auto"/>
        <w:right w:val="none" w:sz="0" w:space="0" w:color="auto"/>
      </w:divBdr>
    </w:div>
    <w:div w:id="1436368443">
      <w:marLeft w:val="0"/>
      <w:marRight w:val="0"/>
      <w:marTop w:val="180"/>
      <w:marBottom w:val="180"/>
      <w:divBdr>
        <w:top w:val="none" w:sz="0" w:space="0" w:color="auto"/>
        <w:left w:val="none" w:sz="0" w:space="0" w:color="auto"/>
        <w:bottom w:val="none" w:sz="0" w:space="0" w:color="auto"/>
        <w:right w:val="none" w:sz="0" w:space="0" w:color="auto"/>
      </w:divBdr>
    </w:div>
    <w:div w:id="1436515742">
      <w:marLeft w:val="0"/>
      <w:marRight w:val="0"/>
      <w:marTop w:val="100"/>
      <w:marBottom w:val="0"/>
      <w:divBdr>
        <w:top w:val="none" w:sz="0" w:space="0" w:color="auto"/>
        <w:left w:val="none" w:sz="0" w:space="0" w:color="auto"/>
        <w:bottom w:val="none" w:sz="0" w:space="0" w:color="auto"/>
        <w:right w:val="none" w:sz="0" w:space="0" w:color="auto"/>
      </w:divBdr>
      <w:divsChild>
        <w:div w:id="1021585999">
          <w:marLeft w:val="0"/>
          <w:marRight w:val="0"/>
          <w:marTop w:val="0"/>
          <w:marBottom w:val="0"/>
          <w:divBdr>
            <w:top w:val="none" w:sz="0" w:space="0" w:color="auto"/>
            <w:left w:val="none" w:sz="0" w:space="0" w:color="auto"/>
            <w:bottom w:val="none" w:sz="0" w:space="0" w:color="auto"/>
            <w:right w:val="none" w:sz="0" w:space="0" w:color="auto"/>
          </w:divBdr>
        </w:div>
        <w:div w:id="1075782668">
          <w:marLeft w:val="0"/>
          <w:marRight w:val="0"/>
          <w:marTop w:val="0"/>
          <w:marBottom w:val="0"/>
          <w:divBdr>
            <w:top w:val="none" w:sz="0" w:space="0" w:color="auto"/>
            <w:left w:val="none" w:sz="0" w:space="0" w:color="auto"/>
            <w:bottom w:val="none" w:sz="0" w:space="0" w:color="auto"/>
            <w:right w:val="none" w:sz="0" w:space="0" w:color="auto"/>
          </w:divBdr>
        </w:div>
        <w:div w:id="1847095059">
          <w:marLeft w:val="0"/>
          <w:marRight w:val="0"/>
          <w:marTop w:val="0"/>
          <w:marBottom w:val="0"/>
          <w:divBdr>
            <w:top w:val="none" w:sz="0" w:space="0" w:color="auto"/>
            <w:left w:val="none" w:sz="0" w:space="0" w:color="auto"/>
            <w:bottom w:val="none" w:sz="0" w:space="0" w:color="auto"/>
            <w:right w:val="none" w:sz="0" w:space="0" w:color="auto"/>
          </w:divBdr>
        </w:div>
        <w:div w:id="1214729446">
          <w:marLeft w:val="0"/>
          <w:marRight w:val="0"/>
          <w:marTop w:val="0"/>
          <w:marBottom w:val="0"/>
          <w:divBdr>
            <w:top w:val="none" w:sz="0" w:space="0" w:color="auto"/>
            <w:left w:val="none" w:sz="0" w:space="0" w:color="auto"/>
            <w:bottom w:val="none" w:sz="0" w:space="0" w:color="auto"/>
            <w:right w:val="none" w:sz="0" w:space="0" w:color="auto"/>
          </w:divBdr>
        </w:div>
      </w:divsChild>
    </w:div>
    <w:div w:id="1438141202">
      <w:marLeft w:val="0"/>
      <w:marRight w:val="0"/>
      <w:marTop w:val="100"/>
      <w:marBottom w:val="0"/>
      <w:divBdr>
        <w:top w:val="none" w:sz="0" w:space="0" w:color="auto"/>
        <w:left w:val="none" w:sz="0" w:space="0" w:color="auto"/>
        <w:bottom w:val="none" w:sz="0" w:space="0" w:color="auto"/>
        <w:right w:val="none" w:sz="0" w:space="0" w:color="auto"/>
      </w:divBdr>
      <w:divsChild>
        <w:div w:id="2120220742">
          <w:marLeft w:val="0"/>
          <w:marRight w:val="0"/>
          <w:marTop w:val="40"/>
          <w:marBottom w:val="40"/>
          <w:divBdr>
            <w:top w:val="none" w:sz="0" w:space="0" w:color="auto"/>
            <w:left w:val="none" w:sz="0" w:space="0" w:color="auto"/>
            <w:bottom w:val="none" w:sz="0" w:space="0" w:color="auto"/>
            <w:right w:val="none" w:sz="0" w:space="0" w:color="auto"/>
          </w:divBdr>
        </w:div>
        <w:div w:id="218903211">
          <w:marLeft w:val="0"/>
          <w:marRight w:val="0"/>
          <w:marTop w:val="40"/>
          <w:marBottom w:val="40"/>
          <w:divBdr>
            <w:top w:val="none" w:sz="0" w:space="0" w:color="auto"/>
            <w:left w:val="none" w:sz="0" w:space="0" w:color="auto"/>
            <w:bottom w:val="none" w:sz="0" w:space="0" w:color="auto"/>
            <w:right w:val="none" w:sz="0" w:space="0" w:color="auto"/>
          </w:divBdr>
        </w:div>
        <w:div w:id="1394700194">
          <w:marLeft w:val="0"/>
          <w:marRight w:val="0"/>
          <w:marTop w:val="40"/>
          <w:marBottom w:val="40"/>
          <w:divBdr>
            <w:top w:val="none" w:sz="0" w:space="0" w:color="auto"/>
            <w:left w:val="none" w:sz="0" w:space="0" w:color="auto"/>
            <w:bottom w:val="none" w:sz="0" w:space="0" w:color="auto"/>
            <w:right w:val="none" w:sz="0" w:space="0" w:color="auto"/>
          </w:divBdr>
        </w:div>
        <w:div w:id="1173687848">
          <w:marLeft w:val="0"/>
          <w:marRight w:val="0"/>
          <w:marTop w:val="40"/>
          <w:marBottom w:val="40"/>
          <w:divBdr>
            <w:top w:val="none" w:sz="0" w:space="0" w:color="auto"/>
            <w:left w:val="none" w:sz="0" w:space="0" w:color="auto"/>
            <w:bottom w:val="none" w:sz="0" w:space="0" w:color="auto"/>
            <w:right w:val="none" w:sz="0" w:space="0" w:color="auto"/>
          </w:divBdr>
        </w:div>
      </w:divsChild>
    </w:div>
    <w:div w:id="1439522798">
      <w:marLeft w:val="0"/>
      <w:marRight w:val="0"/>
      <w:marTop w:val="0"/>
      <w:marBottom w:val="0"/>
      <w:divBdr>
        <w:top w:val="none" w:sz="0" w:space="0" w:color="auto"/>
        <w:left w:val="none" w:sz="0" w:space="0" w:color="auto"/>
        <w:bottom w:val="none" w:sz="0" w:space="0" w:color="auto"/>
        <w:right w:val="none" w:sz="0" w:space="0" w:color="auto"/>
      </w:divBdr>
    </w:div>
    <w:div w:id="1439789962">
      <w:marLeft w:val="0"/>
      <w:marRight w:val="0"/>
      <w:marTop w:val="0"/>
      <w:marBottom w:val="240"/>
      <w:divBdr>
        <w:top w:val="none" w:sz="0" w:space="0" w:color="auto"/>
        <w:left w:val="none" w:sz="0" w:space="0" w:color="auto"/>
        <w:bottom w:val="none" w:sz="0" w:space="0" w:color="auto"/>
        <w:right w:val="none" w:sz="0" w:space="0" w:color="auto"/>
      </w:divBdr>
    </w:div>
    <w:div w:id="1440223596">
      <w:marLeft w:val="0"/>
      <w:marRight w:val="0"/>
      <w:marTop w:val="0"/>
      <w:marBottom w:val="0"/>
      <w:divBdr>
        <w:top w:val="none" w:sz="0" w:space="0" w:color="auto"/>
        <w:left w:val="none" w:sz="0" w:space="0" w:color="auto"/>
        <w:bottom w:val="none" w:sz="0" w:space="0" w:color="auto"/>
        <w:right w:val="none" w:sz="0" w:space="0" w:color="auto"/>
      </w:divBdr>
    </w:div>
    <w:div w:id="1440955502">
      <w:marLeft w:val="0"/>
      <w:marRight w:val="0"/>
      <w:marTop w:val="0"/>
      <w:marBottom w:val="0"/>
      <w:divBdr>
        <w:top w:val="none" w:sz="0" w:space="0" w:color="auto"/>
        <w:left w:val="none" w:sz="0" w:space="0" w:color="auto"/>
        <w:bottom w:val="none" w:sz="0" w:space="0" w:color="auto"/>
        <w:right w:val="none" w:sz="0" w:space="0" w:color="auto"/>
      </w:divBdr>
    </w:div>
    <w:div w:id="1440955940">
      <w:marLeft w:val="0"/>
      <w:marRight w:val="0"/>
      <w:marTop w:val="0"/>
      <w:marBottom w:val="180"/>
      <w:divBdr>
        <w:top w:val="none" w:sz="0" w:space="0" w:color="auto"/>
        <w:left w:val="none" w:sz="0" w:space="0" w:color="auto"/>
        <w:bottom w:val="none" w:sz="0" w:space="0" w:color="auto"/>
        <w:right w:val="none" w:sz="0" w:space="0" w:color="auto"/>
      </w:divBdr>
    </w:div>
    <w:div w:id="1441333934">
      <w:marLeft w:val="0"/>
      <w:marRight w:val="0"/>
      <w:marTop w:val="0"/>
      <w:marBottom w:val="240"/>
      <w:divBdr>
        <w:top w:val="none" w:sz="0" w:space="0" w:color="auto"/>
        <w:left w:val="none" w:sz="0" w:space="0" w:color="auto"/>
        <w:bottom w:val="none" w:sz="0" w:space="0" w:color="auto"/>
        <w:right w:val="none" w:sz="0" w:space="0" w:color="auto"/>
      </w:divBdr>
    </w:div>
    <w:div w:id="1441757713">
      <w:marLeft w:val="0"/>
      <w:marRight w:val="0"/>
      <w:marTop w:val="0"/>
      <w:marBottom w:val="240"/>
      <w:divBdr>
        <w:top w:val="none" w:sz="0" w:space="0" w:color="auto"/>
        <w:left w:val="none" w:sz="0" w:space="0" w:color="auto"/>
        <w:bottom w:val="none" w:sz="0" w:space="0" w:color="auto"/>
        <w:right w:val="none" w:sz="0" w:space="0" w:color="auto"/>
      </w:divBdr>
    </w:div>
    <w:div w:id="1442145888">
      <w:marLeft w:val="0"/>
      <w:marRight w:val="0"/>
      <w:marTop w:val="0"/>
      <w:marBottom w:val="180"/>
      <w:divBdr>
        <w:top w:val="none" w:sz="0" w:space="0" w:color="auto"/>
        <w:left w:val="none" w:sz="0" w:space="0" w:color="auto"/>
        <w:bottom w:val="none" w:sz="0" w:space="0" w:color="auto"/>
        <w:right w:val="none" w:sz="0" w:space="0" w:color="auto"/>
      </w:divBdr>
    </w:div>
    <w:div w:id="1442187015">
      <w:marLeft w:val="0"/>
      <w:marRight w:val="0"/>
      <w:marTop w:val="0"/>
      <w:marBottom w:val="180"/>
      <w:divBdr>
        <w:top w:val="none" w:sz="0" w:space="0" w:color="auto"/>
        <w:left w:val="none" w:sz="0" w:space="0" w:color="auto"/>
        <w:bottom w:val="none" w:sz="0" w:space="0" w:color="auto"/>
        <w:right w:val="none" w:sz="0" w:space="0" w:color="auto"/>
      </w:divBdr>
    </w:div>
    <w:div w:id="1444223435">
      <w:marLeft w:val="0"/>
      <w:marRight w:val="0"/>
      <w:marTop w:val="0"/>
      <w:marBottom w:val="0"/>
      <w:divBdr>
        <w:top w:val="none" w:sz="0" w:space="0" w:color="auto"/>
        <w:left w:val="none" w:sz="0" w:space="0" w:color="auto"/>
        <w:bottom w:val="none" w:sz="0" w:space="0" w:color="auto"/>
        <w:right w:val="none" w:sz="0" w:space="0" w:color="auto"/>
      </w:divBdr>
      <w:divsChild>
        <w:div w:id="1752852646">
          <w:marLeft w:val="0"/>
          <w:marRight w:val="0"/>
          <w:marTop w:val="0"/>
          <w:marBottom w:val="0"/>
          <w:divBdr>
            <w:top w:val="none" w:sz="0" w:space="0" w:color="auto"/>
            <w:left w:val="none" w:sz="0" w:space="0" w:color="auto"/>
            <w:bottom w:val="none" w:sz="0" w:space="0" w:color="auto"/>
            <w:right w:val="none" w:sz="0" w:space="0" w:color="auto"/>
          </w:divBdr>
        </w:div>
      </w:divsChild>
    </w:div>
    <w:div w:id="1449158646">
      <w:marLeft w:val="0"/>
      <w:marRight w:val="0"/>
      <w:marTop w:val="0"/>
      <w:marBottom w:val="240"/>
      <w:divBdr>
        <w:top w:val="none" w:sz="0" w:space="0" w:color="auto"/>
        <w:left w:val="none" w:sz="0" w:space="0" w:color="auto"/>
        <w:bottom w:val="none" w:sz="0" w:space="0" w:color="auto"/>
        <w:right w:val="none" w:sz="0" w:space="0" w:color="auto"/>
      </w:divBdr>
    </w:div>
    <w:div w:id="1450464883">
      <w:marLeft w:val="0"/>
      <w:marRight w:val="0"/>
      <w:marTop w:val="0"/>
      <w:marBottom w:val="240"/>
      <w:divBdr>
        <w:top w:val="none" w:sz="0" w:space="0" w:color="auto"/>
        <w:left w:val="none" w:sz="0" w:space="0" w:color="auto"/>
        <w:bottom w:val="none" w:sz="0" w:space="0" w:color="auto"/>
        <w:right w:val="none" w:sz="0" w:space="0" w:color="auto"/>
      </w:divBdr>
    </w:div>
    <w:div w:id="1454012872">
      <w:marLeft w:val="0"/>
      <w:marRight w:val="0"/>
      <w:marTop w:val="60"/>
      <w:marBottom w:val="240"/>
      <w:divBdr>
        <w:top w:val="none" w:sz="0" w:space="0" w:color="auto"/>
        <w:left w:val="none" w:sz="0" w:space="0" w:color="auto"/>
        <w:bottom w:val="none" w:sz="0" w:space="0" w:color="auto"/>
        <w:right w:val="none" w:sz="0" w:space="0" w:color="auto"/>
      </w:divBdr>
    </w:div>
    <w:div w:id="1454522591">
      <w:marLeft w:val="0"/>
      <w:marRight w:val="0"/>
      <w:marTop w:val="0"/>
      <w:marBottom w:val="0"/>
      <w:divBdr>
        <w:top w:val="none" w:sz="0" w:space="0" w:color="auto"/>
        <w:left w:val="none" w:sz="0" w:space="0" w:color="auto"/>
        <w:bottom w:val="none" w:sz="0" w:space="0" w:color="auto"/>
        <w:right w:val="none" w:sz="0" w:space="0" w:color="auto"/>
      </w:divBdr>
    </w:div>
    <w:div w:id="1456370903">
      <w:marLeft w:val="0"/>
      <w:marRight w:val="0"/>
      <w:marTop w:val="0"/>
      <w:marBottom w:val="180"/>
      <w:divBdr>
        <w:top w:val="none" w:sz="0" w:space="0" w:color="auto"/>
        <w:left w:val="none" w:sz="0" w:space="0" w:color="auto"/>
        <w:bottom w:val="none" w:sz="0" w:space="0" w:color="auto"/>
        <w:right w:val="none" w:sz="0" w:space="0" w:color="auto"/>
      </w:divBdr>
    </w:div>
    <w:div w:id="1461148614">
      <w:marLeft w:val="0"/>
      <w:marRight w:val="0"/>
      <w:marTop w:val="0"/>
      <w:marBottom w:val="180"/>
      <w:divBdr>
        <w:top w:val="none" w:sz="0" w:space="0" w:color="auto"/>
        <w:left w:val="none" w:sz="0" w:space="0" w:color="auto"/>
        <w:bottom w:val="none" w:sz="0" w:space="0" w:color="auto"/>
        <w:right w:val="none" w:sz="0" w:space="0" w:color="auto"/>
      </w:divBdr>
    </w:div>
    <w:div w:id="1461411387">
      <w:marLeft w:val="0"/>
      <w:marRight w:val="0"/>
      <w:marTop w:val="180"/>
      <w:marBottom w:val="180"/>
      <w:divBdr>
        <w:top w:val="none" w:sz="0" w:space="0" w:color="auto"/>
        <w:left w:val="none" w:sz="0" w:space="0" w:color="auto"/>
        <w:bottom w:val="none" w:sz="0" w:space="0" w:color="auto"/>
        <w:right w:val="none" w:sz="0" w:space="0" w:color="auto"/>
      </w:divBdr>
    </w:div>
    <w:div w:id="1462965437">
      <w:marLeft w:val="0"/>
      <w:marRight w:val="0"/>
      <w:marTop w:val="0"/>
      <w:marBottom w:val="0"/>
      <w:divBdr>
        <w:top w:val="none" w:sz="0" w:space="0" w:color="auto"/>
        <w:left w:val="none" w:sz="0" w:space="0" w:color="auto"/>
        <w:bottom w:val="none" w:sz="0" w:space="0" w:color="auto"/>
        <w:right w:val="none" w:sz="0" w:space="0" w:color="auto"/>
      </w:divBdr>
    </w:div>
    <w:div w:id="1463111767">
      <w:marLeft w:val="0"/>
      <w:marRight w:val="0"/>
      <w:marTop w:val="180"/>
      <w:marBottom w:val="180"/>
      <w:divBdr>
        <w:top w:val="none" w:sz="0" w:space="0" w:color="auto"/>
        <w:left w:val="none" w:sz="0" w:space="0" w:color="auto"/>
        <w:bottom w:val="none" w:sz="0" w:space="0" w:color="auto"/>
        <w:right w:val="none" w:sz="0" w:space="0" w:color="auto"/>
      </w:divBdr>
    </w:div>
    <w:div w:id="1463687994">
      <w:marLeft w:val="0"/>
      <w:marRight w:val="0"/>
      <w:marTop w:val="120"/>
      <w:marBottom w:val="180"/>
      <w:divBdr>
        <w:top w:val="none" w:sz="0" w:space="0" w:color="auto"/>
        <w:left w:val="none" w:sz="0" w:space="0" w:color="auto"/>
        <w:bottom w:val="none" w:sz="0" w:space="0" w:color="auto"/>
        <w:right w:val="none" w:sz="0" w:space="0" w:color="auto"/>
      </w:divBdr>
    </w:div>
    <w:div w:id="1466850707">
      <w:marLeft w:val="0"/>
      <w:marRight w:val="0"/>
      <w:marTop w:val="0"/>
      <w:marBottom w:val="240"/>
      <w:divBdr>
        <w:top w:val="none" w:sz="0" w:space="0" w:color="auto"/>
        <w:left w:val="none" w:sz="0" w:space="0" w:color="auto"/>
        <w:bottom w:val="none" w:sz="0" w:space="0" w:color="auto"/>
        <w:right w:val="none" w:sz="0" w:space="0" w:color="auto"/>
      </w:divBdr>
    </w:div>
    <w:div w:id="1466851642">
      <w:marLeft w:val="0"/>
      <w:marRight w:val="0"/>
      <w:marTop w:val="360"/>
      <w:marBottom w:val="140"/>
      <w:divBdr>
        <w:top w:val="none" w:sz="0" w:space="0" w:color="auto"/>
        <w:left w:val="none" w:sz="0" w:space="0" w:color="auto"/>
        <w:bottom w:val="none" w:sz="0" w:space="0" w:color="auto"/>
        <w:right w:val="none" w:sz="0" w:space="0" w:color="auto"/>
      </w:divBdr>
    </w:div>
    <w:div w:id="1467316938">
      <w:marLeft w:val="0"/>
      <w:marRight w:val="0"/>
      <w:marTop w:val="180"/>
      <w:marBottom w:val="180"/>
      <w:divBdr>
        <w:top w:val="none" w:sz="0" w:space="0" w:color="auto"/>
        <w:left w:val="none" w:sz="0" w:space="0" w:color="auto"/>
        <w:bottom w:val="none" w:sz="0" w:space="0" w:color="auto"/>
        <w:right w:val="none" w:sz="0" w:space="0" w:color="auto"/>
      </w:divBdr>
    </w:div>
    <w:div w:id="1467628609">
      <w:marLeft w:val="0"/>
      <w:marRight w:val="0"/>
      <w:marTop w:val="0"/>
      <w:marBottom w:val="0"/>
      <w:divBdr>
        <w:top w:val="none" w:sz="0" w:space="0" w:color="auto"/>
        <w:left w:val="none" w:sz="0" w:space="0" w:color="auto"/>
        <w:bottom w:val="none" w:sz="0" w:space="0" w:color="auto"/>
        <w:right w:val="none" w:sz="0" w:space="0" w:color="auto"/>
      </w:divBdr>
    </w:div>
    <w:div w:id="1468351294">
      <w:marLeft w:val="0"/>
      <w:marRight w:val="0"/>
      <w:marTop w:val="0"/>
      <w:marBottom w:val="180"/>
      <w:divBdr>
        <w:top w:val="none" w:sz="0" w:space="0" w:color="auto"/>
        <w:left w:val="none" w:sz="0" w:space="0" w:color="auto"/>
        <w:bottom w:val="none" w:sz="0" w:space="0" w:color="auto"/>
        <w:right w:val="none" w:sz="0" w:space="0" w:color="auto"/>
      </w:divBdr>
    </w:div>
    <w:div w:id="1470517271">
      <w:marLeft w:val="0"/>
      <w:marRight w:val="0"/>
      <w:marTop w:val="0"/>
      <w:marBottom w:val="240"/>
      <w:divBdr>
        <w:top w:val="none" w:sz="0" w:space="0" w:color="auto"/>
        <w:left w:val="none" w:sz="0" w:space="0" w:color="auto"/>
        <w:bottom w:val="none" w:sz="0" w:space="0" w:color="auto"/>
        <w:right w:val="none" w:sz="0" w:space="0" w:color="auto"/>
      </w:divBdr>
    </w:div>
    <w:div w:id="1471366470">
      <w:marLeft w:val="0"/>
      <w:marRight w:val="0"/>
      <w:marTop w:val="0"/>
      <w:marBottom w:val="240"/>
      <w:divBdr>
        <w:top w:val="none" w:sz="0" w:space="0" w:color="auto"/>
        <w:left w:val="none" w:sz="0" w:space="0" w:color="auto"/>
        <w:bottom w:val="none" w:sz="0" w:space="0" w:color="auto"/>
        <w:right w:val="none" w:sz="0" w:space="0" w:color="auto"/>
      </w:divBdr>
    </w:div>
    <w:div w:id="1471441329">
      <w:marLeft w:val="0"/>
      <w:marRight w:val="0"/>
      <w:marTop w:val="100"/>
      <w:marBottom w:val="0"/>
      <w:divBdr>
        <w:top w:val="none" w:sz="0" w:space="0" w:color="auto"/>
        <w:left w:val="none" w:sz="0" w:space="0" w:color="auto"/>
        <w:bottom w:val="none" w:sz="0" w:space="0" w:color="auto"/>
        <w:right w:val="none" w:sz="0" w:space="0" w:color="auto"/>
      </w:divBdr>
    </w:div>
    <w:div w:id="1472751763">
      <w:marLeft w:val="0"/>
      <w:marRight w:val="0"/>
      <w:marTop w:val="100"/>
      <w:marBottom w:val="0"/>
      <w:divBdr>
        <w:top w:val="none" w:sz="0" w:space="0" w:color="auto"/>
        <w:left w:val="none" w:sz="0" w:space="0" w:color="auto"/>
        <w:bottom w:val="none" w:sz="0" w:space="0" w:color="auto"/>
        <w:right w:val="none" w:sz="0" w:space="0" w:color="auto"/>
      </w:divBdr>
    </w:div>
    <w:div w:id="1473062284">
      <w:marLeft w:val="0"/>
      <w:marRight w:val="0"/>
      <w:marTop w:val="180"/>
      <w:marBottom w:val="180"/>
      <w:divBdr>
        <w:top w:val="none" w:sz="0" w:space="0" w:color="auto"/>
        <w:left w:val="none" w:sz="0" w:space="0" w:color="auto"/>
        <w:bottom w:val="none" w:sz="0" w:space="0" w:color="auto"/>
        <w:right w:val="none" w:sz="0" w:space="0" w:color="auto"/>
      </w:divBdr>
    </w:div>
    <w:div w:id="1473064171">
      <w:marLeft w:val="0"/>
      <w:marRight w:val="0"/>
      <w:marTop w:val="0"/>
      <w:marBottom w:val="0"/>
      <w:divBdr>
        <w:top w:val="none" w:sz="0" w:space="0" w:color="auto"/>
        <w:left w:val="none" w:sz="0" w:space="0" w:color="auto"/>
        <w:bottom w:val="none" w:sz="0" w:space="0" w:color="auto"/>
        <w:right w:val="none" w:sz="0" w:space="0" w:color="auto"/>
      </w:divBdr>
    </w:div>
    <w:div w:id="1475416101">
      <w:marLeft w:val="0"/>
      <w:marRight w:val="0"/>
      <w:marTop w:val="0"/>
      <w:marBottom w:val="180"/>
      <w:divBdr>
        <w:top w:val="none" w:sz="0" w:space="0" w:color="auto"/>
        <w:left w:val="none" w:sz="0" w:space="0" w:color="auto"/>
        <w:bottom w:val="none" w:sz="0" w:space="0" w:color="auto"/>
        <w:right w:val="none" w:sz="0" w:space="0" w:color="auto"/>
      </w:divBdr>
    </w:div>
    <w:div w:id="1476681089">
      <w:marLeft w:val="0"/>
      <w:marRight w:val="0"/>
      <w:marTop w:val="0"/>
      <w:marBottom w:val="0"/>
      <w:divBdr>
        <w:top w:val="none" w:sz="0" w:space="0" w:color="auto"/>
        <w:left w:val="none" w:sz="0" w:space="0" w:color="auto"/>
        <w:bottom w:val="none" w:sz="0" w:space="0" w:color="auto"/>
        <w:right w:val="none" w:sz="0" w:space="0" w:color="auto"/>
      </w:divBdr>
      <w:divsChild>
        <w:div w:id="648637496">
          <w:marLeft w:val="0"/>
          <w:marRight w:val="0"/>
          <w:marTop w:val="0"/>
          <w:marBottom w:val="0"/>
          <w:divBdr>
            <w:top w:val="none" w:sz="0" w:space="0" w:color="auto"/>
            <w:left w:val="none" w:sz="0" w:space="0" w:color="auto"/>
            <w:bottom w:val="none" w:sz="0" w:space="0" w:color="auto"/>
            <w:right w:val="none" w:sz="0" w:space="0" w:color="auto"/>
          </w:divBdr>
        </w:div>
      </w:divsChild>
    </w:div>
    <w:div w:id="1477600164">
      <w:marLeft w:val="0"/>
      <w:marRight w:val="0"/>
      <w:marTop w:val="0"/>
      <w:marBottom w:val="240"/>
      <w:divBdr>
        <w:top w:val="none" w:sz="0" w:space="0" w:color="auto"/>
        <w:left w:val="none" w:sz="0" w:space="0" w:color="auto"/>
        <w:bottom w:val="none" w:sz="0" w:space="0" w:color="auto"/>
        <w:right w:val="none" w:sz="0" w:space="0" w:color="auto"/>
      </w:divBdr>
    </w:div>
    <w:div w:id="1477794545">
      <w:marLeft w:val="0"/>
      <w:marRight w:val="0"/>
      <w:marTop w:val="0"/>
      <w:marBottom w:val="180"/>
      <w:divBdr>
        <w:top w:val="none" w:sz="0" w:space="0" w:color="auto"/>
        <w:left w:val="none" w:sz="0" w:space="0" w:color="auto"/>
        <w:bottom w:val="none" w:sz="0" w:space="0" w:color="auto"/>
        <w:right w:val="none" w:sz="0" w:space="0" w:color="auto"/>
      </w:divBdr>
    </w:div>
    <w:div w:id="1479688211">
      <w:marLeft w:val="0"/>
      <w:marRight w:val="0"/>
      <w:marTop w:val="0"/>
      <w:marBottom w:val="0"/>
      <w:divBdr>
        <w:top w:val="none" w:sz="0" w:space="0" w:color="auto"/>
        <w:left w:val="none" w:sz="0" w:space="0" w:color="auto"/>
        <w:bottom w:val="none" w:sz="0" w:space="0" w:color="auto"/>
        <w:right w:val="none" w:sz="0" w:space="0" w:color="auto"/>
      </w:divBdr>
    </w:div>
    <w:div w:id="1481464997">
      <w:marLeft w:val="0"/>
      <w:marRight w:val="0"/>
      <w:marTop w:val="120"/>
      <w:marBottom w:val="120"/>
      <w:divBdr>
        <w:top w:val="none" w:sz="0" w:space="0" w:color="auto"/>
        <w:left w:val="none" w:sz="0" w:space="0" w:color="auto"/>
        <w:bottom w:val="none" w:sz="0" w:space="0" w:color="auto"/>
        <w:right w:val="none" w:sz="0" w:space="0" w:color="auto"/>
      </w:divBdr>
    </w:div>
    <w:div w:id="1481924259">
      <w:marLeft w:val="0"/>
      <w:marRight w:val="0"/>
      <w:marTop w:val="0"/>
      <w:marBottom w:val="0"/>
      <w:divBdr>
        <w:top w:val="none" w:sz="0" w:space="0" w:color="auto"/>
        <w:left w:val="none" w:sz="0" w:space="0" w:color="auto"/>
        <w:bottom w:val="none" w:sz="0" w:space="0" w:color="auto"/>
        <w:right w:val="none" w:sz="0" w:space="0" w:color="auto"/>
      </w:divBdr>
    </w:div>
    <w:div w:id="1482229547">
      <w:marLeft w:val="0"/>
      <w:marRight w:val="0"/>
      <w:marTop w:val="0"/>
      <w:marBottom w:val="0"/>
      <w:divBdr>
        <w:top w:val="none" w:sz="0" w:space="0" w:color="auto"/>
        <w:left w:val="none" w:sz="0" w:space="0" w:color="auto"/>
        <w:bottom w:val="none" w:sz="0" w:space="0" w:color="auto"/>
        <w:right w:val="none" w:sz="0" w:space="0" w:color="auto"/>
      </w:divBdr>
    </w:div>
    <w:div w:id="1482230456">
      <w:marLeft w:val="0"/>
      <w:marRight w:val="0"/>
      <w:marTop w:val="0"/>
      <w:marBottom w:val="0"/>
      <w:divBdr>
        <w:top w:val="none" w:sz="0" w:space="0" w:color="auto"/>
        <w:left w:val="none" w:sz="0" w:space="0" w:color="auto"/>
        <w:bottom w:val="none" w:sz="0" w:space="0" w:color="auto"/>
        <w:right w:val="none" w:sz="0" w:space="0" w:color="auto"/>
      </w:divBdr>
      <w:divsChild>
        <w:div w:id="1444110565">
          <w:marLeft w:val="0"/>
          <w:marRight w:val="0"/>
          <w:marTop w:val="0"/>
          <w:marBottom w:val="0"/>
          <w:divBdr>
            <w:top w:val="none" w:sz="0" w:space="0" w:color="auto"/>
            <w:left w:val="none" w:sz="0" w:space="0" w:color="auto"/>
            <w:bottom w:val="none" w:sz="0" w:space="0" w:color="auto"/>
            <w:right w:val="none" w:sz="0" w:space="0" w:color="auto"/>
          </w:divBdr>
        </w:div>
        <w:div w:id="1237671114">
          <w:marLeft w:val="0"/>
          <w:marRight w:val="0"/>
          <w:marTop w:val="0"/>
          <w:marBottom w:val="0"/>
          <w:divBdr>
            <w:top w:val="none" w:sz="0" w:space="0" w:color="auto"/>
            <w:left w:val="none" w:sz="0" w:space="0" w:color="auto"/>
            <w:bottom w:val="none" w:sz="0" w:space="0" w:color="auto"/>
            <w:right w:val="none" w:sz="0" w:space="0" w:color="auto"/>
          </w:divBdr>
        </w:div>
      </w:divsChild>
    </w:div>
    <w:div w:id="1483503747">
      <w:marLeft w:val="0"/>
      <w:marRight w:val="0"/>
      <w:marTop w:val="0"/>
      <w:marBottom w:val="180"/>
      <w:divBdr>
        <w:top w:val="none" w:sz="0" w:space="0" w:color="auto"/>
        <w:left w:val="none" w:sz="0" w:space="0" w:color="auto"/>
        <w:bottom w:val="none" w:sz="0" w:space="0" w:color="auto"/>
        <w:right w:val="none" w:sz="0" w:space="0" w:color="auto"/>
      </w:divBdr>
    </w:div>
    <w:div w:id="1485272738">
      <w:marLeft w:val="0"/>
      <w:marRight w:val="0"/>
      <w:marTop w:val="0"/>
      <w:marBottom w:val="240"/>
      <w:divBdr>
        <w:top w:val="none" w:sz="0" w:space="0" w:color="auto"/>
        <w:left w:val="none" w:sz="0" w:space="0" w:color="auto"/>
        <w:bottom w:val="none" w:sz="0" w:space="0" w:color="auto"/>
        <w:right w:val="none" w:sz="0" w:space="0" w:color="auto"/>
      </w:divBdr>
    </w:div>
    <w:div w:id="1485511507">
      <w:marLeft w:val="0"/>
      <w:marRight w:val="0"/>
      <w:marTop w:val="0"/>
      <w:marBottom w:val="0"/>
      <w:divBdr>
        <w:top w:val="none" w:sz="0" w:space="0" w:color="auto"/>
        <w:left w:val="none" w:sz="0" w:space="0" w:color="auto"/>
        <w:bottom w:val="none" w:sz="0" w:space="0" w:color="auto"/>
        <w:right w:val="none" w:sz="0" w:space="0" w:color="auto"/>
      </w:divBdr>
      <w:divsChild>
        <w:div w:id="1700859984">
          <w:marLeft w:val="0"/>
          <w:marRight w:val="0"/>
          <w:marTop w:val="0"/>
          <w:marBottom w:val="0"/>
          <w:divBdr>
            <w:top w:val="none" w:sz="0" w:space="0" w:color="auto"/>
            <w:left w:val="none" w:sz="0" w:space="0" w:color="auto"/>
            <w:bottom w:val="none" w:sz="0" w:space="0" w:color="auto"/>
            <w:right w:val="none" w:sz="0" w:space="0" w:color="auto"/>
          </w:divBdr>
        </w:div>
        <w:div w:id="1352103763">
          <w:marLeft w:val="0"/>
          <w:marRight w:val="0"/>
          <w:marTop w:val="0"/>
          <w:marBottom w:val="0"/>
          <w:divBdr>
            <w:top w:val="none" w:sz="0" w:space="0" w:color="auto"/>
            <w:left w:val="none" w:sz="0" w:space="0" w:color="auto"/>
            <w:bottom w:val="none" w:sz="0" w:space="0" w:color="auto"/>
            <w:right w:val="none" w:sz="0" w:space="0" w:color="auto"/>
          </w:divBdr>
        </w:div>
      </w:divsChild>
    </w:div>
    <w:div w:id="1485850733">
      <w:marLeft w:val="0"/>
      <w:marRight w:val="0"/>
      <w:marTop w:val="180"/>
      <w:marBottom w:val="180"/>
      <w:divBdr>
        <w:top w:val="none" w:sz="0" w:space="0" w:color="auto"/>
        <w:left w:val="none" w:sz="0" w:space="0" w:color="auto"/>
        <w:bottom w:val="none" w:sz="0" w:space="0" w:color="auto"/>
        <w:right w:val="none" w:sz="0" w:space="0" w:color="auto"/>
      </w:divBdr>
    </w:div>
    <w:div w:id="1487168445">
      <w:marLeft w:val="0"/>
      <w:marRight w:val="0"/>
      <w:marTop w:val="0"/>
      <w:marBottom w:val="240"/>
      <w:divBdr>
        <w:top w:val="none" w:sz="0" w:space="0" w:color="auto"/>
        <w:left w:val="none" w:sz="0" w:space="0" w:color="auto"/>
        <w:bottom w:val="none" w:sz="0" w:space="0" w:color="auto"/>
        <w:right w:val="none" w:sz="0" w:space="0" w:color="auto"/>
      </w:divBdr>
    </w:div>
    <w:div w:id="1488592612">
      <w:marLeft w:val="0"/>
      <w:marRight w:val="0"/>
      <w:marTop w:val="0"/>
      <w:marBottom w:val="0"/>
      <w:divBdr>
        <w:top w:val="none" w:sz="0" w:space="0" w:color="auto"/>
        <w:left w:val="none" w:sz="0" w:space="0" w:color="auto"/>
        <w:bottom w:val="none" w:sz="0" w:space="0" w:color="auto"/>
        <w:right w:val="none" w:sz="0" w:space="0" w:color="auto"/>
      </w:divBdr>
    </w:div>
    <w:div w:id="1489981755">
      <w:marLeft w:val="0"/>
      <w:marRight w:val="0"/>
      <w:marTop w:val="0"/>
      <w:marBottom w:val="240"/>
      <w:divBdr>
        <w:top w:val="none" w:sz="0" w:space="0" w:color="auto"/>
        <w:left w:val="none" w:sz="0" w:space="0" w:color="auto"/>
        <w:bottom w:val="none" w:sz="0" w:space="0" w:color="auto"/>
        <w:right w:val="none" w:sz="0" w:space="0" w:color="auto"/>
      </w:divBdr>
    </w:div>
    <w:div w:id="1491604104">
      <w:marLeft w:val="0"/>
      <w:marRight w:val="0"/>
      <w:marTop w:val="100"/>
      <w:marBottom w:val="0"/>
      <w:divBdr>
        <w:top w:val="none" w:sz="0" w:space="0" w:color="auto"/>
        <w:left w:val="none" w:sz="0" w:space="0" w:color="auto"/>
        <w:bottom w:val="none" w:sz="0" w:space="0" w:color="auto"/>
        <w:right w:val="none" w:sz="0" w:space="0" w:color="auto"/>
      </w:divBdr>
      <w:divsChild>
        <w:div w:id="1164590084">
          <w:marLeft w:val="0"/>
          <w:marRight w:val="0"/>
          <w:marTop w:val="0"/>
          <w:marBottom w:val="0"/>
          <w:divBdr>
            <w:top w:val="none" w:sz="0" w:space="0" w:color="auto"/>
            <w:left w:val="none" w:sz="0" w:space="0" w:color="auto"/>
            <w:bottom w:val="none" w:sz="0" w:space="0" w:color="auto"/>
            <w:right w:val="none" w:sz="0" w:space="0" w:color="auto"/>
          </w:divBdr>
        </w:div>
        <w:div w:id="275799667">
          <w:marLeft w:val="0"/>
          <w:marRight w:val="0"/>
          <w:marTop w:val="0"/>
          <w:marBottom w:val="0"/>
          <w:divBdr>
            <w:top w:val="none" w:sz="0" w:space="0" w:color="auto"/>
            <w:left w:val="none" w:sz="0" w:space="0" w:color="auto"/>
            <w:bottom w:val="none" w:sz="0" w:space="0" w:color="auto"/>
            <w:right w:val="none" w:sz="0" w:space="0" w:color="auto"/>
          </w:divBdr>
        </w:div>
        <w:div w:id="15236333">
          <w:marLeft w:val="0"/>
          <w:marRight w:val="0"/>
          <w:marTop w:val="0"/>
          <w:marBottom w:val="0"/>
          <w:divBdr>
            <w:top w:val="none" w:sz="0" w:space="0" w:color="auto"/>
            <w:left w:val="none" w:sz="0" w:space="0" w:color="auto"/>
            <w:bottom w:val="none" w:sz="0" w:space="0" w:color="auto"/>
            <w:right w:val="none" w:sz="0" w:space="0" w:color="auto"/>
          </w:divBdr>
        </w:div>
      </w:divsChild>
    </w:div>
    <w:div w:id="1491824924">
      <w:marLeft w:val="0"/>
      <w:marRight w:val="0"/>
      <w:marTop w:val="0"/>
      <w:marBottom w:val="0"/>
      <w:divBdr>
        <w:top w:val="none" w:sz="0" w:space="0" w:color="auto"/>
        <w:left w:val="none" w:sz="0" w:space="0" w:color="auto"/>
        <w:bottom w:val="none" w:sz="0" w:space="0" w:color="auto"/>
        <w:right w:val="none" w:sz="0" w:space="0" w:color="auto"/>
      </w:divBdr>
    </w:div>
    <w:div w:id="1492789504">
      <w:marLeft w:val="0"/>
      <w:marRight w:val="0"/>
      <w:marTop w:val="120"/>
      <w:marBottom w:val="180"/>
      <w:divBdr>
        <w:top w:val="none" w:sz="0" w:space="0" w:color="auto"/>
        <w:left w:val="none" w:sz="0" w:space="0" w:color="auto"/>
        <w:bottom w:val="none" w:sz="0" w:space="0" w:color="auto"/>
        <w:right w:val="none" w:sz="0" w:space="0" w:color="auto"/>
      </w:divBdr>
    </w:div>
    <w:div w:id="1495145882">
      <w:marLeft w:val="0"/>
      <w:marRight w:val="0"/>
      <w:marTop w:val="0"/>
      <w:marBottom w:val="240"/>
      <w:divBdr>
        <w:top w:val="none" w:sz="0" w:space="0" w:color="auto"/>
        <w:left w:val="none" w:sz="0" w:space="0" w:color="auto"/>
        <w:bottom w:val="none" w:sz="0" w:space="0" w:color="auto"/>
        <w:right w:val="none" w:sz="0" w:space="0" w:color="auto"/>
      </w:divBdr>
    </w:div>
    <w:div w:id="1497111909">
      <w:marLeft w:val="0"/>
      <w:marRight w:val="0"/>
      <w:marTop w:val="0"/>
      <w:marBottom w:val="0"/>
      <w:divBdr>
        <w:top w:val="none" w:sz="0" w:space="0" w:color="auto"/>
        <w:left w:val="none" w:sz="0" w:space="0" w:color="auto"/>
        <w:bottom w:val="none" w:sz="0" w:space="0" w:color="auto"/>
        <w:right w:val="none" w:sz="0" w:space="0" w:color="auto"/>
      </w:divBdr>
      <w:divsChild>
        <w:div w:id="351341791">
          <w:marLeft w:val="0"/>
          <w:marRight w:val="0"/>
          <w:marTop w:val="0"/>
          <w:marBottom w:val="0"/>
          <w:divBdr>
            <w:top w:val="none" w:sz="0" w:space="0" w:color="auto"/>
            <w:left w:val="none" w:sz="0" w:space="0" w:color="auto"/>
            <w:bottom w:val="none" w:sz="0" w:space="0" w:color="auto"/>
            <w:right w:val="none" w:sz="0" w:space="0" w:color="auto"/>
          </w:divBdr>
        </w:div>
      </w:divsChild>
    </w:div>
    <w:div w:id="1497308597">
      <w:marLeft w:val="0"/>
      <w:marRight w:val="0"/>
      <w:marTop w:val="0"/>
      <w:marBottom w:val="180"/>
      <w:divBdr>
        <w:top w:val="none" w:sz="0" w:space="0" w:color="auto"/>
        <w:left w:val="none" w:sz="0" w:space="0" w:color="auto"/>
        <w:bottom w:val="none" w:sz="0" w:space="0" w:color="auto"/>
        <w:right w:val="none" w:sz="0" w:space="0" w:color="auto"/>
      </w:divBdr>
    </w:div>
    <w:div w:id="1497570740">
      <w:marLeft w:val="0"/>
      <w:marRight w:val="0"/>
      <w:marTop w:val="120"/>
      <w:marBottom w:val="120"/>
      <w:divBdr>
        <w:top w:val="none" w:sz="0" w:space="0" w:color="auto"/>
        <w:left w:val="none" w:sz="0" w:space="0" w:color="auto"/>
        <w:bottom w:val="none" w:sz="0" w:space="0" w:color="auto"/>
        <w:right w:val="none" w:sz="0" w:space="0" w:color="auto"/>
      </w:divBdr>
    </w:div>
    <w:div w:id="1497645810">
      <w:marLeft w:val="0"/>
      <w:marRight w:val="0"/>
      <w:marTop w:val="0"/>
      <w:marBottom w:val="20"/>
      <w:divBdr>
        <w:top w:val="none" w:sz="0" w:space="0" w:color="auto"/>
        <w:left w:val="none" w:sz="0" w:space="0" w:color="auto"/>
        <w:bottom w:val="none" w:sz="0" w:space="0" w:color="auto"/>
        <w:right w:val="none" w:sz="0" w:space="0" w:color="auto"/>
      </w:divBdr>
    </w:div>
    <w:div w:id="1498887324">
      <w:marLeft w:val="0"/>
      <w:marRight w:val="0"/>
      <w:marTop w:val="0"/>
      <w:marBottom w:val="0"/>
      <w:divBdr>
        <w:top w:val="none" w:sz="0" w:space="0" w:color="auto"/>
        <w:left w:val="none" w:sz="0" w:space="0" w:color="auto"/>
        <w:bottom w:val="none" w:sz="0" w:space="0" w:color="auto"/>
        <w:right w:val="none" w:sz="0" w:space="0" w:color="auto"/>
      </w:divBdr>
      <w:divsChild>
        <w:div w:id="1867861326">
          <w:marLeft w:val="0"/>
          <w:marRight w:val="0"/>
          <w:marTop w:val="0"/>
          <w:marBottom w:val="0"/>
          <w:divBdr>
            <w:top w:val="none" w:sz="0" w:space="0" w:color="auto"/>
            <w:left w:val="none" w:sz="0" w:space="0" w:color="auto"/>
            <w:bottom w:val="none" w:sz="0" w:space="0" w:color="auto"/>
            <w:right w:val="none" w:sz="0" w:space="0" w:color="auto"/>
          </w:divBdr>
        </w:div>
      </w:divsChild>
    </w:div>
    <w:div w:id="1500080137">
      <w:marLeft w:val="0"/>
      <w:marRight w:val="0"/>
      <w:marTop w:val="0"/>
      <w:marBottom w:val="0"/>
      <w:divBdr>
        <w:top w:val="none" w:sz="0" w:space="0" w:color="auto"/>
        <w:left w:val="none" w:sz="0" w:space="0" w:color="auto"/>
        <w:bottom w:val="none" w:sz="0" w:space="0" w:color="auto"/>
        <w:right w:val="none" w:sz="0" w:space="0" w:color="auto"/>
      </w:divBdr>
    </w:div>
    <w:div w:id="1500463972">
      <w:marLeft w:val="0"/>
      <w:marRight w:val="0"/>
      <w:marTop w:val="0"/>
      <w:marBottom w:val="240"/>
      <w:divBdr>
        <w:top w:val="none" w:sz="0" w:space="0" w:color="auto"/>
        <w:left w:val="none" w:sz="0" w:space="0" w:color="auto"/>
        <w:bottom w:val="none" w:sz="0" w:space="0" w:color="auto"/>
        <w:right w:val="none" w:sz="0" w:space="0" w:color="auto"/>
      </w:divBdr>
    </w:div>
    <w:div w:id="1501003673">
      <w:marLeft w:val="0"/>
      <w:marRight w:val="0"/>
      <w:marTop w:val="0"/>
      <w:marBottom w:val="180"/>
      <w:divBdr>
        <w:top w:val="none" w:sz="0" w:space="0" w:color="auto"/>
        <w:left w:val="none" w:sz="0" w:space="0" w:color="auto"/>
        <w:bottom w:val="none" w:sz="0" w:space="0" w:color="auto"/>
        <w:right w:val="none" w:sz="0" w:space="0" w:color="auto"/>
      </w:divBdr>
    </w:div>
    <w:div w:id="1501971118">
      <w:marLeft w:val="0"/>
      <w:marRight w:val="0"/>
      <w:marTop w:val="0"/>
      <w:marBottom w:val="180"/>
      <w:divBdr>
        <w:top w:val="none" w:sz="0" w:space="0" w:color="auto"/>
        <w:left w:val="none" w:sz="0" w:space="0" w:color="auto"/>
        <w:bottom w:val="none" w:sz="0" w:space="0" w:color="auto"/>
        <w:right w:val="none" w:sz="0" w:space="0" w:color="auto"/>
      </w:divBdr>
    </w:div>
    <w:div w:id="1502811004">
      <w:marLeft w:val="0"/>
      <w:marRight w:val="0"/>
      <w:marTop w:val="0"/>
      <w:marBottom w:val="180"/>
      <w:divBdr>
        <w:top w:val="none" w:sz="0" w:space="0" w:color="auto"/>
        <w:left w:val="none" w:sz="0" w:space="0" w:color="auto"/>
        <w:bottom w:val="none" w:sz="0" w:space="0" w:color="auto"/>
        <w:right w:val="none" w:sz="0" w:space="0" w:color="auto"/>
      </w:divBdr>
    </w:div>
    <w:div w:id="1503206596">
      <w:marLeft w:val="0"/>
      <w:marRight w:val="0"/>
      <w:marTop w:val="100"/>
      <w:marBottom w:val="0"/>
      <w:divBdr>
        <w:top w:val="none" w:sz="0" w:space="0" w:color="auto"/>
        <w:left w:val="none" w:sz="0" w:space="0" w:color="auto"/>
        <w:bottom w:val="none" w:sz="0" w:space="0" w:color="auto"/>
        <w:right w:val="none" w:sz="0" w:space="0" w:color="auto"/>
      </w:divBdr>
    </w:div>
    <w:div w:id="1503474061">
      <w:marLeft w:val="0"/>
      <w:marRight w:val="0"/>
      <w:marTop w:val="0"/>
      <w:marBottom w:val="240"/>
      <w:divBdr>
        <w:top w:val="none" w:sz="0" w:space="0" w:color="auto"/>
        <w:left w:val="none" w:sz="0" w:space="0" w:color="auto"/>
        <w:bottom w:val="none" w:sz="0" w:space="0" w:color="auto"/>
        <w:right w:val="none" w:sz="0" w:space="0" w:color="auto"/>
      </w:divBdr>
    </w:div>
    <w:div w:id="1510560720">
      <w:marLeft w:val="0"/>
      <w:marRight w:val="0"/>
      <w:marTop w:val="0"/>
      <w:marBottom w:val="0"/>
      <w:divBdr>
        <w:top w:val="none" w:sz="0" w:space="0" w:color="auto"/>
        <w:left w:val="none" w:sz="0" w:space="0" w:color="auto"/>
        <w:bottom w:val="none" w:sz="0" w:space="0" w:color="auto"/>
        <w:right w:val="none" w:sz="0" w:space="0" w:color="auto"/>
      </w:divBdr>
    </w:div>
    <w:div w:id="1512837144">
      <w:marLeft w:val="0"/>
      <w:marRight w:val="0"/>
      <w:marTop w:val="120"/>
      <w:marBottom w:val="240"/>
      <w:divBdr>
        <w:top w:val="none" w:sz="0" w:space="0" w:color="auto"/>
        <w:left w:val="none" w:sz="0" w:space="0" w:color="auto"/>
        <w:bottom w:val="none" w:sz="0" w:space="0" w:color="auto"/>
        <w:right w:val="none" w:sz="0" w:space="0" w:color="auto"/>
      </w:divBdr>
    </w:div>
    <w:div w:id="1513183151">
      <w:marLeft w:val="0"/>
      <w:marRight w:val="0"/>
      <w:marTop w:val="0"/>
      <w:marBottom w:val="180"/>
      <w:divBdr>
        <w:top w:val="none" w:sz="0" w:space="0" w:color="auto"/>
        <w:left w:val="none" w:sz="0" w:space="0" w:color="auto"/>
        <w:bottom w:val="none" w:sz="0" w:space="0" w:color="auto"/>
        <w:right w:val="none" w:sz="0" w:space="0" w:color="auto"/>
      </w:divBdr>
    </w:div>
    <w:div w:id="1514606062">
      <w:marLeft w:val="0"/>
      <w:marRight w:val="0"/>
      <w:marTop w:val="0"/>
      <w:marBottom w:val="0"/>
      <w:divBdr>
        <w:top w:val="none" w:sz="0" w:space="0" w:color="auto"/>
        <w:left w:val="none" w:sz="0" w:space="0" w:color="auto"/>
        <w:bottom w:val="none" w:sz="0" w:space="0" w:color="auto"/>
        <w:right w:val="none" w:sz="0" w:space="0" w:color="auto"/>
      </w:divBdr>
      <w:divsChild>
        <w:div w:id="820846690">
          <w:marLeft w:val="0"/>
          <w:marRight w:val="0"/>
          <w:marTop w:val="0"/>
          <w:marBottom w:val="0"/>
          <w:divBdr>
            <w:top w:val="none" w:sz="0" w:space="0" w:color="auto"/>
            <w:left w:val="none" w:sz="0" w:space="0" w:color="auto"/>
            <w:bottom w:val="none" w:sz="0" w:space="0" w:color="auto"/>
            <w:right w:val="none" w:sz="0" w:space="0" w:color="auto"/>
          </w:divBdr>
        </w:div>
      </w:divsChild>
    </w:div>
    <w:div w:id="1515683137">
      <w:marLeft w:val="0"/>
      <w:marRight w:val="0"/>
      <w:marTop w:val="0"/>
      <w:marBottom w:val="180"/>
      <w:divBdr>
        <w:top w:val="none" w:sz="0" w:space="0" w:color="auto"/>
        <w:left w:val="none" w:sz="0" w:space="0" w:color="auto"/>
        <w:bottom w:val="none" w:sz="0" w:space="0" w:color="auto"/>
        <w:right w:val="none" w:sz="0" w:space="0" w:color="auto"/>
      </w:divBdr>
    </w:div>
    <w:div w:id="1519270339">
      <w:marLeft w:val="0"/>
      <w:marRight w:val="0"/>
      <w:marTop w:val="0"/>
      <w:marBottom w:val="0"/>
      <w:divBdr>
        <w:top w:val="none" w:sz="0" w:space="0" w:color="auto"/>
        <w:left w:val="none" w:sz="0" w:space="0" w:color="auto"/>
        <w:bottom w:val="none" w:sz="0" w:space="0" w:color="auto"/>
        <w:right w:val="none" w:sz="0" w:space="0" w:color="auto"/>
      </w:divBdr>
      <w:divsChild>
        <w:div w:id="154879747">
          <w:marLeft w:val="0"/>
          <w:marRight w:val="0"/>
          <w:marTop w:val="0"/>
          <w:marBottom w:val="0"/>
          <w:divBdr>
            <w:top w:val="none" w:sz="0" w:space="0" w:color="auto"/>
            <w:left w:val="none" w:sz="0" w:space="0" w:color="auto"/>
            <w:bottom w:val="none" w:sz="0" w:space="0" w:color="auto"/>
            <w:right w:val="none" w:sz="0" w:space="0" w:color="auto"/>
          </w:divBdr>
        </w:div>
      </w:divsChild>
    </w:div>
    <w:div w:id="1520388613">
      <w:marLeft w:val="0"/>
      <w:marRight w:val="0"/>
      <w:marTop w:val="0"/>
      <w:marBottom w:val="0"/>
      <w:divBdr>
        <w:top w:val="none" w:sz="0" w:space="0" w:color="auto"/>
        <w:left w:val="none" w:sz="0" w:space="0" w:color="auto"/>
        <w:bottom w:val="none" w:sz="0" w:space="0" w:color="auto"/>
        <w:right w:val="none" w:sz="0" w:space="0" w:color="auto"/>
      </w:divBdr>
      <w:divsChild>
        <w:div w:id="2124570129">
          <w:marLeft w:val="0"/>
          <w:marRight w:val="0"/>
          <w:marTop w:val="0"/>
          <w:marBottom w:val="0"/>
          <w:divBdr>
            <w:top w:val="none" w:sz="0" w:space="0" w:color="auto"/>
            <w:left w:val="none" w:sz="0" w:space="0" w:color="auto"/>
            <w:bottom w:val="none" w:sz="0" w:space="0" w:color="auto"/>
            <w:right w:val="none" w:sz="0" w:space="0" w:color="auto"/>
          </w:divBdr>
        </w:div>
      </w:divsChild>
    </w:div>
    <w:div w:id="1521550843">
      <w:marLeft w:val="0"/>
      <w:marRight w:val="0"/>
      <w:marTop w:val="100"/>
      <w:marBottom w:val="0"/>
      <w:divBdr>
        <w:top w:val="none" w:sz="0" w:space="0" w:color="auto"/>
        <w:left w:val="none" w:sz="0" w:space="0" w:color="auto"/>
        <w:bottom w:val="none" w:sz="0" w:space="0" w:color="auto"/>
        <w:right w:val="none" w:sz="0" w:space="0" w:color="auto"/>
      </w:divBdr>
    </w:div>
    <w:div w:id="1524783380">
      <w:marLeft w:val="0"/>
      <w:marRight w:val="0"/>
      <w:marTop w:val="0"/>
      <w:marBottom w:val="180"/>
      <w:divBdr>
        <w:top w:val="none" w:sz="0" w:space="0" w:color="auto"/>
        <w:left w:val="none" w:sz="0" w:space="0" w:color="auto"/>
        <w:bottom w:val="none" w:sz="0" w:space="0" w:color="auto"/>
        <w:right w:val="none" w:sz="0" w:space="0" w:color="auto"/>
      </w:divBdr>
    </w:div>
    <w:div w:id="1525485597">
      <w:marLeft w:val="0"/>
      <w:marRight w:val="0"/>
      <w:marTop w:val="120"/>
      <w:marBottom w:val="12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
    <w:div w:id="1533768358">
      <w:marLeft w:val="0"/>
      <w:marRight w:val="0"/>
      <w:marTop w:val="100"/>
      <w:marBottom w:val="0"/>
      <w:divBdr>
        <w:top w:val="none" w:sz="0" w:space="0" w:color="auto"/>
        <w:left w:val="none" w:sz="0" w:space="0" w:color="auto"/>
        <w:bottom w:val="none" w:sz="0" w:space="0" w:color="auto"/>
        <w:right w:val="none" w:sz="0" w:space="0" w:color="auto"/>
      </w:divBdr>
      <w:divsChild>
        <w:div w:id="195049916">
          <w:marLeft w:val="0"/>
          <w:marRight w:val="0"/>
          <w:marTop w:val="0"/>
          <w:marBottom w:val="0"/>
          <w:divBdr>
            <w:top w:val="none" w:sz="0" w:space="0" w:color="auto"/>
            <w:left w:val="none" w:sz="0" w:space="0" w:color="auto"/>
            <w:bottom w:val="none" w:sz="0" w:space="0" w:color="auto"/>
            <w:right w:val="none" w:sz="0" w:space="0" w:color="auto"/>
          </w:divBdr>
        </w:div>
        <w:div w:id="1867673991">
          <w:marLeft w:val="0"/>
          <w:marRight w:val="0"/>
          <w:marTop w:val="0"/>
          <w:marBottom w:val="0"/>
          <w:divBdr>
            <w:top w:val="none" w:sz="0" w:space="0" w:color="auto"/>
            <w:left w:val="none" w:sz="0" w:space="0" w:color="auto"/>
            <w:bottom w:val="none" w:sz="0" w:space="0" w:color="auto"/>
            <w:right w:val="none" w:sz="0" w:space="0" w:color="auto"/>
          </w:divBdr>
        </w:div>
      </w:divsChild>
    </w:div>
    <w:div w:id="1534001517">
      <w:marLeft w:val="0"/>
      <w:marRight w:val="0"/>
      <w:marTop w:val="120"/>
      <w:marBottom w:val="240"/>
      <w:divBdr>
        <w:top w:val="none" w:sz="0" w:space="0" w:color="auto"/>
        <w:left w:val="none" w:sz="0" w:space="0" w:color="auto"/>
        <w:bottom w:val="none" w:sz="0" w:space="0" w:color="auto"/>
        <w:right w:val="none" w:sz="0" w:space="0" w:color="auto"/>
      </w:divBdr>
    </w:div>
    <w:div w:id="1535118726">
      <w:marLeft w:val="0"/>
      <w:marRight w:val="0"/>
      <w:marTop w:val="0"/>
      <w:marBottom w:val="0"/>
      <w:divBdr>
        <w:top w:val="none" w:sz="0" w:space="0" w:color="auto"/>
        <w:left w:val="none" w:sz="0" w:space="0" w:color="auto"/>
        <w:bottom w:val="none" w:sz="0" w:space="0" w:color="auto"/>
        <w:right w:val="none" w:sz="0" w:space="0" w:color="auto"/>
      </w:divBdr>
      <w:divsChild>
        <w:div w:id="2048294820">
          <w:marLeft w:val="0"/>
          <w:marRight w:val="0"/>
          <w:marTop w:val="0"/>
          <w:marBottom w:val="0"/>
          <w:divBdr>
            <w:top w:val="none" w:sz="0" w:space="0" w:color="auto"/>
            <w:left w:val="none" w:sz="0" w:space="0" w:color="auto"/>
            <w:bottom w:val="none" w:sz="0" w:space="0" w:color="auto"/>
            <w:right w:val="none" w:sz="0" w:space="0" w:color="auto"/>
          </w:divBdr>
        </w:div>
      </w:divsChild>
    </w:div>
    <w:div w:id="1535802002">
      <w:marLeft w:val="0"/>
      <w:marRight w:val="0"/>
      <w:marTop w:val="0"/>
      <w:marBottom w:val="0"/>
      <w:divBdr>
        <w:top w:val="none" w:sz="0" w:space="0" w:color="auto"/>
        <w:left w:val="none" w:sz="0" w:space="0" w:color="auto"/>
        <w:bottom w:val="none" w:sz="0" w:space="0" w:color="auto"/>
        <w:right w:val="none" w:sz="0" w:space="0" w:color="auto"/>
      </w:divBdr>
      <w:divsChild>
        <w:div w:id="1659184633">
          <w:marLeft w:val="0"/>
          <w:marRight w:val="0"/>
          <w:marTop w:val="0"/>
          <w:marBottom w:val="0"/>
          <w:divBdr>
            <w:top w:val="none" w:sz="0" w:space="0" w:color="auto"/>
            <w:left w:val="none" w:sz="0" w:space="0" w:color="auto"/>
            <w:bottom w:val="none" w:sz="0" w:space="0" w:color="auto"/>
            <w:right w:val="none" w:sz="0" w:space="0" w:color="auto"/>
          </w:divBdr>
        </w:div>
      </w:divsChild>
    </w:div>
    <w:div w:id="1538347537">
      <w:marLeft w:val="0"/>
      <w:marRight w:val="0"/>
      <w:marTop w:val="0"/>
      <w:marBottom w:val="180"/>
      <w:divBdr>
        <w:top w:val="none" w:sz="0" w:space="0" w:color="auto"/>
        <w:left w:val="none" w:sz="0" w:space="0" w:color="auto"/>
        <w:bottom w:val="none" w:sz="0" w:space="0" w:color="auto"/>
        <w:right w:val="none" w:sz="0" w:space="0" w:color="auto"/>
      </w:divBdr>
    </w:div>
    <w:div w:id="1538468340">
      <w:marLeft w:val="0"/>
      <w:marRight w:val="0"/>
      <w:marTop w:val="0"/>
      <w:marBottom w:val="0"/>
      <w:divBdr>
        <w:top w:val="none" w:sz="0" w:space="0" w:color="auto"/>
        <w:left w:val="none" w:sz="0" w:space="0" w:color="auto"/>
        <w:bottom w:val="none" w:sz="0" w:space="0" w:color="auto"/>
        <w:right w:val="none" w:sz="0" w:space="0" w:color="auto"/>
      </w:divBdr>
      <w:divsChild>
        <w:div w:id="1097214297">
          <w:marLeft w:val="0"/>
          <w:marRight w:val="0"/>
          <w:marTop w:val="0"/>
          <w:marBottom w:val="0"/>
          <w:divBdr>
            <w:top w:val="none" w:sz="0" w:space="0" w:color="auto"/>
            <w:left w:val="none" w:sz="0" w:space="0" w:color="auto"/>
            <w:bottom w:val="none" w:sz="0" w:space="0" w:color="auto"/>
            <w:right w:val="none" w:sz="0" w:space="0" w:color="auto"/>
          </w:divBdr>
        </w:div>
      </w:divsChild>
    </w:div>
    <w:div w:id="1539274446">
      <w:marLeft w:val="0"/>
      <w:marRight w:val="0"/>
      <w:marTop w:val="0"/>
      <w:marBottom w:val="0"/>
      <w:divBdr>
        <w:top w:val="none" w:sz="0" w:space="0" w:color="auto"/>
        <w:left w:val="none" w:sz="0" w:space="0" w:color="auto"/>
        <w:bottom w:val="none" w:sz="0" w:space="0" w:color="auto"/>
        <w:right w:val="none" w:sz="0" w:space="0" w:color="auto"/>
      </w:divBdr>
      <w:divsChild>
        <w:div w:id="1609120991">
          <w:marLeft w:val="0"/>
          <w:marRight w:val="0"/>
          <w:marTop w:val="0"/>
          <w:marBottom w:val="0"/>
          <w:divBdr>
            <w:top w:val="none" w:sz="0" w:space="0" w:color="auto"/>
            <w:left w:val="none" w:sz="0" w:space="0" w:color="auto"/>
            <w:bottom w:val="none" w:sz="0" w:space="0" w:color="auto"/>
            <w:right w:val="none" w:sz="0" w:space="0" w:color="auto"/>
          </w:divBdr>
        </w:div>
      </w:divsChild>
    </w:div>
    <w:div w:id="1539974414">
      <w:marLeft w:val="0"/>
      <w:marRight w:val="0"/>
      <w:marTop w:val="0"/>
      <w:marBottom w:val="0"/>
      <w:divBdr>
        <w:top w:val="none" w:sz="0" w:space="0" w:color="auto"/>
        <w:left w:val="none" w:sz="0" w:space="0" w:color="auto"/>
        <w:bottom w:val="none" w:sz="0" w:space="0" w:color="auto"/>
        <w:right w:val="none" w:sz="0" w:space="0" w:color="auto"/>
      </w:divBdr>
    </w:div>
    <w:div w:id="1540314585">
      <w:marLeft w:val="0"/>
      <w:marRight w:val="0"/>
      <w:marTop w:val="0"/>
      <w:marBottom w:val="240"/>
      <w:divBdr>
        <w:top w:val="none" w:sz="0" w:space="0" w:color="auto"/>
        <w:left w:val="none" w:sz="0" w:space="0" w:color="auto"/>
        <w:bottom w:val="none" w:sz="0" w:space="0" w:color="auto"/>
        <w:right w:val="none" w:sz="0" w:space="0" w:color="auto"/>
      </w:divBdr>
    </w:div>
    <w:div w:id="1540699515">
      <w:marLeft w:val="0"/>
      <w:marRight w:val="0"/>
      <w:marTop w:val="120"/>
      <w:marBottom w:val="120"/>
      <w:divBdr>
        <w:top w:val="none" w:sz="0" w:space="0" w:color="auto"/>
        <w:left w:val="none" w:sz="0" w:space="0" w:color="auto"/>
        <w:bottom w:val="none" w:sz="0" w:space="0" w:color="auto"/>
        <w:right w:val="none" w:sz="0" w:space="0" w:color="auto"/>
      </w:divBdr>
    </w:div>
    <w:div w:id="1542208331">
      <w:marLeft w:val="0"/>
      <w:marRight w:val="0"/>
      <w:marTop w:val="0"/>
      <w:marBottom w:val="0"/>
      <w:divBdr>
        <w:top w:val="none" w:sz="0" w:space="0" w:color="auto"/>
        <w:left w:val="none" w:sz="0" w:space="0" w:color="auto"/>
        <w:bottom w:val="none" w:sz="0" w:space="0" w:color="auto"/>
        <w:right w:val="none" w:sz="0" w:space="0" w:color="auto"/>
      </w:divBdr>
      <w:divsChild>
        <w:div w:id="721826565">
          <w:marLeft w:val="0"/>
          <w:marRight w:val="0"/>
          <w:marTop w:val="0"/>
          <w:marBottom w:val="0"/>
          <w:divBdr>
            <w:top w:val="none" w:sz="0" w:space="0" w:color="auto"/>
            <w:left w:val="none" w:sz="0" w:space="0" w:color="auto"/>
            <w:bottom w:val="none" w:sz="0" w:space="0" w:color="auto"/>
            <w:right w:val="none" w:sz="0" w:space="0" w:color="auto"/>
          </w:divBdr>
        </w:div>
      </w:divsChild>
    </w:div>
    <w:div w:id="1547138551">
      <w:marLeft w:val="0"/>
      <w:marRight w:val="0"/>
      <w:marTop w:val="180"/>
      <w:marBottom w:val="180"/>
      <w:divBdr>
        <w:top w:val="none" w:sz="0" w:space="0" w:color="auto"/>
        <w:left w:val="none" w:sz="0" w:space="0" w:color="auto"/>
        <w:bottom w:val="none" w:sz="0" w:space="0" w:color="auto"/>
        <w:right w:val="none" w:sz="0" w:space="0" w:color="auto"/>
      </w:divBdr>
    </w:div>
    <w:div w:id="1547833527">
      <w:marLeft w:val="0"/>
      <w:marRight w:val="0"/>
      <w:marTop w:val="100"/>
      <w:marBottom w:val="0"/>
      <w:divBdr>
        <w:top w:val="none" w:sz="0" w:space="0" w:color="auto"/>
        <w:left w:val="none" w:sz="0" w:space="0" w:color="auto"/>
        <w:bottom w:val="none" w:sz="0" w:space="0" w:color="auto"/>
        <w:right w:val="none" w:sz="0" w:space="0" w:color="auto"/>
      </w:divBdr>
    </w:div>
    <w:div w:id="1548300374">
      <w:marLeft w:val="0"/>
      <w:marRight w:val="0"/>
      <w:marTop w:val="0"/>
      <w:marBottom w:val="0"/>
      <w:divBdr>
        <w:top w:val="none" w:sz="0" w:space="0" w:color="auto"/>
        <w:left w:val="none" w:sz="0" w:space="0" w:color="auto"/>
        <w:bottom w:val="none" w:sz="0" w:space="0" w:color="auto"/>
        <w:right w:val="none" w:sz="0" w:space="0" w:color="auto"/>
      </w:divBdr>
      <w:divsChild>
        <w:div w:id="1184899133">
          <w:marLeft w:val="0"/>
          <w:marRight w:val="0"/>
          <w:marTop w:val="0"/>
          <w:marBottom w:val="0"/>
          <w:divBdr>
            <w:top w:val="none" w:sz="0" w:space="0" w:color="auto"/>
            <w:left w:val="none" w:sz="0" w:space="0" w:color="auto"/>
            <w:bottom w:val="none" w:sz="0" w:space="0" w:color="auto"/>
            <w:right w:val="none" w:sz="0" w:space="0" w:color="auto"/>
          </w:divBdr>
        </w:div>
      </w:divsChild>
    </w:div>
    <w:div w:id="1548644078">
      <w:marLeft w:val="0"/>
      <w:marRight w:val="0"/>
      <w:marTop w:val="0"/>
      <w:marBottom w:val="240"/>
      <w:divBdr>
        <w:top w:val="none" w:sz="0" w:space="0" w:color="auto"/>
        <w:left w:val="none" w:sz="0" w:space="0" w:color="auto"/>
        <w:bottom w:val="none" w:sz="0" w:space="0" w:color="auto"/>
        <w:right w:val="none" w:sz="0" w:space="0" w:color="auto"/>
      </w:divBdr>
    </w:div>
    <w:div w:id="1551453597">
      <w:marLeft w:val="0"/>
      <w:marRight w:val="0"/>
      <w:marTop w:val="100"/>
      <w:marBottom w:val="0"/>
      <w:divBdr>
        <w:top w:val="none" w:sz="0" w:space="0" w:color="auto"/>
        <w:left w:val="none" w:sz="0" w:space="0" w:color="auto"/>
        <w:bottom w:val="none" w:sz="0" w:space="0" w:color="auto"/>
        <w:right w:val="none" w:sz="0" w:space="0" w:color="auto"/>
      </w:divBdr>
      <w:divsChild>
        <w:div w:id="1334188005">
          <w:marLeft w:val="0"/>
          <w:marRight w:val="0"/>
          <w:marTop w:val="0"/>
          <w:marBottom w:val="0"/>
          <w:divBdr>
            <w:top w:val="none" w:sz="0" w:space="0" w:color="auto"/>
            <w:left w:val="none" w:sz="0" w:space="0" w:color="auto"/>
            <w:bottom w:val="none" w:sz="0" w:space="0" w:color="auto"/>
            <w:right w:val="none" w:sz="0" w:space="0" w:color="auto"/>
          </w:divBdr>
        </w:div>
        <w:div w:id="864562387">
          <w:marLeft w:val="0"/>
          <w:marRight w:val="0"/>
          <w:marTop w:val="0"/>
          <w:marBottom w:val="0"/>
          <w:divBdr>
            <w:top w:val="none" w:sz="0" w:space="0" w:color="auto"/>
            <w:left w:val="none" w:sz="0" w:space="0" w:color="auto"/>
            <w:bottom w:val="none" w:sz="0" w:space="0" w:color="auto"/>
            <w:right w:val="none" w:sz="0" w:space="0" w:color="auto"/>
          </w:divBdr>
        </w:div>
        <w:div w:id="659044930">
          <w:marLeft w:val="0"/>
          <w:marRight w:val="0"/>
          <w:marTop w:val="0"/>
          <w:marBottom w:val="0"/>
          <w:divBdr>
            <w:top w:val="none" w:sz="0" w:space="0" w:color="auto"/>
            <w:left w:val="none" w:sz="0" w:space="0" w:color="auto"/>
            <w:bottom w:val="none" w:sz="0" w:space="0" w:color="auto"/>
            <w:right w:val="none" w:sz="0" w:space="0" w:color="auto"/>
          </w:divBdr>
        </w:div>
        <w:div w:id="508102333">
          <w:marLeft w:val="0"/>
          <w:marRight w:val="0"/>
          <w:marTop w:val="0"/>
          <w:marBottom w:val="0"/>
          <w:divBdr>
            <w:top w:val="none" w:sz="0" w:space="0" w:color="auto"/>
            <w:left w:val="none" w:sz="0" w:space="0" w:color="auto"/>
            <w:bottom w:val="none" w:sz="0" w:space="0" w:color="auto"/>
            <w:right w:val="none" w:sz="0" w:space="0" w:color="auto"/>
          </w:divBdr>
        </w:div>
        <w:div w:id="228347831">
          <w:marLeft w:val="0"/>
          <w:marRight w:val="0"/>
          <w:marTop w:val="0"/>
          <w:marBottom w:val="0"/>
          <w:divBdr>
            <w:top w:val="none" w:sz="0" w:space="0" w:color="auto"/>
            <w:left w:val="none" w:sz="0" w:space="0" w:color="auto"/>
            <w:bottom w:val="none" w:sz="0" w:space="0" w:color="auto"/>
            <w:right w:val="none" w:sz="0" w:space="0" w:color="auto"/>
          </w:divBdr>
        </w:div>
      </w:divsChild>
    </w:div>
    <w:div w:id="1552109877">
      <w:marLeft w:val="0"/>
      <w:marRight w:val="0"/>
      <w:marTop w:val="0"/>
      <w:marBottom w:val="0"/>
      <w:divBdr>
        <w:top w:val="none" w:sz="0" w:space="0" w:color="auto"/>
        <w:left w:val="none" w:sz="0" w:space="0" w:color="auto"/>
        <w:bottom w:val="none" w:sz="0" w:space="0" w:color="auto"/>
        <w:right w:val="none" w:sz="0" w:space="0" w:color="auto"/>
      </w:divBdr>
      <w:divsChild>
        <w:div w:id="1612932115">
          <w:marLeft w:val="0"/>
          <w:marRight w:val="0"/>
          <w:marTop w:val="0"/>
          <w:marBottom w:val="0"/>
          <w:divBdr>
            <w:top w:val="none" w:sz="0" w:space="0" w:color="auto"/>
            <w:left w:val="none" w:sz="0" w:space="0" w:color="auto"/>
            <w:bottom w:val="none" w:sz="0" w:space="0" w:color="auto"/>
            <w:right w:val="none" w:sz="0" w:space="0" w:color="auto"/>
          </w:divBdr>
        </w:div>
      </w:divsChild>
    </w:div>
    <w:div w:id="1552426927">
      <w:marLeft w:val="0"/>
      <w:marRight w:val="0"/>
      <w:marTop w:val="0"/>
      <w:marBottom w:val="0"/>
      <w:divBdr>
        <w:top w:val="none" w:sz="0" w:space="0" w:color="auto"/>
        <w:left w:val="none" w:sz="0" w:space="0" w:color="auto"/>
        <w:bottom w:val="none" w:sz="0" w:space="0" w:color="auto"/>
        <w:right w:val="none" w:sz="0" w:space="0" w:color="auto"/>
      </w:divBdr>
    </w:div>
    <w:div w:id="1557282145">
      <w:marLeft w:val="0"/>
      <w:marRight w:val="0"/>
      <w:marTop w:val="0"/>
      <w:marBottom w:val="240"/>
      <w:divBdr>
        <w:top w:val="none" w:sz="0" w:space="0" w:color="auto"/>
        <w:left w:val="none" w:sz="0" w:space="0" w:color="auto"/>
        <w:bottom w:val="none" w:sz="0" w:space="0" w:color="auto"/>
        <w:right w:val="none" w:sz="0" w:space="0" w:color="auto"/>
      </w:divBdr>
    </w:div>
    <w:div w:id="1558127147">
      <w:marLeft w:val="0"/>
      <w:marRight w:val="0"/>
      <w:marTop w:val="0"/>
      <w:marBottom w:val="0"/>
      <w:divBdr>
        <w:top w:val="none" w:sz="0" w:space="0" w:color="auto"/>
        <w:left w:val="none" w:sz="0" w:space="0" w:color="auto"/>
        <w:bottom w:val="none" w:sz="0" w:space="0" w:color="auto"/>
        <w:right w:val="none" w:sz="0" w:space="0" w:color="auto"/>
      </w:divBdr>
      <w:divsChild>
        <w:div w:id="158081896">
          <w:marLeft w:val="0"/>
          <w:marRight w:val="0"/>
          <w:marTop w:val="0"/>
          <w:marBottom w:val="0"/>
          <w:divBdr>
            <w:top w:val="none" w:sz="0" w:space="0" w:color="auto"/>
            <w:left w:val="none" w:sz="0" w:space="0" w:color="auto"/>
            <w:bottom w:val="none" w:sz="0" w:space="0" w:color="auto"/>
            <w:right w:val="none" w:sz="0" w:space="0" w:color="auto"/>
          </w:divBdr>
        </w:div>
      </w:divsChild>
    </w:div>
    <w:div w:id="1559434242">
      <w:marLeft w:val="0"/>
      <w:marRight w:val="0"/>
      <w:marTop w:val="100"/>
      <w:marBottom w:val="0"/>
      <w:divBdr>
        <w:top w:val="none" w:sz="0" w:space="0" w:color="auto"/>
        <w:left w:val="none" w:sz="0" w:space="0" w:color="auto"/>
        <w:bottom w:val="none" w:sz="0" w:space="0" w:color="auto"/>
        <w:right w:val="none" w:sz="0" w:space="0" w:color="auto"/>
      </w:divBdr>
      <w:divsChild>
        <w:div w:id="555774613">
          <w:marLeft w:val="0"/>
          <w:marRight w:val="0"/>
          <w:marTop w:val="0"/>
          <w:marBottom w:val="0"/>
          <w:divBdr>
            <w:top w:val="none" w:sz="0" w:space="0" w:color="auto"/>
            <w:left w:val="none" w:sz="0" w:space="0" w:color="auto"/>
            <w:bottom w:val="none" w:sz="0" w:space="0" w:color="auto"/>
            <w:right w:val="none" w:sz="0" w:space="0" w:color="auto"/>
          </w:divBdr>
        </w:div>
        <w:div w:id="1463815580">
          <w:marLeft w:val="0"/>
          <w:marRight w:val="0"/>
          <w:marTop w:val="0"/>
          <w:marBottom w:val="0"/>
          <w:divBdr>
            <w:top w:val="none" w:sz="0" w:space="0" w:color="auto"/>
            <w:left w:val="none" w:sz="0" w:space="0" w:color="auto"/>
            <w:bottom w:val="none" w:sz="0" w:space="0" w:color="auto"/>
            <w:right w:val="none" w:sz="0" w:space="0" w:color="auto"/>
          </w:divBdr>
        </w:div>
        <w:div w:id="795412618">
          <w:marLeft w:val="0"/>
          <w:marRight w:val="0"/>
          <w:marTop w:val="0"/>
          <w:marBottom w:val="0"/>
          <w:divBdr>
            <w:top w:val="none" w:sz="0" w:space="0" w:color="auto"/>
            <w:left w:val="none" w:sz="0" w:space="0" w:color="auto"/>
            <w:bottom w:val="none" w:sz="0" w:space="0" w:color="auto"/>
            <w:right w:val="none" w:sz="0" w:space="0" w:color="auto"/>
          </w:divBdr>
        </w:div>
      </w:divsChild>
    </w:div>
    <w:div w:id="1560674839">
      <w:marLeft w:val="0"/>
      <w:marRight w:val="0"/>
      <w:marTop w:val="0"/>
      <w:marBottom w:val="180"/>
      <w:divBdr>
        <w:top w:val="none" w:sz="0" w:space="0" w:color="auto"/>
        <w:left w:val="none" w:sz="0" w:space="0" w:color="auto"/>
        <w:bottom w:val="none" w:sz="0" w:space="0" w:color="auto"/>
        <w:right w:val="none" w:sz="0" w:space="0" w:color="auto"/>
      </w:divBdr>
    </w:div>
    <w:div w:id="1570070505">
      <w:marLeft w:val="0"/>
      <w:marRight w:val="0"/>
      <w:marTop w:val="0"/>
      <w:marBottom w:val="240"/>
      <w:divBdr>
        <w:top w:val="none" w:sz="0" w:space="0" w:color="auto"/>
        <w:left w:val="none" w:sz="0" w:space="0" w:color="auto"/>
        <w:bottom w:val="none" w:sz="0" w:space="0" w:color="auto"/>
        <w:right w:val="none" w:sz="0" w:space="0" w:color="auto"/>
      </w:divBdr>
    </w:div>
    <w:div w:id="1570842876">
      <w:marLeft w:val="0"/>
      <w:marRight w:val="0"/>
      <w:marTop w:val="0"/>
      <w:marBottom w:val="0"/>
      <w:divBdr>
        <w:top w:val="none" w:sz="0" w:space="0" w:color="auto"/>
        <w:left w:val="none" w:sz="0" w:space="0" w:color="auto"/>
        <w:bottom w:val="none" w:sz="0" w:space="0" w:color="auto"/>
        <w:right w:val="none" w:sz="0" w:space="0" w:color="auto"/>
      </w:divBdr>
      <w:divsChild>
        <w:div w:id="505949539">
          <w:marLeft w:val="0"/>
          <w:marRight w:val="0"/>
          <w:marTop w:val="0"/>
          <w:marBottom w:val="180"/>
          <w:divBdr>
            <w:top w:val="none" w:sz="0" w:space="0" w:color="auto"/>
            <w:left w:val="none" w:sz="0" w:space="0" w:color="auto"/>
            <w:bottom w:val="none" w:sz="0" w:space="0" w:color="auto"/>
            <w:right w:val="none" w:sz="0" w:space="0" w:color="auto"/>
          </w:divBdr>
        </w:div>
        <w:div w:id="1414661563">
          <w:marLeft w:val="0"/>
          <w:marRight w:val="0"/>
          <w:marTop w:val="0"/>
          <w:marBottom w:val="180"/>
          <w:divBdr>
            <w:top w:val="none" w:sz="0" w:space="0" w:color="auto"/>
            <w:left w:val="none" w:sz="0" w:space="0" w:color="auto"/>
            <w:bottom w:val="none" w:sz="0" w:space="0" w:color="auto"/>
            <w:right w:val="none" w:sz="0" w:space="0" w:color="auto"/>
          </w:divBdr>
        </w:div>
        <w:div w:id="1839810934">
          <w:marLeft w:val="0"/>
          <w:marRight w:val="0"/>
          <w:marTop w:val="0"/>
          <w:marBottom w:val="0"/>
          <w:divBdr>
            <w:top w:val="none" w:sz="0" w:space="0" w:color="auto"/>
            <w:left w:val="none" w:sz="0" w:space="0" w:color="auto"/>
            <w:bottom w:val="none" w:sz="0" w:space="0" w:color="auto"/>
            <w:right w:val="none" w:sz="0" w:space="0" w:color="auto"/>
          </w:divBdr>
        </w:div>
        <w:div w:id="120790851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378243266">
          <w:marLeft w:val="0"/>
          <w:marRight w:val="0"/>
          <w:marTop w:val="0"/>
          <w:marBottom w:val="0"/>
          <w:divBdr>
            <w:top w:val="none" w:sz="0" w:space="0" w:color="auto"/>
            <w:left w:val="none" w:sz="0" w:space="0" w:color="auto"/>
            <w:bottom w:val="none" w:sz="0" w:space="0" w:color="auto"/>
            <w:right w:val="none" w:sz="0" w:space="0" w:color="auto"/>
          </w:divBdr>
        </w:div>
        <w:div w:id="80151308">
          <w:marLeft w:val="0"/>
          <w:marRight w:val="0"/>
          <w:marTop w:val="0"/>
          <w:marBottom w:val="0"/>
          <w:divBdr>
            <w:top w:val="none" w:sz="0" w:space="0" w:color="auto"/>
            <w:left w:val="none" w:sz="0" w:space="0" w:color="auto"/>
            <w:bottom w:val="none" w:sz="0" w:space="0" w:color="auto"/>
            <w:right w:val="none" w:sz="0" w:space="0" w:color="auto"/>
          </w:divBdr>
        </w:div>
      </w:divsChild>
    </w:div>
    <w:div w:id="1572539395">
      <w:marLeft w:val="0"/>
      <w:marRight w:val="0"/>
      <w:marTop w:val="0"/>
      <w:marBottom w:val="0"/>
      <w:divBdr>
        <w:top w:val="none" w:sz="0" w:space="0" w:color="auto"/>
        <w:left w:val="none" w:sz="0" w:space="0" w:color="auto"/>
        <w:bottom w:val="none" w:sz="0" w:space="0" w:color="auto"/>
        <w:right w:val="none" w:sz="0" w:space="0" w:color="auto"/>
      </w:divBdr>
      <w:divsChild>
        <w:div w:id="595602264">
          <w:marLeft w:val="0"/>
          <w:marRight w:val="0"/>
          <w:marTop w:val="0"/>
          <w:marBottom w:val="0"/>
          <w:divBdr>
            <w:top w:val="none" w:sz="0" w:space="0" w:color="auto"/>
            <w:left w:val="none" w:sz="0" w:space="0" w:color="auto"/>
            <w:bottom w:val="none" w:sz="0" w:space="0" w:color="auto"/>
            <w:right w:val="none" w:sz="0" w:space="0" w:color="auto"/>
          </w:divBdr>
        </w:div>
      </w:divsChild>
    </w:div>
    <w:div w:id="1573348276">
      <w:marLeft w:val="0"/>
      <w:marRight w:val="0"/>
      <w:marTop w:val="180"/>
      <w:marBottom w:val="180"/>
      <w:divBdr>
        <w:top w:val="none" w:sz="0" w:space="0" w:color="auto"/>
        <w:left w:val="none" w:sz="0" w:space="0" w:color="auto"/>
        <w:bottom w:val="none" w:sz="0" w:space="0" w:color="auto"/>
        <w:right w:val="none" w:sz="0" w:space="0" w:color="auto"/>
      </w:divBdr>
    </w:div>
    <w:div w:id="1573809692">
      <w:marLeft w:val="0"/>
      <w:marRight w:val="0"/>
      <w:marTop w:val="100"/>
      <w:marBottom w:val="0"/>
      <w:divBdr>
        <w:top w:val="none" w:sz="0" w:space="0" w:color="auto"/>
        <w:left w:val="none" w:sz="0" w:space="0" w:color="auto"/>
        <w:bottom w:val="none" w:sz="0" w:space="0" w:color="auto"/>
        <w:right w:val="none" w:sz="0" w:space="0" w:color="auto"/>
      </w:divBdr>
    </w:div>
    <w:div w:id="1575315203">
      <w:marLeft w:val="0"/>
      <w:marRight w:val="0"/>
      <w:marTop w:val="180"/>
      <w:marBottom w:val="180"/>
      <w:divBdr>
        <w:top w:val="none" w:sz="0" w:space="0" w:color="auto"/>
        <w:left w:val="none" w:sz="0" w:space="0" w:color="auto"/>
        <w:bottom w:val="none" w:sz="0" w:space="0" w:color="auto"/>
        <w:right w:val="none" w:sz="0" w:space="0" w:color="auto"/>
      </w:divBdr>
    </w:div>
    <w:div w:id="1578203530">
      <w:marLeft w:val="0"/>
      <w:marRight w:val="0"/>
      <w:marTop w:val="0"/>
      <w:marBottom w:val="240"/>
      <w:divBdr>
        <w:top w:val="none" w:sz="0" w:space="0" w:color="auto"/>
        <w:left w:val="none" w:sz="0" w:space="0" w:color="auto"/>
        <w:bottom w:val="none" w:sz="0" w:space="0" w:color="auto"/>
        <w:right w:val="none" w:sz="0" w:space="0" w:color="auto"/>
      </w:divBdr>
    </w:div>
    <w:div w:id="1578973399">
      <w:marLeft w:val="0"/>
      <w:marRight w:val="0"/>
      <w:marTop w:val="0"/>
      <w:marBottom w:val="0"/>
      <w:divBdr>
        <w:top w:val="none" w:sz="0" w:space="0" w:color="auto"/>
        <w:left w:val="none" w:sz="0" w:space="0" w:color="auto"/>
        <w:bottom w:val="none" w:sz="0" w:space="0" w:color="auto"/>
        <w:right w:val="none" w:sz="0" w:space="0" w:color="auto"/>
      </w:divBdr>
    </w:div>
    <w:div w:id="1581599723">
      <w:marLeft w:val="0"/>
      <w:marRight w:val="0"/>
      <w:marTop w:val="180"/>
      <w:marBottom w:val="180"/>
      <w:divBdr>
        <w:top w:val="none" w:sz="0" w:space="0" w:color="auto"/>
        <w:left w:val="none" w:sz="0" w:space="0" w:color="auto"/>
        <w:bottom w:val="none" w:sz="0" w:space="0" w:color="auto"/>
        <w:right w:val="none" w:sz="0" w:space="0" w:color="auto"/>
      </w:divBdr>
    </w:div>
    <w:div w:id="1582444909">
      <w:marLeft w:val="0"/>
      <w:marRight w:val="0"/>
      <w:marTop w:val="120"/>
      <w:marBottom w:val="120"/>
      <w:divBdr>
        <w:top w:val="none" w:sz="0" w:space="0" w:color="auto"/>
        <w:left w:val="none" w:sz="0" w:space="0" w:color="auto"/>
        <w:bottom w:val="none" w:sz="0" w:space="0" w:color="auto"/>
        <w:right w:val="none" w:sz="0" w:space="0" w:color="auto"/>
      </w:divBdr>
    </w:div>
    <w:div w:id="1582714094">
      <w:marLeft w:val="0"/>
      <w:marRight w:val="0"/>
      <w:marTop w:val="0"/>
      <w:marBottom w:val="0"/>
      <w:divBdr>
        <w:top w:val="none" w:sz="0" w:space="0" w:color="auto"/>
        <w:left w:val="none" w:sz="0" w:space="0" w:color="auto"/>
        <w:bottom w:val="none" w:sz="0" w:space="0" w:color="auto"/>
        <w:right w:val="none" w:sz="0" w:space="0" w:color="auto"/>
      </w:divBdr>
    </w:div>
    <w:div w:id="1582719506">
      <w:marLeft w:val="0"/>
      <w:marRight w:val="0"/>
      <w:marTop w:val="0"/>
      <w:marBottom w:val="180"/>
      <w:divBdr>
        <w:top w:val="none" w:sz="0" w:space="0" w:color="auto"/>
        <w:left w:val="none" w:sz="0" w:space="0" w:color="auto"/>
        <w:bottom w:val="none" w:sz="0" w:space="0" w:color="auto"/>
        <w:right w:val="none" w:sz="0" w:space="0" w:color="auto"/>
      </w:divBdr>
    </w:div>
    <w:div w:id="1585646628">
      <w:marLeft w:val="0"/>
      <w:marRight w:val="0"/>
      <w:marTop w:val="180"/>
      <w:marBottom w:val="180"/>
      <w:divBdr>
        <w:top w:val="none" w:sz="0" w:space="0" w:color="auto"/>
        <w:left w:val="none" w:sz="0" w:space="0" w:color="auto"/>
        <w:bottom w:val="none" w:sz="0" w:space="0" w:color="auto"/>
        <w:right w:val="none" w:sz="0" w:space="0" w:color="auto"/>
      </w:divBdr>
    </w:div>
    <w:div w:id="1586377976">
      <w:marLeft w:val="0"/>
      <w:marRight w:val="0"/>
      <w:marTop w:val="0"/>
      <w:marBottom w:val="0"/>
      <w:divBdr>
        <w:top w:val="none" w:sz="0" w:space="0" w:color="auto"/>
        <w:left w:val="none" w:sz="0" w:space="0" w:color="auto"/>
        <w:bottom w:val="none" w:sz="0" w:space="0" w:color="auto"/>
        <w:right w:val="none" w:sz="0" w:space="0" w:color="auto"/>
      </w:divBdr>
    </w:div>
    <w:div w:id="1587693371">
      <w:marLeft w:val="0"/>
      <w:marRight w:val="0"/>
      <w:marTop w:val="180"/>
      <w:marBottom w:val="180"/>
      <w:divBdr>
        <w:top w:val="none" w:sz="0" w:space="0" w:color="auto"/>
        <w:left w:val="none" w:sz="0" w:space="0" w:color="auto"/>
        <w:bottom w:val="none" w:sz="0" w:space="0" w:color="auto"/>
        <w:right w:val="none" w:sz="0" w:space="0" w:color="auto"/>
      </w:divBdr>
    </w:div>
    <w:div w:id="1591499464">
      <w:marLeft w:val="0"/>
      <w:marRight w:val="0"/>
      <w:marTop w:val="0"/>
      <w:marBottom w:val="0"/>
      <w:divBdr>
        <w:top w:val="none" w:sz="0" w:space="0" w:color="auto"/>
        <w:left w:val="none" w:sz="0" w:space="0" w:color="auto"/>
        <w:bottom w:val="none" w:sz="0" w:space="0" w:color="auto"/>
        <w:right w:val="none" w:sz="0" w:space="0" w:color="auto"/>
      </w:divBdr>
    </w:div>
    <w:div w:id="1591698198">
      <w:marLeft w:val="0"/>
      <w:marRight w:val="0"/>
      <w:marTop w:val="180"/>
      <w:marBottom w:val="180"/>
      <w:divBdr>
        <w:top w:val="none" w:sz="0" w:space="0" w:color="auto"/>
        <w:left w:val="none" w:sz="0" w:space="0" w:color="auto"/>
        <w:bottom w:val="none" w:sz="0" w:space="0" w:color="auto"/>
        <w:right w:val="none" w:sz="0" w:space="0" w:color="auto"/>
      </w:divBdr>
    </w:div>
    <w:div w:id="1594820613">
      <w:marLeft w:val="0"/>
      <w:marRight w:val="0"/>
      <w:marTop w:val="0"/>
      <w:marBottom w:val="0"/>
      <w:divBdr>
        <w:top w:val="none" w:sz="0" w:space="0" w:color="auto"/>
        <w:left w:val="none" w:sz="0" w:space="0" w:color="auto"/>
        <w:bottom w:val="none" w:sz="0" w:space="0" w:color="auto"/>
        <w:right w:val="none" w:sz="0" w:space="0" w:color="auto"/>
      </w:divBdr>
      <w:divsChild>
        <w:div w:id="1465735020">
          <w:marLeft w:val="0"/>
          <w:marRight w:val="0"/>
          <w:marTop w:val="0"/>
          <w:marBottom w:val="0"/>
          <w:divBdr>
            <w:top w:val="none" w:sz="0" w:space="0" w:color="auto"/>
            <w:left w:val="none" w:sz="0" w:space="0" w:color="auto"/>
            <w:bottom w:val="none" w:sz="0" w:space="0" w:color="auto"/>
            <w:right w:val="none" w:sz="0" w:space="0" w:color="auto"/>
          </w:divBdr>
        </w:div>
      </w:divsChild>
    </w:div>
    <w:div w:id="1594894994">
      <w:marLeft w:val="0"/>
      <w:marRight w:val="0"/>
      <w:marTop w:val="0"/>
      <w:marBottom w:val="240"/>
      <w:divBdr>
        <w:top w:val="none" w:sz="0" w:space="0" w:color="auto"/>
        <w:left w:val="none" w:sz="0" w:space="0" w:color="auto"/>
        <w:bottom w:val="none" w:sz="0" w:space="0" w:color="auto"/>
        <w:right w:val="none" w:sz="0" w:space="0" w:color="auto"/>
      </w:divBdr>
    </w:div>
    <w:div w:id="1595699083">
      <w:marLeft w:val="0"/>
      <w:marRight w:val="0"/>
      <w:marTop w:val="0"/>
      <w:marBottom w:val="0"/>
      <w:divBdr>
        <w:top w:val="none" w:sz="0" w:space="0" w:color="auto"/>
        <w:left w:val="none" w:sz="0" w:space="0" w:color="auto"/>
        <w:bottom w:val="none" w:sz="0" w:space="0" w:color="auto"/>
        <w:right w:val="none" w:sz="0" w:space="0" w:color="auto"/>
      </w:divBdr>
      <w:divsChild>
        <w:div w:id="921371747">
          <w:marLeft w:val="0"/>
          <w:marRight w:val="0"/>
          <w:marTop w:val="0"/>
          <w:marBottom w:val="0"/>
          <w:divBdr>
            <w:top w:val="none" w:sz="0" w:space="0" w:color="auto"/>
            <w:left w:val="none" w:sz="0" w:space="0" w:color="auto"/>
            <w:bottom w:val="none" w:sz="0" w:space="0" w:color="auto"/>
            <w:right w:val="none" w:sz="0" w:space="0" w:color="auto"/>
          </w:divBdr>
        </w:div>
      </w:divsChild>
    </w:div>
    <w:div w:id="1597977195">
      <w:marLeft w:val="0"/>
      <w:marRight w:val="0"/>
      <w:marTop w:val="0"/>
      <w:marBottom w:val="180"/>
      <w:divBdr>
        <w:top w:val="none" w:sz="0" w:space="0" w:color="auto"/>
        <w:left w:val="none" w:sz="0" w:space="0" w:color="auto"/>
        <w:bottom w:val="none" w:sz="0" w:space="0" w:color="auto"/>
        <w:right w:val="none" w:sz="0" w:space="0" w:color="auto"/>
      </w:divBdr>
    </w:div>
    <w:div w:id="1599947701">
      <w:marLeft w:val="0"/>
      <w:marRight w:val="0"/>
      <w:marTop w:val="0"/>
      <w:marBottom w:val="0"/>
      <w:divBdr>
        <w:top w:val="none" w:sz="0" w:space="0" w:color="auto"/>
        <w:left w:val="none" w:sz="0" w:space="0" w:color="auto"/>
        <w:bottom w:val="none" w:sz="0" w:space="0" w:color="auto"/>
        <w:right w:val="none" w:sz="0" w:space="0" w:color="auto"/>
      </w:divBdr>
    </w:div>
    <w:div w:id="1600260240">
      <w:marLeft w:val="0"/>
      <w:marRight w:val="0"/>
      <w:marTop w:val="0"/>
      <w:marBottom w:val="0"/>
      <w:divBdr>
        <w:top w:val="none" w:sz="0" w:space="0" w:color="auto"/>
        <w:left w:val="none" w:sz="0" w:space="0" w:color="auto"/>
        <w:bottom w:val="none" w:sz="0" w:space="0" w:color="auto"/>
        <w:right w:val="none" w:sz="0" w:space="0" w:color="auto"/>
      </w:divBdr>
    </w:div>
    <w:div w:id="1601716268">
      <w:marLeft w:val="0"/>
      <w:marRight w:val="0"/>
      <w:marTop w:val="0"/>
      <w:marBottom w:val="240"/>
      <w:divBdr>
        <w:top w:val="none" w:sz="0" w:space="0" w:color="auto"/>
        <w:left w:val="none" w:sz="0" w:space="0" w:color="auto"/>
        <w:bottom w:val="none" w:sz="0" w:space="0" w:color="auto"/>
        <w:right w:val="none" w:sz="0" w:space="0" w:color="auto"/>
      </w:divBdr>
    </w:div>
    <w:div w:id="1602177454">
      <w:marLeft w:val="0"/>
      <w:marRight w:val="0"/>
      <w:marTop w:val="0"/>
      <w:marBottom w:val="180"/>
      <w:divBdr>
        <w:top w:val="none" w:sz="0" w:space="0" w:color="auto"/>
        <w:left w:val="none" w:sz="0" w:space="0" w:color="auto"/>
        <w:bottom w:val="none" w:sz="0" w:space="0" w:color="auto"/>
        <w:right w:val="none" w:sz="0" w:space="0" w:color="auto"/>
      </w:divBdr>
    </w:div>
    <w:div w:id="1605268225">
      <w:marLeft w:val="0"/>
      <w:marRight w:val="0"/>
      <w:marTop w:val="0"/>
      <w:marBottom w:val="180"/>
      <w:divBdr>
        <w:top w:val="none" w:sz="0" w:space="0" w:color="auto"/>
        <w:left w:val="none" w:sz="0" w:space="0" w:color="auto"/>
        <w:bottom w:val="none" w:sz="0" w:space="0" w:color="auto"/>
        <w:right w:val="none" w:sz="0" w:space="0" w:color="auto"/>
      </w:divBdr>
    </w:div>
    <w:div w:id="1605452129">
      <w:marLeft w:val="0"/>
      <w:marRight w:val="0"/>
      <w:marTop w:val="0"/>
      <w:marBottom w:val="240"/>
      <w:divBdr>
        <w:top w:val="none" w:sz="0" w:space="0" w:color="auto"/>
        <w:left w:val="none" w:sz="0" w:space="0" w:color="auto"/>
        <w:bottom w:val="none" w:sz="0" w:space="0" w:color="auto"/>
        <w:right w:val="none" w:sz="0" w:space="0" w:color="auto"/>
      </w:divBdr>
    </w:div>
    <w:div w:id="1606231041">
      <w:marLeft w:val="0"/>
      <w:marRight w:val="0"/>
      <w:marTop w:val="0"/>
      <w:marBottom w:val="120"/>
      <w:divBdr>
        <w:top w:val="none" w:sz="0" w:space="0" w:color="auto"/>
        <w:left w:val="none" w:sz="0" w:space="0" w:color="auto"/>
        <w:bottom w:val="none" w:sz="0" w:space="0" w:color="auto"/>
        <w:right w:val="none" w:sz="0" w:space="0" w:color="auto"/>
      </w:divBdr>
    </w:div>
    <w:div w:id="1606496517">
      <w:marLeft w:val="0"/>
      <w:marRight w:val="0"/>
      <w:marTop w:val="0"/>
      <w:marBottom w:val="0"/>
      <w:divBdr>
        <w:top w:val="none" w:sz="0" w:space="0" w:color="auto"/>
        <w:left w:val="none" w:sz="0" w:space="0" w:color="auto"/>
        <w:bottom w:val="none" w:sz="0" w:space="0" w:color="auto"/>
        <w:right w:val="none" w:sz="0" w:space="0" w:color="auto"/>
      </w:divBdr>
      <w:divsChild>
        <w:div w:id="1165196860">
          <w:marLeft w:val="0"/>
          <w:marRight w:val="0"/>
          <w:marTop w:val="0"/>
          <w:marBottom w:val="0"/>
          <w:divBdr>
            <w:top w:val="none" w:sz="0" w:space="0" w:color="auto"/>
            <w:left w:val="none" w:sz="0" w:space="0" w:color="auto"/>
            <w:bottom w:val="none" w:sz="0" w:space="0" w:color="auto"/>
            <w:right w:val="none" w:sz="0" w:space="0" w:color="auto"/>
          </w:divBdr>
        </w:div>
      </w:divsChild>
    </w:div>
    <w:div w:id="1607616619">
      <w:marLeft w:val="0"/>
      <w:marRight w:val="0"/>
      <w:marTop w:val="240"/>
      <w:marBottom w:val="240"/>
      <w:divBdr>
        <w:top w:val="none" w:sz="0" w:space="0" w:color="auto"/>
        <w:left w:val="none" w:sz="0" w:space="0" w:color="auto"/>
        <w:bottom w:val="none" w:sz="0" w:space="0" w:color="auto"/>
        <w:right w:val="none" w:sz="0" w:space="0" w:color="auto"/>
      </w:divBdr>
    </w:div>
    <w:div w:id="1613393805">
      <w:marLeft w:val="0"/>
      <w:marRight w:val="0"/>
      <w:marTop w:val="0"/>
      <w:marBottom w:val="240"/>
      <w:divBdr>
        <w:top w:val="none" w:sz="0" w:space="0" w:color="auto"/>
        <w:left w:val="none" w:sz="0" w:space="0" w:color="auto"/>
        <w:bottom w:val="none" w:sz="0" w:space="0" w:color="auto"/>
        <w:right w:val="none" w:sz="0" w:space="0" w:color="auto"/>
      </w:divBdr>
    </w:div>
    <w:div w:id="1617175516">
      <w:marLeft w:val="0"/>
      <w:marRight w:val="0"/>
      <w:marTop w:val="0"/>
      <w:marBottom w:val="0"/>
      <w:divBdr>
        <w:top w:val="none" w:sz="0" w:space="0" w:color="auto"/>
        <w:left w:val="none" w:sz="0" w:space="0" w:color="auto"/>
        <w:bottom w:val="none" w:sz="0" w:space="0" w:color="auto"/>
        <w:right w:val="none" w:sz="0" w:space="0" w:color="auto"/>
      </w:divBdr>
      <w:divsChild>
        <w:div w:id="1270046229">
          <w:marLeft w:val="0"/>
          <w:marRight w:val="0"/>
          <w:marTop w:val="0"/>
          <w:marBottom w:val="0"/>
          <w:divBdr>
            <w:top w:val="none" w:sz="0" w:space="0" w:color="auto"/>
            <w:left w:val="none" w:sz="0" w:space="0" w:color="auto"/>
            <w:bottom w:val="none" w:sz="0" w:space="0" w:color="auto"/>
            <w:right w:val="none" w:sz="0" w:space="0" w:color="auto"/>
          </w:divBdr>
        </w:div>
      </w:divsChild>
    </w:div>
    <w:div w:id="1617177324">
      <w:marLeft w:val="0"/>
      <w:marRight w:val="0"/>
      <w:marTop w:val="0"/>
      <w:marBottom w:val="180"/>
      <w:divBdr>
        <w:top w:val="none" w:sz="0" w:space="0" w:color="auto"/>
        <w:left w:val="none" w:sz="0" w:space="0" w:color="auto"/>
        <w:bottom w:val="none" w:sz="0" w:space="0" w:color="auto"/>
        <w:right w:val="none" w:sz="0" w:space="0" w:color="auto"/>
      </w:divBdr>
    </w:div>
    <w:div w:id="1617366618">
      <w:marLeft w:val="0"/>
      <w:marRight w:val="0"/>
      <w:marTop w:val="0"/>
      <w:marBottom w:val="240"/>
      <w:divBdr>
        <w:top w:val="none" w:sz="0" w:space="0" w:color="auto"/>
        <w:left w:val="none" w:sz="0" w:space="0" w:color="auto"/>
        <w:bottom w:val="none" w:sz="0" w:space="0" w:color="auto"/>
        <w:right w:val="none" w:sz="0" w:space="0" w:color="auto"/>
      </w:divBdr>
    </w:div>
    <w:div w:id="1617638494">
      <w:marLeft w:val="0"/>
      <w:marRight w:val="0"/>
      <w:marTop w:val="0"/>
      <w:marBottom w:val="180"/>
      <w:divBdr>
        <w:top w:val="none" w:sz="0" w:space="0" w:color="auto"/>
        <w:left w:val="none" w:sz="0" w:space="0" w:color="auto"/>
        <w:bottom w:val="none" w:sz="0" w:space="0" w:color="auto"/>
        <w:right w:val="none" w:sz="0" w:space="0" w:color="auto"/>
      </w:divBdr>
    </w:div>
    <w:div w:id="1618100872">
      <w:marLeft w:val="0"/>
      <w:marRight w:val="0"/>
      <w:marTop w:val="0"/>
      <w:marBottom w:val="0"/>
      <w:divBdr>
        <w:top w:val="none" w:sz="0" w:space="0" w:color="auto"/>
        <w:left w:val="none" w:sz="0" w:space="0" w:color="auto"/>
        <w:bottom w:val="none" w:sz="0" w:space="0" w:color="auto"/>
        <w:right w:val="none" w:sz="0" w:space="0" w:color="auto"/>
      </w:divBdr>
      <w:divsChild>
        <w:div w:id="435834010">
          <w:marLeft w:val="0"/>
          <w:marRight w:val="0"/>
          <w:marTop w:val="0"/>
          <w:marBottom w:val="0"/>
          <w:divBdr>
            <w:top w:val="none" w:sz="0" w:space="0" w:color="auto"/>
            <w:left w:val="none" w:sz="0" w:space="0" w:color="auto"/>
            <w:bottom w:val="none" w:sz="0" w:space="0" w:color="auto"/>
            <w:right w:val="none" w:sz="0" w:space="0" w:color="auto"/>
          </w:divBdr>
        </w:div>
        <w:div w:id="1576862336">
          <w:marLeft w:val="0"/>
          <w:marRight w:val="0"/>
          <w:marTop w:val="0"/>
          <w:marBottom w:val="0"/>
          <w:divBdr>
            <w:top w:val="none" w:sz="0" w:space="0" w:color="auto"/>
            <w:left w:val="none" w:sz="0" w:space="0" w:color="auto"/>
            <w:bottom w:val="none" w:sz="0" w:space="0" w:color="auto"/>
            <w:right w:val="none" w:sz="0" w:space="0" w:color="auto"/>
          </w:divBdr>
        </w:div>
      </w:divsChild>
    </w:div>
    <w:div w:id="1618682776">
      <w:marLeft w:val="0"/>
      <w:marRight w:val="0"/>
      <w:marTop w:val="0"/>
      <w:marBottom w:val="0"/>
      <w:divBdr>
        <w:top w:val="none" w:sz="0" w:space="0" w:color="auto"/>
        <w:left w:val="none" w:sz="0" w:space="0" w:color="auto"/>
        <w:bottom w:val="none" w:sz="0" w:space="0" w:color="auto"/>
        <w:right w:val="none" w:sz="0" w:space="0" w:color="auto"/>
      </w:divBdr>
    </w:div>
    <w:div w:id="1620910742">
      <w:marLeft w:val="0"/>
      <w:marRight w:val="0"/>
      <w:marTop w:val="120"/>
      <w:marBottom w:val="240"/>
      <w:divBdr>
        <w:top w:val="none" w:sz="0" w:space="0" w:color="auto"/>
        <w:left w:val="none" w:sz="0" w:space="0" w:color="auto"/>
        <w:bottom w:val="none" w:sz="0" w:space="0" w:color="auto"/>
        <w:right w:val="none" w:sz="0" w:space="0" w:color="auto"/>
      </w:divBdr>
    </w:div>
    <w:div w:id="1622689682">
      <w:marLeft w:val="0"/>
      <w:marRight w:val="0"/>
      <w:marTop w:val="0"/>
      <w:marBottom w:val="180"/>
      <w:divBdr>
        <w:top w:val="none" w:sz="0" w:space="0" w:color="auto"/>
        <w:left w:val="none" w:sz="0" w:space="0" w:color="auto"/>
        <w:bottom w:val="none" w:sz="0" w:space="0" w:color="auto"/>
        <w:right w:val="none" w:sz="0" w:space="0" w:color="auto"/>
      </w:divBdr>
    </w:div>
    <w:div w:id="1623150922">
      <w:marLeft w:val="0"/>
      <w:marRight w:val="0"/>
      <w:marTop w:val="0"/>
      <w:marBottom w:val="0"/>
      <w:divBdr>
        <w:top w:val="none" w:sz="0" w:space="0" w:color="auto"/>
        <w:left w:val="none" w:sz="0" w:space="0" w:color="auto"/>
        <w:bottom w:val="none" w:sz="0" w:space="0" w:color="auto"/>
        <w:right w:val="none" w:sz="0" w:space="0" w:color="auto"/>
      </w:divBdr>
      <w:divsChild>
        <w:div w:id="1565606682">
          <w:marLeft w:val="0"/>
          <w:marRight w:val="0"/>
          <w:marTop w:val="0"/>
          <w:marBottom w:val="0"/>
          <w:divBdr>
            <w:top w:val="none" w:sz="0" w:space="0" w:color="auto"/>
            <w:left w:val="none" w:sz="0" w:space="0" w:color="auto"/>
            <w:bottom w:val="none" w:sz="0" w:space="0" w:color="auto"/>
            <w:right w:val="none" w:sz="0" w:space="0" w:color="auto"/>
          </w:divBdr>
        </w:div>
        <w:div w:id="1628580556">
          <w:marLeft w:val="0"/>
          <w:marRight w:val="0"/>
          <w:marTop w:val="0"/>
          <w:marBottom w:val="0"/>
          <w:divBdr>
            <w:top w:val="none" w:sz="0" w:space="0" w:color="auto"/>
            <w:left w:val="none" w:sz="0" w:space="0" w:color="auto"/>
            <w:bottom w:val="none" w:sz="0" w:space="0" w:color="auto"/>
            <w:right w:val="none" w:sz="0" w:space="0" w:color="auto"/>
          </w:divBdr>
        </w:div>
      </w:divsChild>
    </w:div>
    <w:div w:id="1624001760">
      <w:marLeft w:val="0"/>
      <w:marRight w:val="0"/>
      <w:marTop w:val="0"/>
      <w:marBottom w:val="0"/>
      <w:divBdr>
        <w:top w:val="none" w:sz="0" w:space="0" w:color="auto"/>
        <w:left w:val="none" w:sz="0" w:space="0" w:color="auto"/>
        <w:bottom w:val="none" w:sz="0" w:space="0" w:color="auto"/>
        <w:right w:val="none" w:sz="0" w:space="0" w:color="auto"/>
      </w:divBdr>
    </w:div>
    <w:div w:id="1628121403">
      <w:marLeft w:val="0"/>
      <w:marRight w:val="0"/>
      <w:marTop w:val="0"/>
      <w:marBottom w:val="0"/>
      <w:divBdr>
        <w:top w:val="none" w:sz="0" w:space="0" w:color="auto"/>
        <w:left w:val="none" w:sz="0" w:space="0" w:color="auto"/>
        <w:bottom w:val="none" w:sz="0" w:space="0" w:color="auto"/>
        <w:right w:val="none" w:sz="0" w:space="0" w:color="auto"/>
      </w:divBdr>
    </w:div>
    <w:div w:id="1632907403">
      <w:marLeft w:val="0"/>
      <w:marRight w:val="0"/>
      <w:marTop w:val="0"/>
      <w:marBottom w:val="240"/>
      <w:divBdr>
        <w:top w:val="none" w:sz="0" w:space="0" w:color="auto"/>
        <w:left w:val="none" w:sz="0" w:space="0" w:color="auto"/>
        <w:bottom w:val="none" w:sz="0" w:space="0" w:color="auto"/>
        <w:right w:val="none" w:sz="0" w:space="0" w:color="auto"/>
      </w:divBdr>
    </w:div>
    <w:div w:id="1634867351">
      <w:marLeft w:val="0"/>
      <w:marRight w:val="0"/>
      <w:marTop w:val="0"/>
      <w:marBottom w:val="180"/>
      <w:divBdr>
        <w:top w:val="none" w:sz="0" w:space="0" w:color="auto"/>
        <w:left w:val="none" w:sz="0" w:space="0" w:color="auto"/>
        <w:bottom w:val="none" w:sz="0" w:space="0" w:color="auto"/>
        <w:right w:val="none" w:sz="0" w:space="0" w:color="auto"/>
      </w:divBdr>
    </w:div>
    <w:div w:id="1635721577">
      <w:marLeft w:val="0"/>
      <w:marRight w:val="0"/>
      <w:marTop w:val="120"/>
      <w:marBottom w:val="120"/>
      <w:divBdr>
        <w:top w:val="none" w:sz="0" w:space="0" w:color="auto"/>
        <w:left w:val="none" w:sz="0" w:space="0" w:color="auto"/>
        <w:bottom w:val="none" w:sz="0" w:space="0" w:color="auto"/>
        <w:right w:val="none" w:sz="0" w:space="0" w:color="auto"/>
      </w:divBdr>
    </w:div>
    <w:div w:id="1636636521">
      <w:marLeft w:val="0"/>
      <w:marRight w:val="0"/>
      <w:marTop w:val="0"/>
      <w:marBottom w:val="0"/>
      <w:divBdr>
        <w:top w:val="none" w:sz="0" w:space="0" w:color="auto"/>
        <w:left w:val="none" w:sz="0" w:space="0" w:color="auto"/>
        <w:bottom w:val="none" w:sz="0" w:space="0" w:color="auto"/>
        <w:right w:val="none" w:sz="0" w:space="0" w:color="auto"/>
      </w:divBdr>
    </w:div>
    <w:div w:id="1638683606">
      <w:marLeft w:val="0"/>
      <w:marRight w:val="0"/>
      <w:marTop w:val="0"/>
      <w:marBottom w:val="240"/>
      <w:divBdr>
        <w:top w:val="none" w:sz="0" w:space="0" w:color="auto"/>
        <w:left w:val="none" w:sz="0" w:space="0" w:color="auto"/>
        <w:bottom w:val="none" w:sz="0" w:space="0" w:color="auto"/>
        <w:right w:val="none" w:sz="0" w:space="0" w:color="auto"/>
      </w:divBdr>
    </w:div>
    <w:div w:id="1642881500">
      <w:marLeft w:val="0"/>
      <w:marRight w:val="0"/>
      <w:marTop w:val="0"/>
      <w:marBottom w:val="0"/>
      <w:divBdr>
        <w:top w:val="none" w:sz="0" w:space="0" w:color="auto"/>
        <w:left w:val="none" w:sz="0" w:space="0" w:color="auto"/>
        <w:bottom w:val="none" w:sz="0" w:space="0" w:color="auto"/>
        <w:right w:val="none" w:sz="0" w:space="0" w:color="auto"/>
      </w:divBdr>
      <w:divsChild>
        <w:div w:id="473908505">
          <w:marLeft w:val="0"/>
          <w:marRight w:val="0"/>
          <w:marTop w:val="0"/>
          <w:marBottom w:val="0"/>
          <w:divBdr>
            <w:top w:val="none" w:sz="0" w:space="0" w:color="auto"/>
            <w:left w:val="none" w:sz="0" w:space="0" w:color="auto"/>
            <w:bottom w:val="none" w:sz="0" w:space="0" w:color="auto"/>
            <w:right w:val="none" w:sz="0" w:space="0" w:color="auto"/>
          </w:divBdr>
        </w:div>
      </w:divsChild>
    </w:div>
    <w:div w:id="1644433074">
      <w:marLeft w:val="0"/>
      <w:marRight w:val="0"/>
      <w:marTop w:val="0"/>
      <w:marBottom w:val="0"/>
      <w:divBdr>
        <w:top w:val="none" w:sz="0" w:space="0" w:color="auto"/>
        <w:left w:val="none" w:sz="0" w:space="0" w:color="auto"/>
        <w:bottom w:val="none" w:sz="0" w:space="0" w:color="auto"/>
        <w:right w:val="none" w:sz="0" w:space="0" w:color="auto"/>
      </w:divBdr>
    </w:div>
    <w:div w:id="1644919767">
      <w:marLeft w:val="0"/>
      <w:marRight w:val="0"/>
      <w:marTop w:val="180"/>
      <w:marBottom w:val="180"/>
      <w:divBdr>
        <w:top w:val="none" w:sz="0" w:space="0" w:color="auto"/>
        <w:left w:val="none" w:sz="0" w:space="0" w:color="auto"/>
        <w:bottom w:val="none" w:sz="0" w:space="0" w:color="auto"/>
        <w:right w:val="none" w:sz="0" w:space="0" w:color="auto"/>
      </w:divBdr>
    </w:div>
    <w:div w:id="1645545971">
      <w:marLeft w:val="0"/>
      <w:marRight w:val="0"/>
      <w:marTop w:val="0"/>
      <w:marBottom w:val="0"/>
      <w:divBdr>
        <w:top w:val="none" w:sz="0" w:space="0" w:color="auto"/>
        <w:left w:val="none" w:sz="0" w:space="0" w:color="auto"/>
        <w:bottom w:val="none" w:sz="0" w:space="0" w:color="auto"/>
        <w:right w:val="none" w:sz="0" w:space="0" w:color="auto"/>
      </w:divBdr>
    </w:div>
    <w:div w:id="1646154447">
      <w:marLeft w:val="0"/>
      <w:marRight w:val="0"/>
      <w:marTop w:val="0"/>
      <w:marBottom w:val="0"/>
      <w:divBdr>
        <w:top w:val="none" w:sz="0" w:space="0" w:color="auto"/>
        <w:left w:val="none" w:sz="0" w:space="0" w:color="auto"/>
        <w:bottom w:val="none" w:sz="0" w:space="0" w:color="auto"/>
        <w:right w:val="none" w:sz="0" w:space="0" w:color="auto"/>
      </w:divBdr>
      <w:divsChild>
        <w:div w:id="451749142">
          <w:marLeft w:val="0"/>
          <w:marRight w:val="0"/>
          <w:marTop w:val="0"/>
          <w:marBottom w:val="0"/>
          <w:divBdr>
            <w:top w:val="none" w:sz="0" w:space="0" w:color="auto"/>
            <w:left w:val="none" w:sz="0" w:space="0" w:color="auto"/>
            <w:bottom w:val="none" w:sz="0" w:space="0" w:color="auto"/>
            <w:right w:val="none" w:sz="0" w:space="0" w:color="auto"/>
          </w:divBdr>
          <w:divsChild>
            <w:div w:id="2187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1397">
      <w:marLeft w:val="0"/>
      <w:marRight w:val="0"/>
      <w:marTop w:val="180"/>
      <w:marBottom w:val="180"/>
      <w:divBdr>
        <w:top w:val="none" w:sz="0" w:space="0" w:color="auto"/>
        <w:left w:val="none" w:sz="0" w:space="0" w:color="auto"/>
        <w:bottom w:val="none" w:sz="0" w:space="0" w:color="auto"/>
        <w:right w:val="none" w:sz="0" w:space="0" w:color="auto"/>
      </w:divBdr>
    </w:div>
    <w:div w:id="1649288684">
      <w:marLeft w:val="0"/>
      <w:marRight w:val="0"/>
      <w:marTop w:val="0"/>
      <w:marBottom w:val="0"/>
      <w:divBdr>
        <w:top w:val="none" w:sz="0" w:space="0" w:color="auto"/>
        <w:left w:val="none" w:sz="0" w:space="0" w:color="auto"/>
        <w:bottom w:val="none" w:sz="0" w:space="0" w:color="auto"/>
        <w:right w:val="none" w:sz="0" w:space="0" w:color="auto"/>
      </w:divBdr>
    </w:div>
    <w:div w:id="1650672669">
      <w:marLeft w:val="0"/>
      <w:marRight w:val="0"/>
      <w:marTop w:val="0"/>
      <w:marBottom w:val="0"/>
      <w:divBdr>
        <w:top w:val="none" w:sz="0" w:space="0" w:color="auto"/>
        <w:left w:val="none" w:sz="0" w:space="0" w:color="auto"/>
        <w:bottom w:val="none" w:sz="0" w:space="0" w:color="auto"/>
        <w:right w:val="none" w:sz="0" w:space="0" w:color="auto"/>
      </w:divBdr>
      <w:divsChild>
        <w:div w:id="1060708517">
          <w:marLeft w:val="0"/>
          <w:marRight w:val="0"/>
          <w:marTop w:val="0"/>
          <w:marBottom w:val="0"/>
          <w:divBdr>
            <w:top w:val="none" w:sz="0" w:space="0" w:color="auto"/>
            <w:left w:val="none" w:sz="0" w:space="0" w:color="auto"/>
            <w:bottom w:val="none" w:sz="0" w:space="0" w:color="auto"/>
            <w:right w:val="none" w:sz="0" w:space="0" w:color="auto"/>
          </w:divBdr>
        </w:div>
      </w:divsChild>
    </w:div>
    <w:div w:id="1655794568">
      <w:marLeft w:val="0"/>
      <w:marRight w:val="0"/>
      <w:marTop w:val="0"/>
      <w:marBottom w:val="0"/>
      <w:divBdr>
        <w:top w:val="none" w:sz="0" w:space="0" w:color="auto"/>
        <w:left w:val="none" w:sz="0" w:space="0" w:color="auto"/>
        <w:bottom w:val="none" w:sz="0" w:space="0" w:color="auto"/>
        <w:right w:val="none" w:sz="0" w:space="0" w:color="auto"/>
      </w:divBdr>
      <w:divsChild>
        <w:div w:id="96751861">
          <w:marLeft w:val="0"/>
          <w:marRight w:val="0"/>
          <w:marTop w:val="0"/>
          <w:marBottom w:val="0"/>
          <w:divBdr>
            <w:top w:val="none" w:sz="0" w:space="0" w:color="auto"/>
            <w:left w:val="none" w:sz="0" w:space="0" w:color="auto"/>
            <w:bottom w:val="none" w:sz="0" w:space="0" w:color="auto"/>
            <w:right w:val="none" w:sz="0" w:space="0" w:color="auto"/>
          </w:divBdr>
        </w:div>
      </w:divsChild>
    </w:div>
    <w:div w:id="1655796037">
      <w:marLeft w:val="0"/>
      <w:marRight w:val="0"/>
      <w:marTop w:val="0"/>
      <w:marBottom w:val="240"/>
      <w:divBdr>
        <w:top w:val="none" w:sz="0" w:space="0" w:color="auto"/>
        <w:left w:val="none" w:sz="0" w:space="0" w:color="auto"/>
        <w:bottom w:val="none" w:sz="0" w:space="0" w:color="auto"/>
        <w:right w:val="none" w:sz="0" w:space="0" w:color="auto"/>
      </w:divBdr>
    </w:div>
    <w:div w:id="1656831936">
      <w:marLeft w:val="0"/>
      <w:marRight w:val="0"/>
      <w:marTop w:val="0"/>
      <w:marBottom w:val="240"/>
      <w:divBdr>
        <w:top w:val="none" w:sz="0" w:space="0" w:color="auto"/>
        <w:left w:val="none" w:sz="0" w:space="0" w:color="auto"/>
        <w:bottom w:val="none" w:sz="0" w:space="0" w:color="auto"/>
        <w:right w:val="none" w:sz="0" w:space="0" w:color="auto"/>
      </w:divBdr>
    </w:div>
    <w:div w:id="1657800272">
      <w:marLeft w:val="0"/>
      <w:marRight w:val="0"/>
      <w:marTop w:val="0"/>
      <w:marBottom w:val="180"/>
      <w:divBdr>
        <w:top w:val="none" w:sz="0" w:space="0" w:color="auto"/>
        <w:left w:val="none" w:sz="0" w:space="0" w:color="auto"/>
        <w:bottom w:val="none" w:sz="0" w:space="0" w:color="auto"/>
        <w:right w:val="none" w:sz="0" w:space="0" w:color="auto"/>
      </w:divBdr>
    </w:div>
    <w:div w:id="1662151234">
      <w:marLeft w:val="0"/>
      <w:marRight w:val="0"/>
      <w:marTop w:val="0"/>
      <w:marBottom w:val="180"/>
      <w:divBdr>
        <w:top w:val="none" w:sz="0" w:space="0" w:color="auto"/>
        <w:left w:val="none" w:sz="0" w:space="0" w:color="auto"/>
        <w:bottom w:val="none" w:sz="0" w:space="0" w:color="auto"/>
        <w:right w:val="none" w:sz="0" w:space="0" w:color="auto"/>
      </w:divBdr>
    </w:div>
    <w:div w:id="1662347574">
      <w:marLeft w:val="0"/>
      <w:marRight w:val="0"/>
      <w:marTop w:val="20"/>
      <w:marBottom w:val="120"/>
      <w:divBdr>
        <w:top w:val="none" w:sz="0" w:space="0" w:color="auto"/>
        <w:left w:val="none" w:sz="0" w:space="0" w:color="auto"/>
        <w:bottom w:val="none" w:sz="0" w:space="0" w:color="auto"/>
        <w:right w:val="none" w:sz="0" w:space="0" w:color="auto"/>
      </w:divBdr>
    </w:div>
    <w:div w:id="1662466852">
      <w:marLeft w:val="0"/>
      <w:marRight w:val="0"/>
      <w:marTop w:val="180"/>
      <w:marBottom w:val="180"/>
      <w:divBdr>
        <w:top w:val="none" w:sz="0" w:space="0" w:color="auto"/>
        <w:left w:val="none" w:sz="0" w:space="0" w:color="auto"/>
        <w:bottom w:val="none" w:sz="0" w:space="0" w:color="auto"/>
        <w:right w:val="none" w:sz="0" w:space="0" w:color="auto"/>
      </w:divBdr>
    </w:div>
    <w:div w:id="1663435366">
      <w:marLeft w:val="0"/>
      <w:marRight w:val="0"/>
      <w:marTop w:val="0"/>
      <w:marBottom w:val="240"/>
      <w:divBdr>
        <w:top w:val="none" w:sz="0" w:space="0" w:color="auto"/>
        <w:left w:val="none" w:sz="0" w:space="0" w:color="auto"/>
        <w:bottom w:val="none" w:sz="0" w:space="0" w:color="auto"/>
        <w:right w:val="none" w:sz="0" w:space="0" w:color="auto"/>
      </w:divBdr>
    </w:div>
    <w:div w:id="1665085580">
      <w:marLeft w:val="0"/>
      <w:marRight w:val="0"/>
      <w:marTop w:val="180"/>
      <w:marBottom w:val="180"/>
      <w:divBdr>
        <w:top w:val="none" w:sz="0" w:space="0" w:color="auto"/>
        <w:left w:val="none" w:sz="0" w:space="0" w:color="auto"/>
        <w:bottom w:val="none" w:sz="0" w:space="0" w:color="auto"/>
        <w:right w:val="none" w:sz="0" w:space="0" w:color="auto"/>
      </w:divBdr>
    </w:div>
    <w:div w:id="1666591556">
      <w:marLeft w:val="0"/>
      <w:marRight w:val="0"/>
      <w:marTop w:val="0"/>
      <w:marBottom w:val="0"/>
      <w:divBdr>
        <w:top w:val="none" w:sz="0" w:space="0" w:color="auto"/>
        <w:left w:val="none" w:sz="0" w:space="0" w:color="auto"/>
        <w:bottom w:val="none" w:sz="0" w:space="0" w:color="auto"/>
        <w:right w:val="none" w:sz="0" w:space="0" w:color="auto"/>
      </w:divBdr>
      <w:divsChild>
        <w:div w:id="1076171556">
          <w:marLeft w:val="0"/>
          <w:marRight w:val="0"/>
          <w:marTop w:val="0"/>
          <w:marBottom w:val="0"/>
          <w:divBdr>
            <w:top w:val="none" w:sz="0" w:space="0" w:color="auto"/>
            <w:left w:val="none" w:sz="0" w:space="0" w:color="auto"/>
            <w:bottom w:val="none" w:sz="0" w:space="0" w:color="auto"/>
            <w:right w:val="none" w:sz="0" w:space="0" w:color="auto"/>
          </w:divBdr>
        </w:div>
      </w:divsChild>
    </w:div>
    <w:div w:id="1666786526">
      <w:marLeft w:val="0"/>
      <w:marRight w:val="0"/>
      <w:marTop w:val="0"/>
      <w:marBottom w:val="240"/>
      <w:divBdr>
        <w:top w:val="none" w:sz="0" w:space="0" w:color="auto"/>
        <w:left w:val="none" w:sz="0" w:space="0" w:color="auto"/>
        <w:bottom w:val="none" w:sz="0" w:space="0" w:color="auto"/>
        <w:right w:val="none" w:sz="0" w:space="0" w:color="auto"/>
      </w:divBdr>
    </w:div>
    <w:div w:id="1667322299">
      <w:marLeft w:val="0"/>
      <w:marRight w:val="0"/>
      <w:marTop w:val="0"/>
      <w:marBottom w:val="0"/>
      <w:divBdr>
        <w:top w:val="none" w:sz="0" w:space="0" w:color="auto"/>
        <w:left w:val="none" w:sz="0" w:space="0" w:color="auto"/>
        <w:bottom w:val="none" w:sz="0" w:space="0" w:color="auto"/>
        <w:right w:val="none" w:sz="0" w:space="0" w:color="auto"/>
      </w:divBdr>
      <w:divsChild>
        <w:div w:id="1852990507">
          <w:marLeft w:val="0"/>
          <w:marRight w:val="0"/>
          <w:marTop w:val="0"/>
          <w:marBottom w:val="0"/>
          <w:divBdr>
            <w:top w:val="none" w:sz="0" w:space="0" w:color="auto"/>
            <w:left w:val="none" w:sz="0" w:space="0" w:color="auto"/>
            <w:bottom w:val="none" w:sz="0" w:space="0" w:color="auto"/>
            <w:right w:val="none" w:sz="0" w:space="0" w:color="auto"/>
          </w:divBdr>
        </w:div>
      </w:divsChild>
    </w:div>
    <w:div w:id="1668512413">
      <w:marLeft w:val="0"/>
      <w:marRight w:val="0"/>
      <w:marTop w:val="100"/>
      <w:marBottom w:val="0"/>
      <w:divBdr>
        <w:top w:val="none" w:sz="0" w:space="0" w:color="auto"/>
        <w:left w:val="none" w:sz="0" w:space="0" w:color="auto"/>
        <w:bottom w:val="none" w:sz="0" w:space="0" w:color="auto"/>
        <w:right w:val="none" w:sz="0" w:space="0" w:color="auto"/>
      </w:divBdr>
    </w:div>
    <w:div w:id="1670020311">
      <w:marLeft w:val="0"/>
      <w:marRight w:val="0"/>
      <w:marTop w:val="120"/>
      <w:marBottom w:val="120"/>
      <w:divBdr>
        <w:top w:val="none" w:sz="0" w:space="0" w:color="auto"/>
        <w:left w:val="none" w:sz="0" w:space="0" w:color="auto"/>
        <w:bottom w:val="none" w:sz="0" w:space="0" w:color="auto"/>
        <w:right w:val="none" w:sz="0" w:space="0" w:color="auto"/>
      </w:divBdr>
    </w:div>
    <w:div w:id="1670522611">
      <w:marLeft w:val="0"/>
      <w:marRight w:val="0"/>
      <w:marTop w:val="180"/>
      <w:marBottom w:val="180"/>
      <w:divBdr>
        <w:top w:val="none" w:sz="0" w:space="0" w:color="auto"/>
        <w:left w:val="none" w:sz="0" w:space="0" w:color="auto"/>
        <w:bottom w:val="none" w:sz="0" w:space="0" w:color="auto"/>
        <w:right w:val="none" w:sz="0" w:space="0" w:color="auto"/>
      </w:divBdr>
    </w:div>
    <w:div w:id="1671374966">
      <w:marLeft w:val="0"/>
      <w:marRight w:val="0"/>
      <w:marTop w:val="0"/>
      <w:marBottom w:val="0"/>
      <w:divBdr>
        <w:top w:val="none" w:sz="0" w:space="0" w:color="auto"/>
        <w:left w:val="none" w:sz="0" w:space="0" w:color="auto"/>
        <w:bottom w:val="none" w:sz="0" w:space="0" w:color="auto"/>
        <w:right w:val="none" w:sz="0" w:space="0" w:color="auto"/>
      </w:divBdr>
    </w:div>
    <w:div w:id="1671593671">
      <w:marLeft w:val="0"/>
      <w:marRight w:val="0"/>
      <w:marTop w:val="0"/>
      <w:marBottom w:val="240"/>
      <w:divBdr>
        <w:top w:val="none" w:sz="0" w:space="0" w:color="auto"/>
        <w:left w:val="none" w:sz="0" w:space="0" w:color="auto"/>
        <w:bottom w:val="none" w:sz="0" w:space="0" w:color="auto"/>
        <w:right w:val="none" w:sz="0" w:space="0" w:color="auto"/>
      </w:divBdr>
    </w:div>
    <w:div w:id="1676422325">
      <w:marLeft w:val="0"/>
      <w:marRight w:val="0"/>
      <w:marTop w:val="0"/>
      <w:marBottom w:val="0"/>
      <w:divBdr>
        <w:top w:val="none" w:sz="0" w:space="0" w:color="auto"/>
        <w:left w:val="none" w:sz="0" w:space="0" w:color="auto"/>
        <w:bottom w:val="none" w:sz="0" w:space="0" w:color="auto"/>
        <w:right w:val="none" w:sz="0" w:space="0" w:color="auto"/>
      </w:divBdr>
    </w:div>
    <w:div w:id="1677611075">
      <w:marLeft w:val="0"/>
      <w:marRight w:val="0"/>
      <w:marTop w:val="0"/>
      <w:marBottom w:val="180"/>
      <w:divBdr>
        <w:top w:val="none" w:sz="0" w:space="0" w:color="auto"/>
        <w:left w:val="none" w:sz="0" w:space="0" w:color="auto"/>
        <w:bottom w:val="none" w:sz="0" w:space="0" w:color="auto"/>
        <w:right w:val="none" w:sz="0" w:space="0" w:color="auto"/>
      </w:divBdr>
    </w:div>
    <w:div w:id="1677876604">
      <w:marLeft w:val="0"/>
      <w:marRight w:val="0"/>
      <w:marTop w:val="120"/>
      <w:marBottom w:val="180"/>
      <w:divBdr>
        <w:top w:val="none" w:sz="0" w:space="0" w:color="auto"/>
        <w:left w:val="none" w:sz="0" w:space="0" w:color="auto"/>
        <w:bottom w:val="none" w:sz="0" w:space="0" w:color="auto"/>
        <w:right w:val="none" w:sz="0" w:space="0" w:color="auto"/>
      </w:divBdr>
    </w:div>
    <w:div w:id="1680740611">
      <w:marLeft w:val="0"/>
      <w:marRight w:val="0"/>
      <w:marTop w:val="0"/>
      <w:marBottom w:val="180"/>
      <w:divBdr>
        <w:top w:val="none" w:sz="0" w:space="0" w:color="auto"/>
        <w:left w:val="none" w:sz="0" w:space="0" w:color="auto"/>
        <w:bottom w:val="none" w:sz="0" w:space="0" w:color="auto"/>
        <w:right w:val="none" w:sz="0" w:space="0" w:color="auto"/>
      </w:divBdr>
    </w:div>
    <w:div w:id="1682391634">
      <w:marLeft w:val="0"/>
      <w:marRight w:val="0"/>
      <w:marTop w:val="0"/>
      <w:marBottom w:val="0"/>
      <w:divBdr>
        <w:top w:val="none" w:sz="0" w:space="0" w:color="auto"/>
        <w:left w:val="none" w:sz="0" w:space="0" w:color="auto"/>
        <w:bottom w:val="none" w:sz="0" w:space="0" w:color="auto"/>
        <w:right w:val="none" w:sz="0" w:space="0" w:color="auto"/>
      </w:divBdr>
      <w:divsChild>
        <w:div w:id="199980669">
          <w:marLeft w:val="0"/>
          <w:marRight w:val="0"/>
          <w:marTop w:val="0"/>
          <w:marBottom w:val="0"/>
          <w:divBdr>
            <w:top w:val="none" w:sz="0" w:space="0" w:color="auto"/>
            <w:left w:val="none" w:sz="0" w:space="0" w:color="auto"/>
            <w:bottom w:val="none" w:sz="0" w:space="0" w:color="auto"/>
            <w:right w:val="none" w:sz="0" w:space="0" w:color="auto"/>
          </w:divBdr>
        </w:div>
        <w:div w:id="970358675">
          <w:marLeft w:val="0"/>
          <w:marRight w:val="0"/>
          <w:marTop w:val="0"/>
          <w:marBottom w:val="0"/>
          <w:divBdr>
            <w:top w:val="none" w:sz="0" w:space="0" w:color="auto"/>
            <w:left w:val="none" w:sz="0" w:space="0" w:color="auto"/>
            <w:bottom w:val="none" w:sz="0" w:space="0" w:color="auto"/>
            <w:right w:val="none" w:sz="0" w:space="0" w:color="auto"/>
          </w:divBdr>
        </w:div>
      </w:divsChild>
    </w:div>
    <w:div w:id="1682705238">
      <w:marLeft w:val="0"/>
      <w:marRight w:val="0"/>
      <w:marTop w:val="100"/>
      <w:marBottom w:val="0"/>
      <w:divBdr>
        <w:top w:val="none" w:sz="0" w:space="0" w:color="auto"/>
        <w:left w:val="none" w:sz="0" w:space="0" w:color="auto"/>
        <w:bottom w:val="none" w:sz="0" w:space="0" w:color="auto"/>
        <w:right w:val="none" w:sz="0" w:space="0" w:color="auto"/>
      </w:divBdr>
    </w:div>
    <w:div w:id="1683167084">
      <w:marLeft w:val="0"/>
      <w:marRight w:val="0"/>
      <w:marTop w:val="0"/>
      <w:marBottom w:val="0"/>
      <w:divBdr>
        <w:top w:val="none" w:sz="0" w:space="0" w:color="auto"/>
        <w:left w:val="none" w:sz="0" w:space="0" w:color="auto"/>
        <w:bottom w:val="none" w:sz="0" w:space="0" w:color="auto"/>
        <w:right w:val="none" w:sz="0" w:space="0" w:color="auto"/>
      </w:divBdr>
      <w:divsChild>
        <w:div w:id="2112818363">
          <w:marLeft w:val="0"/>
          <w:marRight w:val="0"/>
          <w:marTop w:val="0"/>
          <w:marBottom w:val="0"/>
          <w:divBdr>
            <w:top w:val="none" w:sz="0" w:space="0" w:color="auto"/>
            <w:left w:val="none" w:sz="0" w:space="0" w:color="auto"/>
            <w:bottom w:val="none" w:sz="0" w:space="0" w:color="auto"/>
            <w:right w:val="none" w:sz="0" w:space="0" w:color="auto"/>
          </w:divBdr>
        </w:div>
      </w:divsChild>
    </w:div>
    <w:div w:id="1683780494">
      <w:marLeft w:val="0"/>
      <w:marRight w:val="0"/>
      <w:marTop w:val="0"/>
      <w:marBottom w:val="0"/>
      <w:divBdr>
        <w:top w:val="none" w:sz="0" w:space="0" w:color="auto"/>
        <w:left w:val="none" w:sz="0" w:space="0" w:color="auto"/>
        <w:bottom w:val="none" w:sz="0" w:space="0" w:color="auto"/>
        <w:right w:val="none" w:sz="0" w:space="0" w:color="auto"/>
      </w:divBdr>
    </w:div>
    <w:div w:id="1685478289">
      <w:marLeft w:val="0"/>
      <w:marRight w:val="0"/>
      <w:marTop w:val="0"/>
      <w:marBottom w:val="240"/>
      <w:divBdr>
        <w:top w:val="none" w:sz="0" w:space="0" w:color="auto"/>
        <w:left w:val="none" w:sz="0" w:space="0" w:color="auto"/>
        <w:bottom w:val="none" w:sz="0" w:space="0" w:color="auto"/>
        <w:right w:val="none" w:sz="0" w:space="0" w:color="auto"/>
      </w:divBdr>
    </w:div>
    <w:div w:id="1685743636">
      <w:marLeft w:val="0"/>
      <w:marRight w:val="0"/>
      <w:marTop w:val="0"/>
      <w:marBottom w:val="180"/>
      <w:divBdr>
        <w:top w:val="none" w:sz="0" w:space="0" w:color="auto"/>
        <w:left w:val="none" w:sz="0" w:space="0" w:color="auto"/>
        <w:bottom w:val="none" w:sz="0" w:space="0" w:color="auto"/>
        <w:right w:val="none" w:sz="0" w:space="0" w:color="auto"/>
      </w:divBdr>
    </w:div>
    <w:div w:id="1687056904">
      <w:marLeft w:val="0"/>
      <w:marRight w:val="0"/>
      <w:marTop w:val="0"/>
      <w:marBottom w:val="0"/>
      <w:divBdr>
        <w:top w:val="none" w:sz="0" w:space="0" w:color="auto"/>
        <w:left w:val="none" w:sz="0" w:space="0" w:color="auto"/>
        <w:bottom w:val="none" w:sz="0" w:space="0" w:color="auto"/>
        <w:right w:val="none" w:sz="0" w:space="0" w:color="auto"/>
      </w:divBdr>
      <w:divsChild>
        <w:div w:id="1983339159">
          <w:marLeft w:val="0"/>
          <w:marRight w:val="0"/>
          <w:marTop w:val="0"/>
          <w:marBottom w:val="0"/>
          <w:divBdr>
            <w:top w:val="none" w:sz="0" w:space="0" w:color="auto"/>
            <w:left w:val="none" w:sz="0" w:space="0" w:color="auto"/>
            <w:bottom w:val="none" w:sz="0" w:space="0" w:color="auto"/>
            <w:right w:val="none" w:sz="0" w:space="0" w:color="auto"/>
          </w:divBdr>
        </w:div>
      </w:divsChild>
    </w:div>
    <w:div w:id="1687900954">
      <w:marLeft w:val="0"/>
      <w:marRight w:val="0"/>
      <w:marTop w:val="0"/>
      <w:marBottom w:val="180"/>
      <w:divBdr>
        <w:top w:val="none" w:sz="0" w:space="0" w:color="auto"/>
        <w:left w:val="none" w:sz="0" w:space="0" w:color="auto"/>
        <w:bottom w:val="none" w:sz="0" w:space="0" w:color="auto"/>
        <w:right w:val="none" w:sz="0" w:space="0" w:color="auto"/>
      </w:divBdr>
    </w:div>
    <w:div w:id="1688630846">
      <w:marLeft w:val="0"/>
      <w:marRight w:val="0"/>
      <w:marTop w:val="0"/>
      <w:marBottom w:val="0"/>
      <w:divBdr>
        <w:top w:val="none" w:sz="0" w:space="0" w:color="auto"/>
        <w:left w:val="none" w:sz="0" w:space="0" w:color="auto"/>
        <w:bottom w:val="none" w:sz="0" w:space="0" w:color="auto"/>
        <w:right w:val="none" w:sz="0" w:space="0" w:color="auto"/>
      </w:divBdr>
      <w:divsChild>
        <w:div w:id="1154302575">
          <w:marLeft w:val="0"/>
          <w:marRight w:val="0"/>
          <w:marTop w:val="0"/>
          <w:marBottom w:val="0"/>
          <w:divBdr>
            <w:top w:val="none" w:sz="0" w:space="0" w:color="auto"/>
            <w:left w:val="none" w:sz="0" w:space="0" w:color="auto"/>
            <w:bottom w:val="none" w:sz="0" w:space="0" w:color="auto"/>
            <w:right w:val="none" w:sz="0" w:space="0" w:color="auto"/>
          </w:divBdr>
        </w:div>
        <w:div w:id="895240860">
          <w:marLeft w:val="0"/>
          <w:marRight w:val="0"/>
          <w:marTop w:val="0"/>
          <w:marBottom w:val="0"/>
          <w:divBdr>
            <w:top w:val="none" w:sz="0" w:space="0" w:color="auto"/>
            <w:left w:val="none" w:sz="0" w:space="0" w:color="auto"/>
            <w:bottom w:val="none" w:sz="0" w:space="0" w:color="auto"/>
            <w:right w:val="none" w:sz="0" w:space="0" w:color="auto"/>
          </w:divBdr>
        </w:div>
      </w:divsChild>
    </w:div>
    <w:div w:id="1688631443">
      <w:marLeft w:val="0"/>
      <w:marRight w:val="0"/>
      <w:marTop w:val="120"/>
      <w:marBottom w:val="60"/>
      <w:divBdr>
        <w:top w:val="none" w:sz="0" w:space="0" w:color="auto"/>
        <w:left w:val="none" w:sz="0" w:space="0" w:color="auto"/>
        <w:bottom w:val="none" w:sz="0" w:space="0" w:color="auto"/>
        <w:right w:val="none" w:sz="0" w:space="0" w:color="auto"/>
      </w:divBdr>
    </w:div>
    <w:div w:id="1691057912">
      <w:marLeft w:val="0"/>
      <w:marRight w:val="0"/>
      <w:marTop w:val="0"/>
      <w:marBottom w:val="0"/>
      <w:divBdr>
        <w:top w:val="none" w:sz="0" w:space="0" w:color="auto"/>
        <w:left w:val="none" w:sz="0" w:space="0" w:color="auto"/>
        <w:bottom w:val="none" w:sz="0" w:space="0" w:color="auto"/>
        <w:right w:val="none" w:sz="0" w:space="0" w:color="auto"/>
      </w:divBdr>
    </w:div>
    <w:div w:id="1691494756">
      <w:marLeft w:val="0"/>
      <w:marRight w:val="0"/>
      <w:marTop w:val="0"/>
      <w:marBottom w:val="180"/>
      <w:divBdr>
        <w:top w:val="none" w:sz="0" w:space="0" w:color="auto"/>
        <w:left w:val="none" w:sz="0" w:space="0" w:color="auto"/>
        <w:bottom w:val="none" w:sz="0" w:space="0" w:color="auto"/>
        <w:right w:val="none" w:sz="0" w:space="0" w:color="auto"/>
      </w:divBdr>
    </w:div>
    <w:div w:id="1693796018">
      <w:marLeft w:val="0"/>
      <w:marRight w:val="0"/>
      <w:marTop w:val="0"/>
      <w:marBottom w:val="240"/>
      <w:divBdr>
        <w:top w:val="none" w:sz="0" w:space="0" w:color="auto"/>
        <w:left w:val="none" w:sz="0" w:space="0" w:color="auto"/>
        <w:bottom w:val="none" w:sz="0" w:space="0" w:color="auto"/>
        <w:right w:val="none" w:sz="0" w:space="0" w:color="auto"/>
      </w:divBdr>
    </w:div>
    <w:div w:id="1697001016">
      <w:marLeft w:val="0"/>
      <w:marRight w:val="0"/>
      <w:marTop w:val="0"/>
      <w:marBottom w:val="240"/>
      <w:divBdr>
        <w:top w:val="none" w:sz="0" w:space="0" w:color="auto"/>
        <w:left w:val="none" w:sz="0" w:space="0" w:color="auto"/>
        <w:bottom w:val="none" w:sz="0" w:space="0" w:color="auto"/>
        <w:right w:val="none" w:sz="0" w:space="0" w:color="auto"/>
      </w:divBdr>
    </w:div>
    <w:div w:id="1697074679">
      <w:marLeft w:val="0"/>
      <w:marRight w:val="0"/>
      <w:marTop w:val="0"/>
      <w:marBottom w:val="0"/>
      <w:divBdr>
        <w:top w:val="none" w:sz="0" w:space="0" w:color="auto"/>
        <w:left w:val="none" w:sz="0" w:space="0" w:color="auto"/>
        <w:bottom w:val="none" w:sz="0" w:space="0" w:color="auto"/>
        <w:right w:val="none" w:sz="0" w:space="0" w:color="auto"/>
      </w:divBdr>
      <w:divsChild>
        <w:div w:id="2122795880">
          <w:marLeft w:val="0"/>
          <w:marRight w:val="0"/>
          <w:marTop w:val="0"/>
          <w:marBottom w:val="0"/>
          <w:divBdr>
            <w:top w:val="none" w:sz="0" w:space="0" w:color="auto"/>
            <w:left w:val="none" w:sz="0" w:space="0" w:color="auto"/>
            <w:bottom w:val="none" w:sz="0" w:space="0" w:color="auto"/>
            <w:right w:val="none" w:sz="0" w:space="0" w:color="auto"/>
          </w:divBdr>
        </w:div>
      </w:divsChild>
    </w:div>
    <w:div w:id="1697077026">
      <w:marLeft w:val="0"/>
      <w:marRight w:val="0"/>
      <w:marTop w:val="0"/>
      <w:marBottom w:val="240"/>
      <w:divBdr>
        <w:top w:val="none" w:sz="0" w:space="0" w:color="auto"/>
        <w:left w:val="none" w:sz="0" w:space="0" w:color="auto"/>
        <w:bottom w:val="none" w:sz="0" w:space="0" w:color="auto"/>
        <w:right w:val="none" w:sz="0" w:space="0" w:color="auto"/>
      </w:divBdr>
    </w:div>
    <w:div w:id="1698963956">
      <w:marLeft w:val="0"/>
      <w:marRight w:val="0"/>
      <w:marTop w:val="0"/>
      <w:marBottom w:val="0"/>
      <w:divBdr>
        <w:top w:val="none" w:sz="0" w:space="0" w:color="auto"/>
        <w:left w:val="none" w:sz="0" w:space="0" w:color="auto"/>
        <w:bottom w:val="none" w:sz="0" w:space="0" w:color="auto"/>
        <w:right w:val="none" w:sz="0" w:space="0" w:color="auto"/>
      </w:divBdr>
      <w:divsChild>
        <w:div w:id="1632397509">
          <w:marLeft w:val="0"/>
          <w:marRight w:val="0"/>
          <w:marTop w:val="0"/>
          <w:marBottom w:val="0"/>
          <w:divBdr>
            <w:top w:val="none" w:sz="0" w:space="0" w:color="auto"/>
            <w:left w:val="none" w:sz="0" w:space="0" w:color="auto"/>
            <w:bottom w:val="none" w:sz="0" w:space="0" w:color="auto"/>
            <w:right w:val="none" w:sz="0" w:space="0" w:color="auto"/>
          </w:divBdr>
        </w:div>
      </w:divsChild>
    </w:div>
    <w:div w:id="1699314551">
      <w:marLeft w:val="0"/>
      <w:marRight w:val="0"/>
      <w:marTop w:val="120"/>
      <w:marBottom w:val="120"/>
      <w:divBdr>
        <w:top w:val="none" w:sz="0" w:space="0" w:color="auto"/>
        <w:left w:val="none" w:sz="0" w:space="0" w:color="auto"/>
        <w:bottom w:val="none" w:sz="0" w:space="0" w:color="auto"/>
        <w:right w:val="none" w:sz="0" w:space="0" w:color="auto"/>
      </w:divBdr>
    </w:div>
    <w:div w:id="1699350187">
      <w:marLeft w:val="0"/>
      <w:marRight w:val="0"/>
      <w:marTop w:val="0"/>
      <w:marBottom w:val="0"/>
      <w:divBdr>
        <w:top w:val="none" w:sz="0" w:space="0" w:color="auto"/>
        <w:left w:val="none" w:sz="0" w:space="0" w:color="auto"/>
        <w:bottom w:val="none" w:sz="0" w:space="0" w:color="auto"/>
        <w:right w:val="none" w:sz="0" w:space="0" w:color="auto"/>
      </w:divBdr>
      <w:divsChild>
        <w:div w:id="1147013310">
          <w:marLeft w:val="0"/>
          <w:marRight w:val="0"/>
          <w:marTop w:val="0"/>
          <w:marBottom w:val="0"/>
          <w:divBdr>
            <w:top w:val="none" w:sz="0" w:space="0" w:color="auto"/>
            <w:left w:val="none" w:sz="0" w:space="0" w:color="auto"/>
            <w:bottom w:val="none" w:sz="0" w:space="0" w:color="auto"/>
            <w:right w:val="none" w:sz="0" w:space="0" w:color="auto"/>
          </w:divBdr>
        </w:div>
      </w:divsChild>
    </w:div>
    <w:div w:id="1700935547">
      <w:marLeft w:val="0"/>
      <w:marRight w:val="0"/>
      <w:marTop w:val="0"/>
      <w:marBottom w:val="180"/>
      <w:divBdr>
        <w:top w:val="none" w:sz="0" w:space="0" w:color="auto"/>
        <w:left w:val="none" w:sz="0" w:space="0" w:color="auto"/>
        <w:bottom w:val="none" w:sz="0" w:space="0" w:color="auto"/>
        <w:right w:val="none" w:sz="0" w:space="0" w:color="auto"/>
      </w:divBdr>
    </w:div>
    <w:div w:id="1704213549">
      <w:marLeft w:val="0"/>
      <w:marRight w:val="0"/>
      <w:marTop w:val="120"/>
      <w:marBottom w:val="120"/>
      <w:divBdr>
        <w:top w:val="none" w:sz="0" w:space="0" w:color="auto"/>
        <w:left w:val="none" w:sz="0" w:space="0" w:color="auto"/>
        <w:bottom w:val="none" w:sz="0" w:space="0" w:color="auto"/>
        <w:right w:val="none" w:sz="0" w:space="0" w:color="auto"/>
      </w:divBdr>
    </w:div>
    <w:div w:id="1704788740">
      <w:marLeft w:val="0"/>
      <w:marRight w:val="0"/>
      <w:marTop w:val="0"/>
      <w:marBottom w:val="0"/>
      <w:divBdr>
        <w:top w:val="none" w:sz="0" w:space="0" w:color="auto"/>
        <w:left w:val="none" w:sz="0" w:space="0" w:color="auto"/>
        <w:bottom w:val="none" w:sz="0" w:space="0" w:color="auto"/>
        <w:right w:val="none" w:sz="0" w:space="0" w:color="auto"/>
      </w:divBdr>
    </w:div>
    <w:div w:id="1704865300">
      <w:marLeft w:val="0"/>
      <w:marRight w:val="0"/>
      <w:marTop w:val="0"/>
      <w:marBottom w:val="180"/>
      <w:divBdr>
        <w:top w:val="none" w:sz="0" w:space="0" w:color="auto"/>
        <w:left w:val="none" w:sz="0" w:space="0" w:color="auto"/>
        <w:bottom w:val="none" w:sz="0" w:space="0" w:color="auto"/>
        <w:right w:val="none" w:sz="0" w:space="0" w:color="auto"/>
      </w:divBdr>
    </w:div>
    <w:div w:id="1705713087">
      <w:marLeft w:val="0"/>
      <w:marRight w:val="0"/>
      <w:marTop w:val="0"/>
      <w:marBottom w:val="240"/>
      <w:divBdr>
        <w:top w:val="none" w:sz="0" w:space="0" w:color="auto"/>
        <w:left w:val="none" w:sz="0" w:space="0" w:color="auto"/>
        <w:bottom w:val="none" w:sz="0" w:space="0" w:color="auto"/>
        <w:right w:val="none" w:sz="0" w:space="0" w:color="auto"/>
      </w:divBdr>
    </w:div>
    <w:div w:id="1707413902">
      <w:marLeft w:val="0"/>
      <w:marRight w:val="0"/>
      <w:marTop w:val="0"/>
      <w:marBottom w:val="180"/>
      <w:divBdr>
        <w:top w:val="none" w:sz="0" w:space="0" w:color="auto"/>
        <w:left w:val="none" w:sz="0" w:space="0" w:color="auto"/>
        <w:bottom w:val="none" w:sz="0" w:space="0" w:color="auto"/>
        <w:right w:val="none" w:sz="0" w:space="0" w:color="auto"/>
      </w:divBdr>
    </w:div>
    <w:div w:id="1707561809">
      <w:marLeft w:val="0"/>
      <w:marRight w:val="0"/>
      <w:marTop w:val="0"/>
      <w:marBottom w:val="0"/>
      <w:divBdr>
        <w:top w:val="none" w:sz="0" w:space="0" w:color="auto"/>
        <w:left w:val="none" w:sz="0" w:space="0" w:color="auto"/>
        <w:bottom w:val="none" w:sz="0" w:space="0" w:color="auto"/>
        <w:right w:val="none" w:sz="0" w:space="0" w:color="auto"/>
      </w:divBdr>
    </w:div>
    <w:div w:id="1708021172">
      <w:marLeft w:val="0"/>
      <w:marRight w:val="0"/>
      <w:marTop w:val="180"/>
      <w:marBottom w:val="180"/>
      <w:divBdr>
        <w:top w:val="none" w:sz="0" w:space="0" w:color="auto"/>
        <w:left w:val="none" w:sz="0" w:space="0" w:color="auto"/>
        <w:bottom w:val="none" w:sz="0" w:space="0" w:color="auto"/>
        <w:right w:val="none" w:sz="0" w:space="0" w:color="auto"/>
      </w:divBdr>
    </w:div>
    <w:div w:id="1711760518">
      <w:marLeft w:val="0"/>
      <w:marRight w:val="0"/>
      <w:marTop w:val="0"/>
      <w:marBottom w:val="180"/>
      <w:divBdr>
        <w:top w:val="none" w:sz="0" w:space="0" w:color="auto"/>
        <w:left w:val="none" w:sz="0" w:space="0" w:color="auto"/>
        <w:bottom w:val="none" w:sz="0" w:space="0" w:color="auto"/>
        <w:right w:val="none" w:sz="0" w:space="0" w:color="auto"/>
      </w:divBdr>
    </w:div>
    <w:div w:id="1712027580">
      <w:marLeft w:val="0"/>
      <w:marRight w:val="0"/>
      <w:marTop w:val="0"/>
      <w:marBottom w:val="0"/>
      <w:divBdr>
        <w:top w:val="none" w:sz="0" w:space="0" w:color="auto"/>
        <w:left w:val="none" w:sz="0" w:space="0" w:color="auto"/>
        <w:bottom w:val="none" w:sz="0" w:space="0" w:color="auto"/>
        <w:right w:val="none" w:sz="0" w:space="0" w:color="auto"/>
      </w:divBdr>
      <w:divsChild>
        <w:div w:id="1553079451">
          <w:marLeft w:val="0"/>
          <w:marRight w:val="0"/>
          <w:marTop w:val="0"/>
          <w:marBottom w:val="0"/>
          <w:divBdr>
            <w:top w:val="none" w:sz="0" w:space="0" w:color="auto"/>
            <w:left w:val="none" w:sz="0" w:space="0" w:color="auto"/>
            <w:bottom w:val="none" w:sz="0" w:space="0" w:color="auto"/>
            <w:right w:val="none" w:sz="0" w:space="0" w:color="auto"/>
          </w:divBdr>
        </w:div>
      </w:divsChild>
    </w:div>
    <w:div w:id="1714428171">
      <w:marLeft w:val="0"/>
      <w:marRight w:val="0"/>
      <w:marTop w:val="0"/>
      <w:marBottom w:val="0"/>
      <w:divBdr>
        <w:top w:val="none" w:sz="0" w:space="0" w:color="auto"/>
        <w:left w:val="none" w:sz="0" w:space="0" w:color="auto"/>
        <w:bottom w:val="none" w:sz="0" w:space="0" w:color="auto"/>
        <w:right w:val="none" w:sz="0" w:space="0" w:color="auto"/>
      </w:divBdr>
    </w:div>
    <w:div w:id="1714454221">
      <w:marLeft w:val="0"/>
      <w:marRight w:val="0"/>
      <w:marTop w:val="0"/>
      <w:marBottom w:val="180"/>
      <w:divBdr>
        <w:top w:val="none" w:sz="0" w:space="0" w:color="auto"/>
        <w:left w:val="none" w:sz="0" w:space="0" w:color="auto"/>
        <w:bottom w:val="none" w:sz="0" w:space="0" w:color="auto"/>
        <w:right w:val="none" w:sz="0" w:space="0" w:color="auto"/>
      </w:divBdr>
    </w:div>
    <w:div w:id="1717268300">
      <w:marLeft w:val="0"/>
      <w:marRight w:val="0"/>
      <w:marTop w:val="0"/>
      <w:marBottom w:val="0"/>
      <w:divBdr>
        <w:top w:val="none" w:sz="0" w:space="0" w:color="auto"/>
        <w:left w:val="none" w:sz="0" w:space="0" w:color="auto"/>
        <w:bottom w:val="none" w:sz="0" w:space="0" w:color="auto"/>
        <w:right w:val="none" w:sz="0" w:space="0" w:color="auto"/>
      </w:divBdr>
    </w:div>
    <w:div w:id="1717436810">
      <w:marLeft w:val="0"/>
      <w:marRight w:val="0"/>
      <w:marTop w:val="0"/>
      <w:marBottom w:val="180"/>
      <w:divBdr>
        <w:top w:val="none" w:sz="0" w:space="0" w:color="auto"/>
        <w:left w:val="none" w:sz="0" w:space="0" w:color="auto"/>
        <w:bottom w:val="none" w:sz="0" w:space="0" w:color="auto"/>
        <w:right w:val="none" w:sz="0" w:space="0" w:color="auto"/>
      </w:divBdr>
    </w:div>
    <w:div w:id="1719013565">
      <w:marLeft w:val="0"/>
      <w:marRight w:val="0"/>
      <w:marTop w:val="0"/>
      <w:marBottom w:val="0"/>
      <w:divBdr>
        <w:top w:val="none" w:sz="0" w:space="0" w:color="auto"/>
        <w:left w:val="none" w:sz="0" w:space="0" w:color="auto"/>
        <w:bottom w:val="none" w:sz="0" w:space="0" w:color="auto"/>
        <w:right w:val="none" w:sz="0" w:space="0" w:color="auto"/>
      </w:divBdr>
    </w:div>
    <w:div w:id="1720200272">
      <w:marLeft w:val="0"/>
      <w:marRight w:val="0"/>
      <w:marTop w:val="0"/>
      <w:marBottom w:val="0"/>
      <w:divBdr>
        <w:top w:val="none" w:sz="0" w:space="0" w:color="auto"/>
        <w:left w:val="none" w:sz="0" w:space="0" w:color="auto"/>
        <w:bottom w:val="none" w:sz="0" w:space="0" w:color="auto"/>
        <w:right w:val="none" w:sz="0" w:space="0" w:color="auto"/>
      </w:divBdr>
    </w:div>
    <w:div w:id="1723209921">
      <w:marLeft w:val="0"/>
      <w:marRight w:val="0"/>
      <w:marTop w:val="100"/>
      <w:marBottom w:val="0"/>
      <w:divBdr>
        <w:top w:val="none" w:sz="0" w:space="0" w:color="auto"/>
        <w:left w:val="none" w:sz="0" w:space="0" w:color="auto"/>
        <w:bottom w:val="none" w:sz="0" w:space="0" w:color="auto"/>
        <w:right w:val="none" w:sz="0" w:space="0" w:color="auto"/>
      </w:divBdr>
    </w:div>
    <w:div w:id="1724523633">
      <w:marLeft w:val="0"/>
      <w:marRight w:val="0"/>
      <w:marTop w:val="0"/>
      <w:marBottom w:val="180"/>
      <w:divBdr>
        <w:top w:val="none" w:sz="0" w:space="0" w:color="auto"/>
        <w:left w:val="none" w:sz="0" w:space="0" w:color="auto"/>
        <w:bottom w:val="none" w:sz="0" w:space="0" w:color="auto"/>
        <w:right w:val="none" w:sz="0" w:space="0" w:color="auto"/>
      </w:divBdr>
    </w:div>
    <w:div w:id="1725106757">
      <w:marLeft w:val="0"/>
      <w:marRight w:val="0"/>
      <w:marTop w:val="0"/>
      <w:marBottom w:val="0"/>
      <w:divBdr>
        <w:top w:val="none" w:sz="0" w:space="0" w:color="auto"/>
        <w:left w:val="none" w:sz="0" w:space="0" w:color="auto"/>
        <w:bottom w:val="none" w:sz="0" w:space="0" w:color="auto"/>
        <w:right w:val="none" w:sz="0" w:space="0" w:color="auto"/>
      </w:divBdr>
    </w:div>
    <w:div w:id="1725832194">
      <w:marLeft w:val="0"/>
      <w:marRight w:val="0"/>
      <w:marTop w:val="0"/>
      <w:marBottom w:val="0"/>
      <w:divBdr>
        <w:top w:val="none" w:sz="0" w:space="0" w:color="auto"/>
        <w:left w:val="none" w:sz="0" w:space="0" w:color="auto"/>
        <w:bottom w:val="none" w:sz="0" w:space="0" w:color="auto"/>
        <w:right w:val="none" w:sz="0" w:space="0" w:color="auto"/>
      </w:divBdr>
      <w:divsChild>
        <w:div w:id="49769395">
          <w:marLeft w:val="0"/>
          <w:marRight w:val="0"/>
          <w:marTop w:val="0"/>
          <w:marBottom w:val="0"/>
          <w:divBdr>
            <w:top w:val="none" w:sz="0" w:space="0" w:color="auto"/>
            <w:left w:val="none" w:sz="0" w:space="0" w:color="auto"/>
            <w:bottom w:val="none" w:sz="0" w:space="0" w:color="auto"/>
            <w:right w:val="none" w:sz="0" w:space="0" w:color="auto"/>
          </w:divBdr>
        </w:div>
      </w:divsChild>
    </w:div>
    <w:div w:id="1725834033">
      <w:marLeft w:val="0"/>
      <w:marRight w:val="0"/>
      <w:marTop w:val="100"/>
      <w:marBottom w:val="0"/>
      <w:divBdr>
        <w:top w:val="none" w:sz="0" w:space="0" w:color="auto"/>
        <w:left w:val="none" w:sz="0" w:space="0" w:color="auto"/>
        <w:bottom w:val="none" w:sz="0" w:space="0" w:color="auto"/>
        <w:right w:val="none" w:sz="0" w:space="0" w:color="auto"/>
      </w:divBdr>
      <w:divsChild>
        <w:div w:id="42095119">
          <w:marLeft w:val="0"/>
          <w:marRight w:val="0"/>
          <w:marTop w:val="0"/>
          <w:marBottom w:val="0"/>
          <w:divBdr>
            <w:top w:val="none" w:sz="0" w:space="0" w:color="auto"/>
            <w:left w:val="none" w:sz="0" w:space="0" w:color="auto"/>
            <w:bottom w:val="none" w:sz="0" w:space="0" w:color="auto"/>
            <w:right w:val="none" w:sz="0" w:space="0" w:color="auto"/>
          </w:divBdr>
        </w:div>
        <w:div w:id="426387444">
          <w:marLeft w:val="0"/>
          <w:marRight w:val="0"/>
          <w:marTop w:val="0"/>
          <w:marBottom w:val="0"/>
          <w:divBdr>
            <w:top w:val="none" w:sz="0" w:space="0" w:color="auto"/>
            <w:left w:val="none" w:sz="0" w:space="0" w:color="auto"/>
            <w:bottom w:val="none" w:sz="0" w:space="0" w:color="auto"/>
            <w:right w:val="none" w:sz="0" w:space="0" w:color="auto"/>
          </w:divBdr>
        </w:div>
      </w:divsChild>
    </w:div>
    <w:div w:id="1726181159">
      <w:marLeft w:val="0"/>
      <w:marRight w:val="0"/>
      <w:marTop w:val="0"/>
      <w:marBottom w:val="0"/>
      <w:divBdr>
        <w:top w:val="none" w:sz="0" w:space="0" w:color="auto"/>
        <w:left w:val="none" w:sz="0" w:space="0" w:color="auto"/>
        <w:bottom w:val="none" w:sz="0" w:space="0" w:color="auto"/>
        <w:right w:val="none" w:sz="0" w:space="0" w:color="auto"/>
      </w:divBdr>
      <w:divsChild>
        <w:div w:id="1286499695">
          <w:marLeft w:val="0"/>
          <w:marRight w:val="0"/>
          <w:marTop w:val="0"/>
          <w:marBottom w:val="180"/>
          <w:divBdr>
            <w:top w:val="none" w:sz="0" w:space="0" w:color="auto"/>
            <w:left w:val="none" w:sz="0" w:space="0" w:color="auto"/>
            <w:bottom w:val="none" w:sz="0" w:space="0" w:color="auto"/>
            <w:right w:val="none" w:sz="0" w:space="0" w:color="auto"/>
          </w:divBdr>
        </w:div>
        <w:div w:id="1602833099">
          <w:marLeft w:val="0"/>
          <w:marRight w:val="0"/>
          <w:marTop w:val="0"/>
          <w:marBottom w:val="180"/>
          <w:divBdr>
            <w:top w:val="none" w:sz="0" w:space="0" w:color="auto"/>
            <w:left w:val="none" w:sz="0" w:space="0" w:color="auto"/>
            <w:bottom w:val="none" w:sz="0" w:space="0" w:color="auto"/>
            <w:right w:val="none" w:sz="0" w:space="0" w:color="auto"/>
          </w:divBdr>
        </w:div>
        <w:div w:id="1913074736">
          <w:marLeft w:val="0"/>
          <w:marRight w:val="0"/>
          <w:marTop w:val="0"/>
          <w:marBottom w:val="0"/>
          <w:divBdr>
            <w:top w:val="none" w:sz="0" w:space="0" w:color="auto"/>
            <w:left w:val="none" w:sz="0" w:space="0" w:color="auto"/>
            <w:bottom w:val="none" w:sz="0" w:space="0" w:color="auto"/>
            <w:right w:val="none" w:sz="0" w:space="0" w:color="auto"/>
          </w:divBdr>
        </w:div>
        <w:div w:id="1073812638">
          <w:marLeft w:val="0"/>
          <w:marRight w:val="0"/>
          <w:marTop w:val="0"/>
          <w:marBottom w:val="0"/>
          <w:divBdr>
            <w:top w:val="none" w:sz="0" w:space="0" w:color="auto"/>
            <w:left w:val="none" w:sz="0" w:space="0" w:color="auto"/>
            <w:bottom w:val="none" w:sz="0" w:space="0" w:color="auto"/>
            <w:right w:val="none" w:sz="0" w:space="0" w:color="auto"/>
          </w:divBdr>
        </w:div>
        <w:div w:id="2095974622">
          <w:marLeft w:val="0"/>
          <w:marRight w:val="0"/>
          <w:marTop w:val="0"/>
          <w:marBottom w:val="0"/>
          <w:divBdr>
            <w:top w:val="none" w:sz="0" w:space="0" w:color="auto"/>
            <w:left w:val="none" w:sz="0" w:space="0" w:color="auto"/>
            <w:bottom w:val="none" w:sz="0" w:space="0" w:color="auto"/>
            <w:right w:val="none" w:sz="0" w:space="0" w:color="auto"/>
          </w:divBdr>
        </w:div>
        <w:div w:id="1043169150">
          <w:marLeft w:val="0"/>
          <w:marRight w:val="0"/>
          <w:marTop w:val="0"/>
          <w:marBottom w:val="0"/>
          <w:divBdr>
            <w:top w:val="none" w:sz="0" w:space="0" w:color="auto"/>
            <w:left w:val="none" w:sz="0" w:space="0" w:color="auto"/>
            <w:bottom w:val="none" w:sz="0" w:space="0" w:color="auto"/>
            <w:right w:val="none" w:sz="0" w:space="0" w:color="auto"/>
          </w:divBdr>
        </w:div>
        <w:div w:id="627517916">
          <w:marLeft w:val="0"/>
          <w:marRight w:val="0"/>
          <w:marTop w:val="0"/>
          <w:marBottom w:val="0"/>
          <w:divBdr>
            <w:top w:val="none" w:sz="0" w:space="0" w:color="auto"/>
            <w:left w:val="none" w:sz="0" w:space="0" w:color="auto"/>
            <w:bottom w:val="none" w:sz="0" w:space="0" w:color="auto"/>
            <w:right w:val="none" w:sz="0" w:space="0" w:color="auto"/>
          </w:divBdr>
        </w:div>
      </w:divsChild>
    </w:div>
    <w:div w:id="1729380799">
      <w:marLeft w:val="0"/>
      <w:marRight w:val="0"/>
      <w:marTop w:val="0"/>
      <w:marBottom w:val="0"/>
      <w:divBdr>
        <w:top w:val="none" w:sz="0" w:space="0" w:color="auto"/>
        <w:left w:val="none" w:sz="0" w:space="0" w:color="auto"/>
        <w:bottom w:val="none" w:sz="0" w:space="0" w:color="auto"/>
        <w:right w:val="none" w:sz="0" w:space="0" w:color="auto"/>
      </w:divBdr>
      <w:divsChild>
        <w:div w:id="2099204322">
          <w:marLeft w:val="0"/>
          <w:marRight w:val="0"/>
          <w:marTop w:val="0"/>
          <w:marBottom w:val="0"/>
          <w:divBdr>
            <w:top w:val="none" w:sz="0" w:space="0" w:color="auto"/>
            <w:left w:val="none" w:sz="0" w:space="0" w:color="auto"/>
            <w:bottom w:val="none" w:sz="0" w:space="0" w:color="auto"/>
            <w:right w:val="none" w:sz="0" w:space="0" w:color="auto"/>
          </w:divBdr>
        </w:div>
        <w:div w:id="258103918">
          <w:marLeft w:val="0"/>
          <w:marRight w:val="0"/>
          <w:marTop w:val="0"/>
          <w:marBottom w:val="0"/>
          <w:divBdr>
            <w:top w:val="none" w:sz="0" w:space="0" w:color="auto"/>
            <w:left w:val="none" w:sz="0" w:space="0" w:color="auto"/>
            <w:bottom w:val="none" w:sz="0" w:space="0" w:color="auto"/>
            <w:right w:val="none" w:sz="0" w:space="0" w:color="auto"/>
          </w:divBdr>
        </w:div>
        <w:div w:id="1614628589">
          <w:marLeft w:val="0"/>
          <w:marRight w:val="0"/>
          <w:marTop w:val="0"/>
          <w:marBottom w:val="0"/>
          <w:divBdr>
            <w:top w:val="none" w:sz="0" w:space="0" w:color="auto"/>
            <w:left w:val="none" w:sz="0" w:space="0" w:color="auto"/>
            <w:bottom w:val="none" w:sz="0" w:space="0" w:color="auto"/>
            <w:right w:val="none" w:sz="0" w:space="0" w:color="auto"/>
          </w:divBdr>
        </w:div>
        <w:div w:id="257837157">
          <w:marLeft w:val="0"/>
          <w:marRight w:val="0"/>
          <w:marTop w:val="0"/>
          <w:marBottom w:val="0"/>
          <w:divBdr>
            <w:top w:val="none" w:sz="0" w:space="0" w:color="auto"/>
            <w:left w:val="none" w:sz="0" w:space="0" w:color="auto"/>
            <w:bottom w:val="none" w:sz="0" w:space="0" w:color="auto"/>
            <w:right w:val="none" w:sz="0" w:space="0" w:color="auto"/>
          </w:divBdr>
        </w:div>
        <w:div w:id="1944413256">
          <w:marLeft w:val="0"/>
          <w:marRight w:val="0"/>
          <w:marTop w:val="0"/>
          <w:marBottom w:val="0"/>
          <w:divBdr>
            <w:top w:val="none" w:sz="0" w:space="0" w:color="auto"/>
            <w:left w:val="none" w:sz="0" w:space="0" w:color="auto"/>
            <w:bottom w:val="none" w:sz="0" w:space="0" w:color="auto"/>
            <w:right w:val="none" w:sz="0" w:space="0" w:color="auto"/>
          </w:divBdr>
        </w:div>
        <w:div w:id="1362247754">
          <w:marLeft w:val="0"/>
          <w:marRight w:val="0"/>
          <w:marTop w:val="0"/>
          <w:marBottom w:val="0"/>
          <w:divBdr>
            <w:top w:val="none" w:sz="0" w:space="0" w:color="auto"/>
            <w:left w:val="none" w:sz="0" w:space="0" w:color="auto"/>
            <w:bottom w:val="none" w:sz="0" w:space="0" w:color="auto"/>
            <w:right w:val="none" w:sz="0" w:space="0" w:color="auto"/>
          </w:divBdr>
        </w:div>
        <w:div w:id="1694457142">
          <w:marLeft w:val="0"/>
          <w:marRight w:val="0"/>
          <w:marTop w:val="0"/>
          <w:marBottom w:val="0"/>
          <w:divBdr>
            <w:top w:val="none" w:sz="0" w:space="0" w:color="auto"/>
            <w:left w:val="none" w:sz="0" w:space="0" w:color="auto"/>
            <w:bottom w:val="none" w:sz="0" w:space="0" w:color="auto"/>
            <w:right w:val="none" w:sz="0" w:space="0" w:color="auto"/>
          </w:divBdr>
        </w:div>
        <w:div w:id="159784361">
          <w:marLeft w:val="0"/>
          <w:marRight w:val="0"/>
          <w:marTop w:val="0"/>
          <w:marBottom w:val="0"/>
          <w:divBdr>
            <w:top w:val="none" w:sz="0" w:space="0" w:color="auto"/>
            <w:left w:val="none" w:sz="0" w:space="0" w:color="auto"/>
            <w:bottom w:val="none" w:sz="0" w:space="0" w:color="auto"/>
            <w:right w:val="none" w:sz="0" w:space="0" w:color="auto"/>
          </w:divBdr>
        </w:div>
      </w:divsChild>
    </w:div>
    <w:div w:id="1732146287">
      <w:marLeft w:val="0"/>
      <w:marRight w:val="0"/>
      <w:marTop w:val="0"/>
      <w:marBottom w:val="240"/>
      <w:divBdr>
        <w:top w:val="none" w:sz="0" w:space="0" w:color="auto"/>
        <w:left w:val="none" w:sz="0" w:space="0" w:color="auto"/>
        <w:bottom w:val="none" w:sz="0" w:space="0" w:color="auto"/>
        <w:right w:val="none" w:sz="0" w:space="0" w:color="auto"/>
      </w:divBdr>
    </w:div>
    <w:div w:id="1733387238">
      <w:marLeft w:val="0"/>
      <w:marRight w:val="0"/>
      <w:marTop w:val="100"/>
      <w:marBottom w:val="0"/>
      <w:divBdr>
        <w:top w:val="none" w:sz="0" w:space="0" w:color="auto"/>
        <w:left w:val="none" w:sz="0" w:space="0" w:color="auto"/>
        <w:bottom w:val="none" w:sz="0" w:space="0" w:color="auto"/>
        <w:right w:val="none" w:sz="0" w:space="0" w:color="auto"/>
      </w:divBdr>
    </w:div>
    <w:div w:id="1734502747">
      <w:marLeft w:val="0"/>
      <w:marRight w:val="0"/>
      <w:marTop w:val="0"/>
      <w:marBottom w:val="60"/>
      <w:divBdr>
        <w:top w:val="none" w:sz="0" w:space="0" w:color="auto"/>
        <w:left w:val="none" w:sz="0" w:space="0" w:color="auto"/>
        <w:bottom w:val="none" w:sz="0" w:space="0" w:color="auto"/>
        <w:right w:val="none" w:sz="0" w:space="0" w:color="auto"/>
      </w:divBdr>
    </w:div>
    <w:div w:id="1734622778">
      <w:marLeft w:val="0"/>
      <w:marRight w:val="0"/>
      <w:marTop w:val="120"/>
      <w:marBottom w:val="120"/>
      <w:divBdr>
        <w:top w:val="none" w:sz="0" w:space="0" w:color="auto"/>
        <w:left w:val="none" w:sz="0" w:space="0" w:color="auto"/>
        <w:bottom w:val="none" w:sz="0" w:space="0" w:color="auto"/>
        <w:right w:val="none" w:sz="0" w:space="0" w:color="auto"/>
      </w:divBdr>
    </w:div>
    <w:div w:id="1738045285">
      <w:marLeft w:val="0"/>
      <w:marRight w:val="0"/>
      <w:marTop w:val="120"/>
      <w:marBottom w:val="240"/>
      <w:divBdr>
        <w:top w:val="none" w:sz="0" w:space="0" w:color="auto"/>
        <w:left w:val="none" w:sz="0" w:space="0" w:color="auto"/>
        <w:bottom w:val="none" w:sz="0" w:space="0" w:color="auto"/>
        <w:right w:val="none" w:sz="0" w:space="0" w:color="auto"/>
      </w:divBdr>
    </w:div>
    <w:div w:id="1740244767">
      <w:marLeft w:val="0"/>
      <w:marRight w:val="0"/>
      <w:marTop w:val="0"/>
      <w:marBottom w:val="0"/>
      <w:divBdr>
        <w:top w:val="none" w:sz="0" w:space="0" w:color="auto"/>
        <w:left w:val="none" w:sz="0" w:space="0" w:color="auto"/>
        <w:bottom w:val="none" w:sz="0" w:space="0" w:color="auto"/>
        <w:right w:val="none" w:sz="0" w:space="0" w:color="auto"/>
      </w:divBdr>
      <w:divsChild>
        <w:div w:id="1640266433">
          <w:marLeft w:val="0"/>
          <w:marRight w:val="0"/>
          <w:marTop w:val="0"/>
          <w:marBottom w:val="0"/>
          <w:divBdr>
            <w:top w:val="none" w:sz="0" w:space="0" w:color="auto"/>
            <w:left w:val="none" w:sz="0" w:space="0" w:color="auto"/>
            <w:bottom w:val="none" w:sz="0" w:space="0" w:color="auto"/>
            <w:right w:val="none" w:sz="0" w:space="0" w:color="auto"/>
          </w:divBdr>
        </w:div>
        <w:div w:id="1683974968">
          <w:marLeft w:val="0"/>
          <w:marRight w:val="0"/>
          <w:marTop w:val="0"/>
          <w:marBottom w:val="0"/>
          <w:divBdr>
            <w:top w:val="none" w:sz="0" w:space="0" w:color="auto"/>
            <w:left w:val="none" w:sz="0" w:space="0" w:color="auto"/>
            <w:bottom w:val="none" w:sz="0" w:space="0" w:color="auto"/>
            <w:right w:val="none" w:sz="0" w:space="0" w:color="auto"/>
          </w:divBdr>
        </w:div>
      </w:divsChild>
    </w:div>
    <w:div w:id="1741637743">
      <w:marLeft w:val="0"/>
      <w:marRight w:val="0"/>
      <w:marTop w:val="180"/>
      <w:marBottom w:val="180"/>
      <w:divBdr>
        <w:top w:val="none" w:sz="0" w:space="0" w:color="auto"/>
        <w:left w:val="none" w:sz="0" w:space="0" w:color="auto"/>
        <w:bottom w:val="none" w:sz="0" w:space="0" w:color="auto"/>
        <w:right w:val="none" w:sz="0" w:space="0" w:color="auto"/>
      </w:divBdr>
    </w:div>
    <w:div w:id="1742950265">
      <w:marLeft w:val="0"/>
      <w:marRight w:val="0"/>
      <w:marTop w:val="180"/>
      <w:marBottom w:val="180"/>
      <w:divBdr>
        <w:top w:val="none" w:sz="0" w:space="0" w:color="auto"/>
        <w:left w:val="none" w:sz="0" w:space="0" w:color="auto"/>
        <w:bottom w:val="none" w:sz="0" w:space="0" w:color="auto"/>
        <w:right w:val="none" w:sz="0" w:space="0" w:color="auto"/>
      </w:divBdr>
    </w:div>
    <w:div w:id="1743523292">
      <w:marLeft w:val="0"/>
      <w:marRight w:val="0"/>
      <w:marTop w:val="120"/>
      <w:marBottom w:val="120"/>
      <w:divBdr>
        <w:top w:val="none" w:sz="0" w:space="0" w:color="auto"/>
        <w:left w:val="none" w:sz="0" w:space="0" w:color="auto"/>
        <w:bottom w:val="none" w:sz="0" w:space="0" w:color="auto"/>
        <w:right w:val="none" w:sz="0" w:space="0" w:color="auto"/>
      </w:divBdr>
    </w:div>
    <w:div w:id="1743867500">
      <w:marLeft w:val="0"/>
      <w:marRight w:val="0"/>
      <w:marTop w:val="180"/>
      <w:marBottom w:val="180"/>
      <w:divBdr>
        <w:top w:val="none" w:sz="0" w:space="0" w:color="auto"/>
        <w:left w:val="none" w:sz="0" w:space="0" w:color="auto"/>
        <w:bottom w:val="none" w:sz="0" w:space="0" w:color="auto"/>
        <w:right w:val="none" w:sz="0" w:space="0" w:color="auto"/>
      </w:divBdr>
    </w:div>
    <w:div w:id="1744059658">
      <w:marLeft w:val="0"/>
      <w:marRight w:val="0"/>
      <w:marTop w:val="0"/>
      <w:marBottom w:val="0"/>
      <w:divBdr>
        <w:top w:val="none" w:sz="0" w:space="0" w:color="auto"/>
        <w:left w:val="none" w:sz="0" w:space="0" w:color="auto"/>
        <w:bottom w:val="none" w:sz="0" w:space="0" w:color="auto"/>
        <w:right w:val="none" w:sz="0" w:space="0" w:color="auto"/>
      </w:divBdr>
    </w:div>
    <w:div w:id="1745759644">
      <w:marLeft w:val="0"/>
      <w:marRight w:val="0"/>
      <w:marTop w:val="120"/>
      <w:marBottom w:val="240"/>
      <w:divBdr>
        <w:top w:val="none" w:sz="0" w:space="0" w:color="auto"/>
        <w:left w:val="none" w:sz="0" w:space="0" w:color="auto"/>
        <w:bottom w:val="none" w:sz="0" w:space="0" w:color="auto"/>
        <w:right w:val="none" w:sz="0" w:space="0" w:color="auto"/>
      </w:divBdr>
    </w:div>
    <w:div w:id="1745836582">
      <w:marLeft w:val="0"/>
      <w:marRight w:val="0"/>
      <w:marTop w:val="100"/>
      <w:marBottom w:val="0"/>
      <w:divBdr>
        <w:top w:val="none" w:sz="0" w:space="0" w:color="auto"/>
        <w:left w:val="none" w:sz="0" w:space="0" w:color="auto"/>
        <w:bottom w:val="none" w:sz="0" w:space="0" w:color="auto"/>
        <w:right w:val="none" w:sz="0" w:space="0" w:color="auto"/>
      </w:divBdr>
    </w:div>
    <w:div w:id="1746102921">
      <w:marLeft w:val="0"/>
      <w:marRight w:val="0"/>
      <w:marTop w:val="0"/>
      <w:marBottom w:val="0"/>
      <w:divBdr>
        <w:top w:val="none" w:sz="0" w:space="0" w:color="auto"/>
        <w:left w:val="none" w:sz="0" w:space="0" w:color="auto"/>
        <w:bottom w:val="none" w:sz="0" w:space="0" w:color="auto"/>
        <w:right w:val="none" w:sz="0" w:space="0" w:color="auto"/>
      </w:divBdr>
      <w:divsChild>
        <w:div w:id="649796673">
          <w:marLeft w:val="0"/>
          <w:marRight w:val="0"/>
          <w:marTop w:val="0"/>
          <w:marBottom w:val="0"/>
          <w:divBdr>
            <w:top w:val="none" w:sz="0" w:space="0" w:color="auto"/>
            <w:left w:val="none" w:sz="0" w:space="0" w:color="auto"/>
            <w:bottom w:val="none" w:sz="0" w:space="0" w:color="auto"/>
            <w:right w:val="none" w:sz="0" w:space="0" w:color="auto"/>
          </w:divBdr>
        </w:div>
      </w:divsChild>
    </w:div>
    <w:div w:id="1748502037">
      <w:marLeft w:val="0"/>
      <w:marRight w:val="0"/>
      <w:marTop w:val="0"/>
      <w:marBottom w:val="180"/>
      <w:divBdr>
        <w:top w:val="none" w:sz="0" w:space="0" w:color="auto"/>
        <w:left w:val="none" w:sz="0" w:space="0" w:color="auto"/>
        <w:bottom w:val="none" w:sz="0" w:space="0" w:color="auto"/>
        <w:right w:val="none" w:sz="0" w:space="0" w:color="auto"/>
      </w:divBdr>
    </w:div>
    <w:div w:id="1752045539">
      <w:marLeft w:val="0"/>
      <w:marRight w:val="0"/>
      <w:marTop w:val="0"/>
      <w:marBottom w:val="240"/>
      <w:divBdr>
        <w:top w:val="none" w:sz="0" w:space="0" w:color="auto"/>
        <w:left w:val="none" w:sz="0" w:space="0" w:color="auto"/>
        <w:bottom w:val="none" w:sz="0" w:space="0" w:color="auto"/>
        <w:right w:val="none" w:sz="0" w:space="0" w:color="auto"/>
      </w:divBdr>
    </w:div>
    <w:div w:id="1752659860">
      <w:marLeft w:val="0"/>
      <w:marRight w:val="0"/>
      <w:marTop w:val="120"/>
      <w:marBottom w:val="120"/>
      <w:divBdr>
        <w:top w:val="none" w:sz="0" w:space="0" w:color="auto"/>
        <w:left w:val="none" w:sz="0" w:space="0" w:color="auto"/>
        <w:bottom w:val="none" w:sz="0" w:space="0" w:color="auto"/>
        <w:right w:val="none" w:sz="0" w:space="0" w:color="auto"/>
      </w:divBdr>
    </w:div>
    <w:div w:id="1752701870">
      <w:marLeft w:val="0"/>
      <w:marRight w:val="0"/>
      <w:marTop w:val="120"/>
      <w:marBottom w:val="120"/>
      <w:divBdr>
        <w:top w:val="none" w:sz="0" w:space="0" w:color="auto"/>
        <w:left w:val="none" w:sz="0" w:space="0" w:color="auto"/>
        <w:bottom w:val="none" w:sz="0" w:space="0" w:color="auto"/>
        <w:right w:val="none" w:sz="0" w:space="0" w:color="auto"/>
      </w:divBdr>
    </w:div>
    <w:div w:id="1753315714">
      <w:marLeft w:val="0"/>
      <w:marRight w:val="0"/>
      <w:marTop w:val="0"/>
      <w:marBottom w:val="240"/>
      <w:divBdr>
        <w:top w:val="none" w:sz="0" w:space="0" w:color="auto"/>
        <w:left w:val="none" w:sz="0" w:space="0" w:color="auto"/>
        <w:bottom w:val="none" w:sz="0" w:space="0" w:color="auto"/>
        <w:right w:val="none" w:sz="0" w:space="0" w:color="auto"/>
      </w:divBdr>
    </w:div>
    <w:div w:id="1754160717">
      <w:marLeft w:val="0"/>
      <w:marRight w:val="0"/>
      <w:marTop w:val="0"/>
      <w:marBottom w:val="0"/>
      <w:divBdr>
        <w:top w:val="none" w:sz="0" w:space="0" w:color="auto"/>
        <w:left w:val="none" w:sz="0" w:space="0" w:color="auto"/>
        <w:bottom w:val="none" w:sz="0" w:space="0" w:color="auto"/>
        <w:right w:val="none" w:sz="0" w:space="0" w:color="auto"/>
      </w:divBdr>
    </w:div>
    <w:div w:id="1755207046">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180"/>
      <w:marBottom w:val="180"/>
      <w:divBdr>
        <w:top w:val="none" w:sz="0" w:space="0" w:color="auto"/>
        <w:left w:val="none" w:sz="0" w:space="0" w:color="auto"/>
        <w:bottom w:val="none" w:sz="0" w:space="0" w:color="auto"/>
        <w:right w:val="none" w:sz="0" w:space="0" w:color="auto"/>
      </w:divBdr>
    </w:div>
    <w:div w:id="1756321651">
      <w:marLeft w:val="0"/>
      <w:marRight w:val="0"/>
      <w:marTop w:val="0"/>
      <w:marBottom w:val="0"/>
      <w:divBdr>
        <w:top w:val="none" w:sz="0" w:space="0" w:color="auto"/>
        <w:left w:val="none" w:sz="0" w:space="0" w:color="auto"/>
        <w:bottom w:val="none" w:sz="0" w:space="0" w:color="auto"/>
        <w:right w:val="none" w:sz="0" w:space="0" w:color="auto"/>
      </w:divBdr>
      <w:divsChild>
        <w:div w:id="1364475544">
          <w:marLeft w:val="0"/>
          <w:marRight w:val="0"/>
          <w:marTop w:val="0"/>
          <w:marBottom w:val="0"/>
          <w:divBdr>
            <w:top w:val="none" w:sz="0" w:space="0" w:color="auto"/>
            <w:left w:val="none" w:sz="0" w:space="0" w:color="auto"/>
            <w:bottom w:val="none" w:sz="0" w:space="0" w:color="auto"/>
            <w:right w:val="none" w:sz="0" w:space="0" w:color="auto"/>
          </w:divBdr>
        </w:div>
      </w:divsChild>
    </w:div>
    <w:div w:id="1757170421">
      <w:marLeft w:val="0"/>
      <w:marRight w:val="0"/>
      <w:marTop w:val="0"/>
      <w:marBottom w:val="0"/>
      <w:divBdr>
        <w:top w:val="none" w:sz="0" w:space="0" w:color="auto"/>
        <w:left w:val="none" w:sz="0" w:space="0" w:color="auto"/>
        <w:bottom w:val="none" w:sz="0" w:space="0" w:color="auto"/>
        <w:right w:val="none" w:sz="0" w:space="0" w:color="auto"/>
      </w:divBdr>
      <w:divsChild>
        <w:div w:id="1157265719">
          <w:marLeft w:val="0"/>
          <w:marRight w:val="0"/>
          <w:marTop w:val="0"/>
          <w:marBottom w:val="0"/>
          <w:divBdr>
            <w:top w:val="none" w:sz="0" w:space="0" w:color="auto"/>
            <w:left w:val="none" w:sz="0" w:space="0" w:color="auto"/>
            <w:bottom w:val="none" w:sz="0" w:space="0" w:color="auto"/>
            <w:right w:val="none" w:sz="0" w:space="0" w:color="auto"/>
          </w:divBdr>
        </w:div>
      </w:divsChild>
    </w:div>
    <w:div w:id="1757551329">
      <w:marLeft w:val="0"/>
      <w:marRight w:val="0"/>
      <w:marTop w:val="0"/>
      <w:marBottom w:val="0"/>
      <w:divBdr>
        <w:top w:val="none" w:sz="0" w:space="0" w:color="auto"/>
        <w:left w:val="none" w:sz="0" w:space="0" w:color="auto"/>
        <w:bottom w:val="none" w:sz="0" w:space="0" w:color="auto"/>
        <w:right w:val="none" w:sz="0" w:space="0" w:color="auto"/>
      </w:divBdr>
    </w:div>
    <w:div w:id="1758556116">
      <w:marLeft w:val="0"/>
      <w:marRight w:val="0"/>
      <w:marTop w:val="0"/>
      <w:marBottom w:val="240"/>
      <w:divBdr>
        <w:top w:val="none" w:sz="0" w:space="0" w:color="auto"/>
        <w:left w:val="none" w:sz="0" w:space="0" w:color="auto"/>
        <w:bottom w:val="none" w:sz="0" w:space="0" w:color="auto"/>
        <w:right w:val="none" w:sz="0" w:space="0" w:color="auto"/>
      </w:divBdr>
    </w:div>
    <w:div w:id="1759252002">
      <w:marLeft w:val="0"/>
      <w:marRight w:val="0"/>
      <w:marTop w:val="0"/>
      <w:marBottom w:val="240"/>
      <w:divBdr>
        <w:top w:val="none" w:sz="0" w:space="0" w:color="auto"/>
        <w:left w:val="none" w:sz="0" w:space="0" w:color="auto"/>
        <w:bottom w:val="none" w:sz="0" w:space="0" w:color="auto"/>
        <w:right w:val="none" w:sz="0" w:space="0" w:color="auto"/>
      </w:divBdr>
    </w:div>
    <w:div w:id="1761365034">
      <w:marLeft w:val="0"/>
      <w:marRight w:val="0"/>
      <w:marTop w:val="0"/>
      <w:marBottom w:val="180"/>
      <w:divBdr>
        <w:top w:val="none" w:sz="0" w:space="0" w:color="auto"/>
        <w:left w:val="none" w:sz="0" w:space="0" w:color="auto"/>
        <w:bottom w:val="none" w:sz="0" w:space="0" w:color="auto"/>
        <w:right w:val="none" w:sz="0" w:space="0" w:color="auto"/>
      </w:divBdr>
    </w:div>
    <w:div w:id="1763262399">
      <w:marLeft w:val="0"/>
      <w:marRight w:val="0"/>
      <w:marTop w:val="0"/>
      <w:marBottom w:val="180"/>
      <w:divBdr>
        <w:top w:val="none" w:sz="0" w:space="0" w:color="auto"/>
        <w:left w:val="none" w:sz="0" w:space="0" w:color="auto"/>
        <w:bottom w:val="none" w:sz="0" w:space="0" w:color="auto"/>
        <w:right w:val="none" w:sz="0" w:space="0" w:color="auto"/>
      </w:divBdr>
    </w:div>
    <w:div w:id="1764371236">
      <w:marLeft w:val="0"/>
      <w:marRight w:val="0"/>
      <w:marTop w:val="0"/>
      <w:marBottom w:val="0"/>
      <w:divBdr>
        <w:top w:val="none" w:sz="0" w:space="0" w:color="auto"/>
        <w:left w:val="none" w:sz="0" w:space="0" w:color="auto"/>
        <w:bottom w:val="none" w:sz="0" w:space="0" w:color="auto"/>
        <w:right w:val="none" w:sz="0" w:space="0" w:color="auto"/>
      </w:divBdr>
      <w:divsChild>
        <w:div w:id="1966161153">
          <w:marLeft w:val="0"/>
          <w:marRight w:val="0"/>
          <w:marTop w:val="0"/>
          <w:marBottom w:val="0"/>
          <w:divBdr>
            <w:top w:val="none" w:sz="0" w:space="0" w:color="auto"/>
            <w:left w:val="none" w:sz="0" w:space="0" w:color="auto"/>
            <w:bottom w:val="none" w:sz="0" w:space="0" w:color="auto"/>
            <w:right w:val="none" w:sz="0" w:space="0" w:color="auto"/>
          </w:divBdr>
        </w:div>
      </w:divsChild>
    </w:div>
    <w:div w:id="1766489952">
      <w:marLeft w:val="0"/>
      <w:marRight w:val="0"/>
      <w:marTop w:val="0"/>
      <w:marBottom w:val="0"/>
      <w:divBdr>
        <w:top w:val="none" w:sz="0" w:space="0" w:color="auto"/>
        <w:left w:val="none" w:sz="0" w:space="0" w:color="auto"/>
        <w:bottom w:val="none" w:sz="0" w:space="0" w:color="auto"/>
        <w:right w:val="none" w:sz="0" w:space="0" w:color="auto"/>
      </w:divBdr>
    </w:div>
    <w:div w:id="1767068287">
      <w:marLeft w:val="0"/>
      <w:marRight w:val="0"/>
      <w:marTop w:val="180"/>
      <w:marBottom w:val="180"/>
      <w:divBdr>
        <w:top w:val="none" w:sz="0" w:space="0" w:color="auto"/>
        <w:left w:val="none" w:sz="0" w:space="0" w:color="auto"/>
        <w:bottom w:val="none" w:sz="0" w:space="0" w:color="auto"/>
        <w:right w:val="none" w:sz="0" w:space="0" w:color="auto"/>
      </w:divBdr>
    </w:div>
    <w:div w:id="1770151375">
      <w:marLeft w:val="0"/>
      <w:marRight w:val="0"/>
      <w:marTop w:val="0"/>
      <w:marBottom w:val="0"/>
      <w:divBdr>
        <w:top w:val="none" w:sz="0" w:space="0" w:color="auto"/>
        <w:left w:val="none" w:sz="0" w:space="0" w:color="auto"/>
        <w:bottom w:val="none" w:sz="0" w:space="0" w:color="auto"/>
        <w:right w:val="none" w:sz="0" w:space="0" w:color="auto"/>
      </w:divBdr>
    </w:div>
    <w:div w:id="1772242993">
      <w:marLeft w:val="0"/>
      <w:marRight w:val="0"/>
      <w:marTop w:val="0"/>
      <w:marBottom w:val="240"/>
      <w:divBdr>
        <w:top w:val="none" w:sz="0" w:space="0" w:color="auto"/>
        <w:left w:val="none" w:sz="0" w:space="0" w:color="auto"/>
        <w:bottom w:val="none" w:sz="0" w:space="0" w:color="auto"/>
        <w:right w:val="none" w:sz="0" w:space="0" w:color="auto"/>
      </w:divBdr>
    </w:div>
    <w:div w:id="1774084437">
      <w:marLeft w:val="0"/>
      <w:marRight w:val="0"/>
      <w:marTop w:val="0"/>
      <w:marBottom w:val="0"/>
      <w:divBdr>
        <w:top w:val="none" w:sz="0" w:space="0" w:color="auto"/>
        <w:left w:val="none" w:sz="0" w:space="0" w:color="auto"/>
        <w:bottom w:val="none" w:sz="0" w:space="0" w:color="auto"/>
        <w:right w:val="none" w:sz="0" w:space="0" w:color="auto"/>
      </w:divBdr>
    </w:div>
    <w:div w:id="1776100286">
      <w:marLeft w:val="0"/>
      <w:marRight w:val="0"/>
      <w:marTop w:val="0"/>
      <w:marBottom w:val="0"/>
      <w:divBdr>
        <w:top w:val="none" w:sz="0" w:space="0" w:color="auto"/>
        <w:left w:val="none" w:sz="0" w:space="0" w:color="auto"/>
        <w:bottom w:val="none" w:sz="0" w:space="0" w:color="auto"/>
        <w:right w:val="none" w:sz="0" w:space="0" w:color="auto"/>
      </w:divBdr>
      <w:divsChild>
        <w:div w:id="1562207135">
          <w:marLeft w:val="0"/>
          <w:marRight w:val="0"/>
          <w:marTop w:val="0"/>
          <w:marBottom w:val="0"/>
          <w:divBdr>
            <w:top w:val="none" w:sz="0" w:space="0" w:color="auto"/>
            <w:left w:val="none" w:sz="0" w:space="0" w:color="auto"/>
            <w:bottom w:val="none" w:sz="0" w:space="0" w:color="auto"/>
            <w:right w:val="none" w:sz="0" w:space="0" w:color="auto"/>
          </w:divBdr>
        </w:div>
      </w:divsChild>
    </w:div>
    <w:div w:id="1776944514">
      <w:marLeft w:val="0"/>
      <w:marRight w:val="0"/>
      <w:marTop w:val="0"/>
      <w:marBottom w:val="0"/>
      <w:divBdr>
        <w:top w:val="none" w:sz="0" w:space="0" w:color="auto"/>
        <w:left w:val="none" w:sz="0" w:space="0" w:color="auto"/>
        <w:bottom w:val="none" w:sz="0" w:space="0" w:color="auto"/>
        <w:right w:val="none" w:sz="0" w:space="0" w:color="auto"/>
      </w:divBdr>
      <w:divsChild>
        <w:div w:id="2020037684">
          <w:marLeft w:val="0"/>
          <w:marRight w:val="0"/>
          <w:marTop w:val="0"/>
          <w:marBottom w:val="0"/>
          <w:divBdr>
            <w:top w:val="none" w:sz="0" w:space="0" w:color="auto"/>
            <w:left w:val="none" w:sz="0" w:space="0" w:color="auto"/>
            <w:bottom w:val="none" w:sz="0" w:space="0" w:color="auto"/>
            <w:right w:val="none" w:sz="0" w:space="0" w:color="auto"/>
          </w:divBdr>
        </w:div>
      </w:divsChild>
    </w:div>
    <w:div w:id="1777630449">
      <w:marLeft w:val="0"/>
      <w:marRight w:val="0"/>
      <w:marTop w:val="120"/>
      <w:marBottom w:val="240"/>
      <w:divBdr>
        <w:top w:val="none" w:sz="0" w:space="0" w:color="auto"/>
        <w:left w:val="none" w:sz="0" w:space="0" w:color="auto"/>
        <w:bottom w:val="none" w:sz="0" w:space="0" w:color="auto"/>
        <w:right w:val="none" w:sz="0" w:space="0" w:color="auto"/>
      </w:divBdr>
    </w:div>
    <w:div w:id="1777943086">
      <w:marLeft w:val="0"/>
      <w:marRight w:val="0"/>
      <w:marTop w:val="0"/>
      <w:marBottom w:val="0"/>
      <w:divBdr>
        <w:top w:val="none" w:sz="0" w:space="0" w:color="auto"/>
        <w:left w:val="none" w:sz="0" w:space="0" w:color="auto"/>
        <w:bottom w:val="none" w:sz="0" w:space="0" w:color="auto"/>
        <w:right w:val="none" w:sz="0" w:space="0" w:color="auto"/>
      </w:divBdr>
    </w:div>
    <w:div w:id="1778215723">
      <w:marLeft w:val="0"/>
      <w:marRight w:val="0"/>
      <w:marTop w:val="100"/>
      <w:marBottom w:val="0"/>
      <w:divBdr>
        <w:top w:val="none" w:sz="0" w:space="0" w:color="auto"/>
        <w:left w:val="none" w:sz="0" w:space="0" w:color="auto"/>
        <w:bottom w:val="none" w:sz="0" w:space="0" w:color="auto"/>
        <w:right w:val="none" w:sz="0" w:space="0" w:color="auto"/>
      </w:divBdr>
      <w:divsChild>
        <w:div w:id="1755318183">
          <w:marLeft w:val="0"/>
          <w:marRight w:val="0"/>
          <w:marTop w:val="0"/>
          <w:marBottom w:val="180"/>
          <w:divBdr>
            <w:top w:val="none" w:sz="0" w:space="0" w:color="auto"/>
            <w:left w:val="none" w:sz="0" w:space="0" w:color="auto"/>
            <w:bottom w:val="none" w:sz="0" w:space="0" w:color="auto"/>
            <w:right w:val="none" w:sz="0" w:space="0" w:color="auto"/>
          </w:divBdr>
        </w:div>
      </w:divsChild>
    </w:div>
    <w:div w:id="1780023754">
      <w:marLeft w:val="0"/>
      <w:marRight w:val="0"/>
      <w:marTop w:val="0"/>
      <w:marBottom w:val="180"/>
      <w:divBdr>
        <w:top w:val="none" w:sz="0" w:space="0" w:color="auto"/>
        <w:left w:val="none" w:sz="0" w:space="0" w:color="auto"/>
        <w:bottom w:val="none" w:sz="0" w:space="0" w:color="auto"/>
        <w:right w:val="none" w:sz="0" w:space="0" w:color="auto"/>
      </w:divBdr>
    </w:div>
    <w:div w:id="1781027552">
      <w:marLeft w:val="0"/>
      <w:marRight w:val="0"/>
      <w:marTop w:val="0"/>
      <w:marBottom w:val="0"/>
      <w:divBdr>
        <w:top w:val="none" w:sz="0" w:space="0" w:color="auto"/>
        <w:left w:val="none" w:sz="0" w:space="0" w:color="auto"/>
        <w:bottom w:val="none" w:sz="0" w:space="0" w:color="auto"/>
        <w:right w:val="none" w:sz="0" w:space="0" w:color="auto"/>
      </w:divBdr>
    </w:div>
    <w:div w:id="1781417932">
      <w:marLeft w:val="0"/>
      <w:marRight w:val="0"/>
      <w:marTop w:val="0"/>
      <w:marBottom w:val="240"/>
      <w:divBdr>
        <w:top w:val="none" w:sz="0" w:space="0" w:color="auto"/>
        <w:left w:val="none" w:sz="0" w:space="0" w:color="auto"/>
        <w:bottom w:val="none" w:sz="0" w:space="0" w:color="auto"/>
        <w:right w:val="none" w:sz="0" w:space="0" w:color="auto"/>
      </w:divBdr>
    </w:div>
    <w:div w:id="1782186515">
      <w:marLeft w:val="0"/>
      <w:marRight w:val="0"/>
      <w:marTop w:val="0"/>
      <w:marBottom w:val="240"/>
      <w:divBdr>
        <w:top w:val="none" w:sz="0" w:space="0" w:color="auto"/>
        <w:left w:val="none" w:sz="0" w:space="0" w:color="auto"/>
        <w:bottom w:val="none" w:sz="0" w:space="0" w:color="auto"/>
        <w:right w:val="none" w:sz="0" w:space="0" w:color="auto"/>
      </w:divBdr>
    </w:div>
    <w:div w:id="1784229482">
      <w:marLeft w:val="0"/>
      <w:marRight w:val="0"/>
      <w:marTop w:val="180"/>
      <w:marBottom w:val="180"/>
      <w:divBdr>
        <w:top w:val="none" w:sz="0" w:space="0" w:color="auto"/>
        <w:left w:val="none" w:sz="0" w:space="0" w:color="auto"/>
        <w:bottom w:val="none" w:sz="0" w:space="0" w:color="auto"/>
        <w:right w:val="none" w:sz="0" w:space="0" w:color="auto"/>
      </w:divBdr>
    </w:div>
    <w:div w:id="1784960730">
      <w:marLeft w:val="0"/>
      <w:marRight w:val="0"/>
      <w:marTop w:val="120"/>
      <w:marBottom w:val="120"/>
      <w:divBdr>
        <w:top w:val="none" w:sz="0" w:space="0" w:color="auto"/>
        <w:left w:val="none" w:sz="0" w:space="0" w:color="auto"/>
        <w:bottom w:val="none" w:sz="0" w:space="0" w:color="auto"/>
        <w:right w:val="none" w:sz="0" w:space="0" w:color="auto"/>
      </w:divBdr>
    </w:div>
    <w:div w:id="1785267609">
      <w:marLeft w:val="0"/>
      <w:marRight w:val="0"/>
      <w:marTop w:val="0"/>
      <w:marBottom w:val="0"/>
      <w:divBdr>
        <w:top w:val="none" w:sz="0" w:space="0" w:color="auto"/>
        <w:left w:val="none" w:sz="0" w:space="0" w:color="auto"/>
        <w:bottom w:val="none" w:sz="0" w:space="0" w:color="auto"/>
        <w:right w:val="none" w:sz="0" w:space="0" w:color="auto"/>
      </w:divBdr>
    </w:div>
    <w:div w:id="1788232754">
      <w:marLeft w:val="0"/>
      <w:marRight w:val="0"/>
      <w:marTop w:val="0"/>
      <w:marBottom w:val="0"/>
      <w:divBdr>
        <w:top w:val="none" w:sz="0" w:space="0" w:color="auto"/>
        <w:left w:val="none" w:sz="0" w:space="0" w:color="auto"/>
        <w:bottom w:val="none" w:sz="0" w:space="0" w:color="auto"/>
        <w:right w:val="none" w:sz="0" w:space="0" w:color="auto"/>
      </w:divBdr>
    </w:div>
    <w:div w:id="1790195759">
      <w:marLeft w:val="0"/>
      <w:marRight w:val="0"/>
      <w:marTop w:val="180"/>
      <w:marBottom w:val="180"/>
      <w:divBdr>
        <w:top w:val="none" w:sz="0" w:space="0" w:color="auto"/>
        <w:left w:val="none" w:sz="0" w:space="0" w:color="auto"/>
        <w:bottom w:val="none" w:sz="0" w:space="0" w:color="auto"/>
        <w:right w:val="none" w:sz="0" w:space="0" w:color="auto"/>
      </w:divBdr>
    </w:div>
    <w:div w:id="1792899511">
      <w:marLeft w:val="0"/>
      <w:marRight w:val="0"/>
      <w:marTop w:val="0"/>
      <w:marBottom w:val="240"/>
      <w:divBdr>
        <w:top w:val="none" w:sz="0" w:space="0" w:color="auto"/>
        <w:left w:val="none" w:sz="0" w:space="0" w:color="auto"/>
        <w:bottom w:val="none" w:sz="0" w:space="0" w:color="auto"/>
        <w:right w:val="none" w:sz="0" w:space="0" w:color="auto"/>
      </w:divBdr>
    </w:div>
    <w:div w:id="1794402191">
      <w:marLeft w:val="0"/>
      <w:marRight w:val="0"/>
      <w:marTop w:val="0"/>
      <w:marBottom w:val="180"/>
      <w:divBdr>
        <w:top w:val="none" w:sz="0" w:space="0" w:color="auto"/>
        <w:left w:val="none" w:sz="0" w:space="0" w:color="auto"/>
        <w:bottom w:val="none" w:sz="0" w:space="0" w:color="auto"/>
        <w:right w:val="none" w:sz="0" w:space="0" w:color="auto"/>
      </w:divBdr>
    </w:div>
    <w:div w:id="1794590538">
      <w:marLeft w:val="0"/>
      <w:marRight w:val="0"/>
      <w:marTop w:val="0"/>
      <w:marBottom w:val="0"/>
      <w:divBdr>
        <w:top w:val="none" w:sz="0" w:space="0" w:color="auto"/>
        <w:left w:val="none" w:sz="0" w:space="0" w:color="auto"/>
        <w:bottom w:val="none" w:sz="0" w:space="0" w:color="auto"/>
        <w:right w:val="none" w:sz="0" w:space="0" w:color="auto"/>
      </w:divBdr>
      <w:divsChild>
        <w:div w:id="761493572">
          <w:marLeft w:val="0"/>
          <w:marRight w:val="0"/>
          <w:marTop w:val="0"/>
          <w:marBottom w:val="0"/>
          <w:divBdr>
            <w:top w:val="none" w:sz="0" w:space="0" w:color="auto"/>
            <w:left w:val="none" w:sz="0" w:space="0" w:color="auto"/>
            <w:bottom w:val="none" w:sz="0" w:space="0" w:color="auto"/>
            <w:right w:val="none" w:sz="0" w:space="0" w:color="auto"/>
          </w:divBdr>
        </w:div>
      </w:divsChild>
    </w:div>
    <w:div w:id="1796410352">
      <w:marLeft w:val="0"/>
      <w:marRight w:val="0"/>
      <w:marTop w:val="20"/>
      <w:marBottom w:val="120"/>
      <w:divBdr>
        <w:top w:val="none" w:sz="0" w:space="0" w:color="auto"/>
        <w:left w:val="none" w:sz="0" w:space="0" w:color="auto"/>
        <w:bottom w:val="none" w:sz="0" w:space="0" w:color="auto"/>
        <w:right w:val="none" w:sz="0" w:space="0" w:color="auto"/>
      </w:divBdr>
    </w:div>
    <w:div w:id="1798259278">
      <w:marLeft w:val="0"/>
      <w:marRight w:val="0"/>
      <w:marTop w:val="0"/>
      <w:marBottom w:val="60"/>
      <w:divBdr>
        <w:top w:val="none" w:sz="0" w:space="0" w:color="auto"/>
        <w:left w:val="none" w:sz="0" w:space="0" w:color="auto"/>
        <w:bottom w:val="none" w:sz="0" w:space="0" w:color="auto"/>
        <w:right w:val="none" w:sz="0" w:space="0" w:color="auto"/>
      </w:divBdr>
    </w:div>
    <w:div w:id="1803691346">
      <w:marLeft w:val="0"/>
      <w:marRight w:val="0"/>
      <w:marTop w:val="0"/>
      <w:marBottom w:val="0"/>
      <w:divBdr>
        <w:top w:val="none" w:sz="0" w:space="0" w:color="auto"/>
        <w:left w:val="none" w:sz="0" w:space="0" w:color="auto"/>
        <w:bottom w:val="none" w:sz="0" w:space="0" w:color="auto"/>
        <w:right w:val="none" w:sz="0" w:space="0" w:color="auto"/>
      </w:divBdr>
      <w:divsChild>
        <w:div w:id="774441430">
          <w:marLeft w:val="0"/>
          <w:marRight w:val="0"/>
          <w:marTop w:val="0"/>
          <w:marBottom w:val="0"/>
          <w:divBdr>
            <w:top w:val="none" w:sz="0" w:space="0" w:color="auto"/>
            <w:left w:val="none" w:sz="0" w:space="0" w:color="auto"/>
            <w:bottom w:val="none" w:sz="0" w:space="0" w:color="auto"/>
            <w:right w:val="none" w:sz="0" w:space="0" w:color="auto"/>
          </w:divBdr>
        </w:div>
      </w:divsChild>
    </w:div>
    <w:div w:id="1803882394">
      <w:marLeft w:val="0"/>
      <w:marRight w:val="0"/>
      <w:marTop w:val="120"/>
      <w:marBottom w:val="120"/>
      <w:divBdr>
        <w:top w:val="none" w:sz="0" w:space="0" w:color="auto"/>
        <w:left w:val="none" w:sz="0" w:space="0" w:color="auto"/>
        <w:bottom w:val="none" w:sz="0" w:space="0" w:color="auto"/>
        <w:right w:val="none" w:sz="0" w:space="0" w:color="auto"/>
      </w:divBdr>
    </w:div>
    <w:div w:id="1804496861">
      <w:marLeft w:val="0"/>
      <w:marRight w:val="0"/>
      <w:marTop w:val="100"/>
      <w:marBottom w:val="0"/>
      <w:divBdr>
        <w:top w:val="none" w:sz="0" w:space="0" w:color="auto"/>
        <w:left w:val="none" w:sz="0" w:space="0" w:color="auto"/>
        <w:bottom w:val="none" w:sz="0" w:space="0" w:color="auto"/>
        <w:right w:val="none" w:sz="0" w:space="0" w:color="auto"/>
      </w:divBdr>
    </w:div>
    <w:div w:id="1806048825">
      <w:marLeft w:val="0"/>
      <w:marRight w:val="0"/>
      <w:marTop w:val="0"/>
      <w:marBottom w:val="180"/>
      <w:divBdr>
        <w:top w:val="none" w:sz="0" w:space="0" w:color="auto"/>
        <w:left w:val="none" w:sz="0" w:space="0" w:color="auto"/>
        <w:bottom w:val="none" w:sz="0" w:space="0" w:color="auto"/>
        <w:right w:val="none" w:sz="0" w:space="0" w:color="auto"/>
      </w:divBdr>
    </w:div>
    <w:div w:id="1809472167">
      <w:marLeft w:val="0"/>
      <w:marRight w:val="0"/>
      <w:marTop w:val="100"/>
      <w:marBottom w:val="0"/>
      <w:divBdr>
        <w:top w:val="none" w:sz="0" w:space="0" w:color="auto"/>
        <w:left w:val="none" w:sz="0" w:space="0" w:color="auto"/>
        <w:bottom w:val="none" w:sz="0" w:space="0" w:color="auto"/>
        <w:right w:val="none" w:sz="0" w:space="0" w:color="auto"/>
      </w:divBdr>
    </w:div>
    <w:div w:id="1809660341">
      <w:marLeft w:val="0"/>
      <w:marRight w:val="0"/>
      <w:marTop w:val="0"/>
      <w:marBottom w:val="0"/>
      <w:divBdr>
        <w:top w:val="none" w:sz="0" w:space="0" w:color="auto"/>
        <w:left w:val="none" w:sz="0" w:space="0" w:color="auto"/>
        <w:bottom w:val="none" w:sz="0" w:space="0" w:color="auto"/>
        <w:right w:val="none" w:sz="0" w:space="0" w:color="auto"/>
      </w:divBdr>
      <w:divsChild>
        <w:div w:id="335768186">
          <w:marLeft w:val="0"/>
          <w:marRight w:val="0"/>
          <w:marTop w:val="0"/>
          <w:marBottom w:val="0"/>
          <w:divBdr>
            <w:top w:val="none" w:sz="0" w:space="0" w:color="auto"/>
            <w:left w:val="none" w:sz="0" w:space="0" w:color="auto"/>
            <w:bottom w:val="none" w:sz="0" w:space="0" w:color="auto"/>
            <w:right w:val="none" w:sz="0" w:space="0" w:color="auto"/>
          </w:divBdr>
        </w:div>
      </w:divsChild>
    </w:div>
    <w:div w:id="1812136198">
      <w:marLeft w:val="0"/>
      <w:marRight w:val="0"/>
      <w:marTop w:val="0"/>
      <w:marBottom w:val="180"/>
      <w:divBdr>
        <w:top w:val="none" w:sz="0" w:space="0" w:color="auto"/>
        <w:left w:val="none" w:sz="0" w:space="0" w:color="auto"/>
        <w:bottom w:val="none" w:sz="0" w:space="0" w:color="auto"/>
        <w:right w:val="none" w:sz="0" w:space="0" w:color="auto"/>
      </w:divBdr>
    </w:div>
    <w:div w:id="1813516500">
      <w:marLeft w:val="0"/>
      <w:marRight w:val="0"/>
      <w:marTop w:val="0"/>
      <w:marBottom w:val="0"/>
      <w:divBdr>
        <w:top w:val="none" w:sz="0" w:space="0" w:color="auto"/>
        <w:left w:val="none" w:sz="0" w:space="0" w:color="auto"/>
        <w:bottom w:val="none" w:sz="0" w:space="0" w:color="auto"/>
        <w:right w:val="none" w:sz="0" w:space="0" w:color="auto"/>
      </w:divBdr>
      <w:divsChild>
        <w:div w:id="1340624581">
          <w:marLeft w:val="0"/>
          <w:marRight w:val="0"/>
          <w:marTop w:val="0"/>
          <w:marBottom w:val="0"/>
          <w:divBdr>
            <w:top w:val="none" w:sz="0" w:space="0" w:color="auto"/>
            <w:left w:val="none" w:sz="0" w:space="0" w:color="auto"/>
            <w:bottom w:val="none" w:sz="0" w:space="0" w:color="auto"/>
            <w:right w:val="none" w:sz="0" w:space="0" w:color="auto"/>
          </w:divBdr>
        </w:div>
      </w:divsChild>
    </w:div>
    <w:div w:id="1817188952">
      <w:marLeft w:val="0"/>
      <w:marRight w:val="0"/>
      <w:marTop w:val="0"/>
      <w:marBottom w:val="180"/>
      <w:divBdr>
        <w:top w:val="none" w:sz="0" w:space="0" w:color="auto"/>
        <w:left w:val="none" w:sz="0" w:space="0" w:color="auto"/>
        <w:bottom w:val="none" w:sz="0" w:space="0" w:color="auto"/>
        <w:right w:val="none" w:sz="0" w:space="0" w:color="auto"/>
      </w:divBdr>
    </w:div>
    <w:div w:id="1820223102">
      <w:marLeft w:val="0"/>
      <w:marRight w:val="0"/>
      <w:marTop w:val="0"/>
      <w:marBottom w:val="0"/>
      <w:divBdr>
        <w:top w:val="none" w:sz="0" w:space="0" w:color="auto"/>
        <w:left w:val="none" w:sz="0" w:space="0" w:color="auto"/>
        <w:bottom w:val="none" w:sz="0" w:space="0" w:color="auto"/>
        <w:right w:val="none" w:sz="0" w:space="0" w:color="auto"/>
      </w:divBdr>
    </w:div>
    <w:div w:id="1820730087">
      <w:marLeft w:val="0"/>
      <w:marRight w:val="0"/>
      <w:marTop w:val="180"/>
      <w:marBottom w:val="180"/>
      <w:divBdr>
        <w:top w:val="none" w:sz="0" w:space="0" w:color="auto"/>
        <w:left w:val="none" w:sz="0" w:space="0" w:color="auto"/>
        <w:bottom w:val="none" w:sz="0" w:space="0" w:color="auto"/>
        <w:right w:val="none" w:sz="0" w:space="0" w:color="auto"/>
      </w:divBdr>
    </w:div>
    <w:div w:id="1821457871">
      <w:marLeft w:val="0"/>
      <w:marRight w:val="0"/>
      <w:marTop w:val="120"/>
      <w:marBottom w:val="240"/>
      <w:divBdr>
        <w:top w:val="none" w:sz="0" w:space="0" w:color="auto"/>
        <w:left w:val="none" w:sz="0" w:space="0" w:color="auto"/>
        <w:bottom w:val="none" w:sz="0" w:space="0" w:color="auto"/>
        <w:right w:val="none" w:sz="0" w:space="0" w:color="auto"/>
      </w:divBdr>
    </w:div>
    <w:div w:id="1822692232">
      <w:marLeft w:val="0"/>
      <w:marRight w:val="0"/>
      <w:marTop w:val="120"/>
      <w:marBottom w:val="120"/>
      <w:divBdr>
        <w:top w:val="none" w:sz="0" w:space="0" w:color="auto"/>
        <w:left w:val="none" w:sz="0" w:space="0" w:color="auto"/>
        <w:bottom w:val="none" w:sz="0" w:space="0" w:color="auto"/>
        <w:right w:val="none" w:sz="0" w:space="0" w:color="auto"/>
      </w:divBdr>
    </w:div>
    <w:div w:id="1823740820">
      <w:marLeft w:val="0"/>
      <w:marRight w:val="0"/>
      <w:marTop w:val="0"/>
      <w:marBottom w:val="0"/>
      <w:divBdr>
        <w:top w:val="none" w:sz="0" w:space="0" w:color="auto"/>
        <w:left w:val="none" w:sz="0" w:space="0" w:color="auto"/>
        <w:bottom w:val="none" w:sz="0" w:space="0" w:color="auto"/>
        <w:right w:val="none" w:sz="0" w:space="0" w:color="auto"/>
      </w:divBdr>
    </w:div>
    <w:div w:id="1824539225">
      <w:marLeft w:val="0"/>
      <w:marRight w:val="0"/>
      <w:marTop w:val="120"/>
      <w:marBottom w:val="120"/>
      <w:divBdr>
        <w:top w:val="none" w:sz="0" w:space="0" w:color="auto"/>
        <w:left w:val="none" w:sz="0" w:space="0" w:color="auto"/>
        <w:bottom w:val="none" w:sz="0" w:space="0" w:color="auto"/>
        <w:right w:val="none" w:sz="0" w:space="0" w:color="auto"/>
      </w:divBdr>
    </w:div>
    <w:div w:id="1824854489">
      <w:marLeft w:val="0"/>
      <w:marRight w:val="0"/>
      <w:marTop w:val="0"/>
      <w:marBottom w:val="0"/>
      <w:divBdr>
        <w:top w:val="none" w:sz="0" w:space="0" w:color="auto"/>
        <w:left w:val="none" w:sz="0" w:space="0" w:color="auto"/>
        <w:bottom w:val="none" w:sz="0" w:space="0" w:color="auto"/>
        <w:right w:val="none" w:sz="0" w:space="0" w:color="auto"/>
      </w:divBdr>
    </w:div>
    <w:div w:id="1825778304">
      <w:marLeft w:val="0"/>
      <w:marRight w:val="0"/>
      <w:marTop w:val="0"/>
      <w:marBottom w:val="240"/>
      <w:divBdr>
        <w:top w:val="none" w:sz="0" w:space="0" w:color="auto"/>
        <w:left w:val="none" w:sz="0" w:space="0" w:color="auto"/>
        <w:bottom w:val="none" w:sz="0" w:space="0" w:color="auto"/>
        <w:right w:val="none" w:sz="0" w:space="0" w:color="auto"/>
      </w:divBdr>
    </w:div>
    <w:div w:id="1826899620">
      <w:marLeft w:val="0"/>
      <w:marRight w:val="0"/>
      <w:marTop w:val="0"/>
      <w:marBottom w:val="240"/>
      <w:divBdr>
        <w:top w:val="none" w:sz="0" w:space="0" w:color="auto"/>
        <w:left w:val="none" w:sz="0" w:space="0" w:color="auto"/>
        <w:bottom w:val="none" w:sz="0" w:space="0" w:color="auto"/>
        <w:right w:val="none" w:sz="0" w:space="0" w:color="auto"/>
      </w:divBdr>
    </w:div>
    <w:div w:id="1831142207">
      <w:marLeft w:val="0"/>
      <w:marRight w:val="0"/>
      <w:marTop w:val="0"/>
      <w:marBottom w:val="180"/>
      <w:divBdr>
        <w:top w:val="none" w:sz="0" w:space="0" w:color="auto"/>
        <w:left w:val="none" w:sz="0" w:space="0" w:color="auto"/>
        <w:bottom w:val="none" w:sz="0" w:space="0" w:color="auto"/>
        <w:right w:val="none" w:sz="0" w:space="0" w:color="auto"/>
      </w:divBdr>
    </w:div>
    <w:div w:id="1833136954">
      <w:marLeft w:val="0"/>
      <w:marRight w:val="0"/>
      <w:marTop w:val="0"/>
      <w:marBottom w:val="0"/>
      <w:divBdr>
        <w:top w:val="none" w:sz="0" w:space="0" w:color="auto"/>
        <w:left w:val="none" w:sz="0" w:space="0" w:color="auto"/>
        <w:bottom w:val="none" w:sz="0" w:space="0" w:color="auto"/>
        <w:right w:val="none" w:sz="0" w:space="0" w:color="auto"/>
      </w:divBdr>
    </w:div>
    <w:div w:id="1833833665">
      <w:marLeft w:val="0"/>
      <w:marRight w:val="0"/>
      <w:marTop w:val="0"/>
      <w:marBottom w:val="120"/>
      <w:divBdr>
        <w:top w:val="none" w:sz="0" w:space="0" w:color="auto"/>
        <w:left w:val="none" w:sz="0" w:space="0" w:color="auto"/>
        <w:bottom w:val="none" w:sz="0" w:space="0" w:color="auto"/>
        <w:right w:val="none" w:sz="0" w:space="0" w:color="auto"/>
      </w:divBdr>
    </w:div>
    <w:div w:id="1835029952">
      <w:marLeft w:val="0"/>
      <w:marRight w:val="0"/>
      <w:marTop w:val="0"/>
      <w:marBottom w:val="0"/>
      <w:divBdr>
        <w:top w:val="none" w:sz="0" w:space="0" w:color="auto"/>
        <w:left w:val="none" w:sz="0" w:space="0" w:color="auto"/>
        <w:bottom w:val="none" w:sz="0" w:space="0" w:color="auto"/>
        <w:right w:val="none" w:sz="0" w:space="0" w:color="auto"/>
      </w:divBdr>
      <w:divsChild>
        <w:div w:id="658194529">
          <w:marLeft w:val="0"/>
          <w:marRight w:val="0"/>
          <w:marTop w:val="0"/>
          <w:marBottom w:val="0"/>
          <w:divBdr>
            <w:top w:val="none" w:sz="0" w:space="0" w:color="auto"/>
            <w:left w:val="none" w:sz="0" w:space="0" w:color="auto"/>
            <w:bottom w:val="none" w:sz="0" w:space="0" w:color="auto"/>
            <w:right w:val="none" w:sz="0" w:space="0" w:color="auto"/>
          </w:divBdr>
        </w:div>
      </w:divsChild>
    </w:div>
    <w:div w:id="1835490406">
      <w:marLeft w:val="0"/>
      <w:marRight w:val="0"/>
      <w:marTop w:val="0"/>
      <w:marBottom w:val="0"/>
      <w:divBdr>
        <w:top w:val="none" w:sz="0" w:space="0" w:color="auto"/>
        <w:left w:val="none" w:sz="0" w:space="0" w:color="auto"/>
        <w:bottom w:val="none" w:sz="0" w:space="0" w:color="auto"/>
        <w:right w:val="none" w:sz="0" w:space="0" w:color="auto"/>
      </w:divBdr>
    </w:div>
    <w:div w:id="1841693663">
      <w:marLeft w:val="0"/>
      <w:marRight w:val="0"/>
      <w:marTop w:val="0"/>
      <w:marBottom w:val="0"/>
      <w:divBdr>
        <w:top w:val="none" w:sz="0" w:space="0" w:color="auto"/>
        <w:left w:val="none" w:sz="0" w:space="0" w:color="auto"/>
        <w:bottom w:val="none" w:sz="0" w:space="0" w:color="auto"/>
        <w:right w:val="none" w:sz="0" w:space="0" w:color="auto"/>
      </w:divBdr>
    </w:div>
    <w:div w:id="1844054163">
      <w:marLeft w:val="0"/>
      <w:marRight w:val="0"/>
      <w:marTop w:val="0"/>
      <w:marBottom w:val="0"/>
      <w:divBdr>
        <w:top w:val="none" w:sz="0" w:space="0" w:color="auto"/>
        <w:left w:val="none" w:sz="0" w:space="0" w:color="auto"/>
        <w:bottom w:val="none" w:sz="0" w:space="0" w:color="auto"/>
        <w:right w:val="none" w:sz="0" w:space="0" w:color="auto"/>
      </w:divBdr>
    </w:div>
    <w:div w:id="1846825393">
      <w:marLeft w:val="0"/>
      <w:marRight w:val="0"/>
      <w:marTop w:val="0"/>
      <w:marBottom w:val="240"/>
      <w:divBdr>
        <w:top w:val="none" w:sz="0" w:space="0" w:color="auto"/>
        <w:left w:val="none" w:sz="0" w:space="0" w:color="auto"/>
        <w:bottom w:val="none" w:sz="0" w:space="0" w:color="auto"/>
        <w:right w:val="none" w:sz="0" w:space="0" w:color="auto"/>
      </w:divBdr>
    </w:div>
    <w:div w:id="1847094505">
      <w:marLeft w:val="0"/>
      <w:marRight w:val="0"/>
      <w:marTop w:val="0"/>
      <w:marBottom w:val="0"/>
      <w:divBdr>
        <w:top w:val="none" w:sz="0" w:space="0" w:color="auto"/>
        <w:left w:val="none" w:sz="0" w:space="0" w:color="auto"/>
        <w:bottom w:val="none" w:sz="0" w:space="0" w:color="auto"/>
        <w:right w:val="none" w:sz="0" w:space="0" w:color="auto"/>
      </w:divBdr>
    </w:div>
    <w:div w:id="1849446539">
      <w:marLeft w:val="0"/>
      <w:marRight w:val="0"/>
      <w:marTop w:val="180"/>
      <w:marBottom w:val="180"/>
      <w:divBdr>
        <w:top w:val="none" w:sz="0" w:space="0" w:color="auto"/>
        <w:left w:val="none" w:sz="0" w:space="0" w:color="auto"/>
        <w:bottom w:val="none" w:sz="0" w:space="0" w:color="auto"/>
        <w:right w:val="none" w:sz="0" w:space="0" w:color="auto"/>
      </w:divBdr>
    </w:div>
    <w:div w:id="1851024170">
      <w:marLeft w:val="0"/>
      <w:marRight w:val="0"/>
      <w:marTop w:val="0"/>
      <w:marBottom w:val="0"/>
      <w:divBdr>
        <w:top w:val="none" w:sz="0" w:space="0" w:color="auto"/>
        <w:left w:val="none" w:sz="0" w:space="0" w:color="auto"/>
        <w:bottom w:val="none" w:sz="0" w:space="0" w:color="auto"/>
        <w:right w:val="none" w:sz="0" w:space="0" w:color="auto"/>
      </w:divBdr>
      <w:divsChild>
        <w:div w:id="979380033">
          <w:marLeft w:val="0"/>
          <w:marRight w:val="0"/>
          <w:marTop w:val="0"/>
          <w:marBottom w:val="0"/>
          <w:divBdr>
            <w:top w:val="none" w:sz="0" w:space="0" w:color="auto"/>
            <w:left w:val="none" w:sz="0" w:space="0" w:color="auto"/>
            <w:bottom w:val="none" w:sz="0" w:space="0" w:color="auto"/>
            <w:right w:val="none" w:sz="0" w:space="0" w:color="auto"/>
          </w:divBdr>
        </w:div>
      </w:divsChild>
    </w:div>
    <w:div w:id="1851793793">
      <w:marLeft w:val="0"/>
      <w:marRight w:val="0"/>
      <w:marTop w:val="120"/>
      <w:marBottom w:val="120"/>
      <w:divBdr>
        <w:top w:val="none" w:sz="0" w:space="0" w:color="auto"/>
        <w:left w:val="none" w:sz="0" w:space="0" w:color="auto"/>
        <w:bottom w:val="none" w:sz="0" w:space="0" w:color="auto"/>
        <w:right w:val="none" w:sz="0" w:space="0" w:color="auto"/>
      </w:divBdr>
    </w:div>
    <w:div w:id="1852452844">
      <w:marLeft w:val="0"/>
      <w:marRight w:val="0"/>
      <w:marTop w:val="0"/>
      <w:marBottom w:val="240"/>
      <w:divBdr>
        <w:top w:val="none" w:sz="0" w:space="0" w:color="auto"/>
        <w:left w:val="none" w:sz="0" w:space="0" w:color="auto"/>
        <w:bottom w:val="none" w:sz="0" w:space="0" w:color="auto"/>
        <w:right w:val="none" w:sz="0" w:space="0" w:color="auto"/>
      </w:divBdr>
    </w:div>
    <w:div w:id="1853446852">
      <w:marLeft w:val="0"/>
      <w:marRight w:val="0"/>
      <w:marTop w:val="0"/>
      <w:marBottom w:val="240"/>
      <w:divBdr>
        <w:top w:val="none" w:sz="0" w:space="0" w:color="auto"/>
        <w:left w:val="none" w:sz="0" w:space="0" w:color="auto"/>
        <w:bottom w:val="none" w:sz="0" w:space="0" w:color="auto"/>
        <w:right w:val="none" w:sz="0" w:space="0" w:color="auto"/>
      </w:divBdr>
    </w:div>
    <w:div w:id="1854413304">
      <w:marLeft w:val="0"/>
      <w:marRight w:val="0"/>
      <w:marTop w:val="0"/>
      <w:marBottom w:val="180"/>
      <w:divBdr>
        <w:top w:val="none" w:sz="0" w:space="0" w:color="auto"/>
        <w:left w:val="none" w:sz="0" w:space="0" w:color="auto"/>
        <w:bottom w:val="none" w:sz="0" w:space="0" w:color="auto"/>
        <w:right w:val="none" w:sz="0" w:space="0" w:color="auto"/>
      </w:divBdr>
    </w:div>
    <w:div w:id="1854832098">
      <w:marLeft w:val="0"/>
      <w:marRight w:val="0"/>
      <w:marTop w:val="0"/>
      <w:marBottom w:val="0"/>
      <w:divBdr>
        <w:top w:val="none" w:sz="0" w:space="0" w:color="auto"/>
        <w:left w:val="none" w:sz="0" w:space="0" w:color="auto"/>
        <w:bottom w:val="none" w:sz="0" w:space="0" w:color="auto"/>
        <w:right w:val="none" w:sz="0" w:space="0" w:color="auto"/>
      </w:divBdr>
      <w:divsChild>
        <w:div w:id="1881819864">
          <w:marLeft w:val="0"/>
          <w:marRight w:val="0"/>
          <w:marTop w:val="0"/>
          <w:marBottom w:val="0"/>
          <w:divBdr>
            <w:top w:val="none" w:sz="0" w:space="0" w:color="auto"/>
            <w:left w:val="none" w:sz="0" w:space="0" w:color="auto"/>
            <w:bottom w:val="none" w:sz="0" w:space="0" w:color="auto"/>
            <w:right w:val="none" w:sz="0" w:space="0" w:color="auto"/>
          </w:divBdr>
        </w:div>
      </w:divsChild>
    </w:div>
    <w:div w:id="1857226209">
      <w:marLeft w:val="0"/>
      <w:marRight w:val="0"/>
      <w:marTop w:val="0"/>
      <w:marBottom w:val="0"/>
      <w:divBdr>
        <w:top w:val="none" w:sz="0" w:space="0" w:color="auto"/>
        <w:left w:val="none" w:sz="0" w:space="0" w:color="auto"/>
        <w:bottom w:val="none" w:sz="0" w:space="0" w:color="auto"/>
        <w:right w:val="none" w:sz="0" w:space="0" w:color="auto"/>
      </w:divBdr>
    </w:div>
    <w:div w:id="1858811519">
      <w:marLeft w:val="0"/>
      <w:marRight w:val="0"/>
      <w:marTop w:val="0"/>
      <w:marBottom w:val="0"/>
      <w:divBdr>
        <w:top w:val="none" w:sz="0" w:space="0" w:color="auto"/>
        <w:left w:val="none" w:sz="0" w:space="0" w:color="auto"/>
        <w:bottom w:val="none" w:sz="0" w:space="0" w:color="auto"/>
        <w:right w:val="none" w:sz="0" w:space="0" w:color="auto"/>
      </w:divBdr>
      <w:divsChild>
        <w:div w:id="554313949">
          <w:marLeft w:val="0"/>
          <w:marRight w:val="0"/>
          <w:marTop w:val="0"/>
          <w:marBottom w:val="0"/>
          <w:divBdr>
            <w:top w:val="none" w:sz="0" w:space="0" w:color="auto"/>
            <w:left w:val="none" w:sz="0" w:space="0" w:color="auto"/>
            <w:bottom w:val="none" w:sz="0" w:space="0" w:color="auto"/>
            <w:right w:val="none" w:sz="0" w:space="0" w:color="auto"/>
          </w:divBdr>
        </w:div>
        <w:div w:id="704524631">
          <w:marLeft w:val="0"/>
          <w:marRight w:val="0"/>
          <w:marTop w:val="0"/>
          <w:marBottom w:val="0"/>
          <w:divBdr>
            <w:top w:val="none" w:sz="0" w:space="0" w:color="auto"/>
            <w:left w:val="none" w:sz="0" w:space="0" w:color="auto"/>
            <w:bottom w:val="none" w:sz="0" w:space="0" w:color="auto"/>
            <w:right w:val="none" w:sz="0" w:space="0" w:color="auto"/>
          </w:divBdr>
        </w:div>
      </w:divsChild>
    </w:div>
    <w:div w:id="1860311953">
      <w:marLeft w:val="0"/>
      <w:marRight w:val="0"/>
      <w:marTop w:val="0"/>
      <w:marBottom w:val="0"/>
      <w:divBdr>
        <w:top w:val="none" w:sz="0" w:space="0" w:color="auto"/>
        <w:left w:val="none" w:sz="0" w:space="0" w:color="auto"/>
        <w:bottom w:val="none" w:sz="0" w:space="0" w:color="auto"/>
        <w:right w:val="none" w:sz="0" w:space="0" w:color="auto"/>
      </w:divBdr>
    </w:div>
    <w:div w:id="1862277954">
      <w:marLeft w:val="0"/>
      <w:marRight w:val="0"/>
      <w:marTop w:val="0"/>
      <w:marBottom w:val="0"/>
      <w:divBdr>
        <w:top w:val="none" w:sz="0" w:space="0" w:color="auto"/>
        <w:left w:val="none" w:sz="0" w:space="0" w:color="auto"/>
        <w:bottom w:val="none" w:sz="0" w:space="0" w:color="auto"/>
        <w:right w:val="none" w:sz="0" w:space="0" w:color="auto"/>
      </w:divBdr>
    </w:div>
    <w:div w:id="1869099609">
      <w:marLeft w:val="0"/>
      <w:marRight w:val="0"/>
      <w:marTop w:val="0"/>
      <w:marBottom w:val="0"/>
      <w:divBdr>
        <w:top w:val="none" w:sz="0" w:space="0" w:color="auto"/>
        <w:left w:val="none" w:sz="0" w:space="0" w:color="auto"/>
        <w:bottom w:val="none" w:sz="0" w:space="0" w:color="auto"/>
        <w:right w:val="none" w:sz="0" w:space="0" w:color="auto"/>
      </w:divBdr>
      <w:divsChild>
        <w:div w:id="1189567667">
          <w:marLeft w:val="0"/>
          <w:marRight w:val="0"/>
          <w:marTop w:val="0"/>
          <w:marBottom w:val="0"/>
          <w:divBdr>
            <w:top w:val="none" w:sz="0" w:space="0" w:color="auto"/>
            <w:left w:val="none" w:sz="0" w:space="0" w:color="auto"/>
            <w:bottom w:val="none" w:sz="0" w:space="0" w:color="auto"/>
            <w:right w:val="none" w:sz="0" w:space="0" w:color="auto"/>
          </w:divBdr>
        </w:div>
      </w:divsChild>
    </w:div>
    <w:div w:id="1869250385">
      <w:marLeft w:val="0"/>
      <w:marRight w:val="0"/>
      <w:marTop w:val="0"/>
      <w:marBottom w:val="180"/>
      <w:divBdr>
        <w:top w:val="none" w:sz="0" w:space="0" w:color="auto"/>
        <w:left w:val="none" w:sz="0" w:space="0" w:color="auto"/>
        <w:bottom w:val="none" w:sz="0" w:space="0" w:color="auto"/>
        <w:right w:val="none" w:sz="0" w:space="0" w:color="auto"/>
      </w:divBdr>
    </w:div>
    <w:div w:id="1871216013">
      <w:marLeft w:val="0"/>
      <w:marRight w:val="0"/>
      <w:marTop w:val="0"/>
      <w:marBottom w:val="0"/>
      <w:divBdr>
        <w:top w:val="none" w:sz="0" w:space="0" w:color="auto"/>
        <w:left w:val="none" w:sz="0" w:space="0" w:color="auto"/>
        <w:bottom w:val="none" w:sz="0" w:space="0" w:color="auto"/>
        <w:right w:val="none" w:sz="0" w:space="0" w:color="auto"/>
      </w:divBdr>
    </w:div>
    <w:div w:id="1871380642">
      <w:marLeft w:val="0"/>
      <w:marRight w:val="0"/>
      <w:marTop w:val="0"/>
      <w:marBottom w:val="240"/>
      <w:divBdr>
        <w:top w:val="none" w:sz="0" w:space="0" w:color="auto"/>
        <w:left w:val="none" w:sz="0" w:space="0" w:color="auto"/>
        <w:bottom w:val="none" w:sz="0" w:space="0" w:color="auto"/>
        <w:right w:val="none" w:sz="0" w:space="0" w:color="auto"/>
      </w:divBdr>
    </w:div>
    <w:div w:id="1871800871">
      <w:marLeft w:val="0"/>
      <w:marRight w:val="0"/>
      <w:marTop w:val="120"/>
      <w:marBottom w:val="120"/>
      <w:divBdr>
        <w:top w:val="none" w:sz="0" w:space="0" w:color="auto"/>
        <w:left w:val="none" w:sz="0" w:space="0" w:color="auto"/>
        <w:bottom w:val="none" w:sz="0" w:space="0" w:color="auto"/>
        <w:right w:val="none" w:sz="0" w:space="0" w:color="auto"/>
      </w:divBdr>
    </w:div>
    <w:div w:id="1874221790">
      <w:marLeft w:val="0"/>
      <w:marRight w:val="0"/>
      <w:marTop w:val="0"/>
      <w:marBottom w:val="0"/>
      <w:divBdr>
        <w:top w:val="none" w:sz="0" w:space="0" w:color="auto"/>
        <w:left w:val="none" w:sz="0" w:space="0" w:color="auto"/>
        <w:bottom w:val="none" w:sz="0" w:space="0" w:color="auto"/>
        <w:right w:val="none" w:sz="0" w:space="0" w:color="auto"/>
      </w:divBdr>
      <w:divsChild>
        <w:div w:id="1214343385">
          <w:marLeft w:val="0"/>
          <w:marRight w:val="0"/>
          <w:marTop w:val="0"/>
          <w:marBottom w:val="0"/>
          <w:divBdr>
            <w:top w:val="none" w:sz="0" w:space="0" w:color="auto"/>
            <w:left w:val="none" w:sz="0" w:space="0" w:color="auto"/>
            <w:bottom w:val="none" w:sz="0" w:space="0" w:color="auto"/>
            <w:right w:val="none" w:sz="0" w:space="0" w:color="auto"/>
          </w:divBdr>
        </w:div>
      </w:divsChild>
    </w:div>
    <w:div w:id="1876889761">
      <w:marLeft w:val="0"/>
      <w:marRight w:val="0"/>
      <w:marTop w:val="0"/>
      <w:marBottom w:val="0"/>
      <w:divBdr>
        <w:top w:val="none" w:sz="0" w:space="0" w:color="auto"/>
        <w:left w:val="none" w:sz="0" w:space="0" w:color="auto"/>
        <w:bottom w:val="none" w:sz="0" w:space="0" w:color="auto"/>
        <w:right w:val="none" w:sz="0" w:space="0" w:color="auto"/>
      </w:divBdr>
      <w:divsChild>
        <w:div w:id="1659335521">
          <w:marLeft w:val="0"/>
          <w:marRight w:val="0"/>
          <w:marTop w:val="0"/>
          <w:marBottom w:val="0"/>
          <w:divBdr>
            <w:top w:val="none" w:sz="0" w:space="0" w:color="auto"/>
            <w:left w:val="none" w:sz="0" w:space="0" w:color="auto"/>
            <w:bottom w:val="none" w:sz="0" w:space="0" w:color="auto"/>
            <w:right w:val="none" w:sz="0" w:space="0" w:color="auto"/>
          </w:divBdr>
        </w:div>
      </w:divsChild>
    </w:div>
    <w:div w:id="1877304138">
      <w:marLeft w:val="0"/>
      <w:marRight w:val="0"/>
      <w:marTop w:val="0"/>
      <w:marBottom w:val="0"/>
      <w:divBdr>
        <w:top w:val="none" w:sz="0" w:space="0" w:color="auto"/>
        <w:left w:val="none" w:sz="0" w:space="0" w:color="auto"/>
        <w:bottom w:val="none" w:sz="0" w:space="0" w:color="auto"/>
        <w:right w:val="none" w:sz="0" w:space="0" w:color="auto"/>
      </w:divBdr>
      <w:divsChild>
        <w:div w:id="1452282964">
          <w:marLeft w:val="0"/>
          <w:marRight w:val="0"/>
          <w:marTop w:val="0"/>
          <w:marBottom w:val="0"/>
          <w:divBdr>
            <w:top w:val="none" w:sz="0" w:space="0" w:color="auto"/>
            <w:left w:val="none" w:sz="0" w:space="0" w:color="auto"/>
            <w:bottom w:val="none" w:sz="0" w:space="0" w:color="auto"/>
            <w:right w:val="none" w:sz="0" w:space="0" w:color="auto"/>
          </w:divBdr>
        </w:div>
      </w:divsChild>
    </w:div>
    <w:div w:id="1877962821">
      <w:marLeft w:val="0"/>
      <w:marRight w:val="0"/>
      <w:marTop w:val="0"/>
      <w:marBottom w:val="0"/>
      <w:divBdr>
        <w:top w:val="none" w:sz="0" w:space="0" w:color="auto"/>
        <w:left w:val="none" w:sz="0" w:space="0" w:color="auto"/>
        <w:bottom w:val="none" w:sz="0" w:space="0" w:color="auto"/>
        <w:right w:val="none" w:sz="0" w:space="0" w:color="auto"/>
      </w:divBdr>
    </w:div>
    <w:div w:id="1878270106">
      <w:marLeft w:val="0"/>
      <w:marRight w:val="0"/>
      <w:marTop w:val="0"/>
      <w:marBottom w:val="0"/>
      <w:divBdr>
        <w:top w:val="none" w:sz="0" w:space="0" w:color="auto"/>
        <w:left w:val="none" w:sz="0" w:space="0" w:color="auto"/>
        <w:bottom w:val="none" w:sz="0" w:space="0" w:color="auto"/>
        <w:right w:val="none" w:sz="0" w:space="0" w:color="auto"/>
      </w:divBdr>
    </w:div>
    <w:div w:id="1878544360">
      <w:marLeft w:val="0"/>
      <w:marRight w:val="0"/>
      <w:marTop w:val="0"/>
      <w:marBottom w:val="0"/>
      <w:divBdr>
        <w:top w:val="none" w:sz="0" w:space="0" w:color="auto"/>
        <w:left w:val="none" w:sz="0" w:space="0" w:color="auto"/>
        <w:bottom w:val="none" w:sz="0" w:space="0" w:color="auto"/>
        <w:right w:val="none" w:sz="0" w:space="0" w:color="auto"/>
      </w:divBdr>
    </w:div>
    <w:div w:id="1878657100">
      <w:marLeft w:val="0"/>
      <w:marRight w:val="0"/>
      <w:marTop w:val="180"/>
      <w:marBottom w:val="180"/>
      <w:divBdr>
        <w:top w:val="none" w:sz="0" w:space="0" w:color="auto"/>
        <w:left w:val="none" w:sz="0" w:space="0" w:color="auto"/>
        <w:bottom w:val="none" w:sz="0" w:space="0" w:color="auto"/>
        <w:right w:val="none" w:sz="0" w:space="0" w:color="auto"/>
      </w:divBdr>
    </w:div>
    <w:div w:id="1879125140">
      <w:marLeft w:val="0"/>
      <w:marRight w:val="0"/>
      <w:marTop w:val="0"/>
      <w:marBottom w:val="0"/>
      <w:divBdr>
        <w:top w:val="none" w:sz="0" w:space="0" w:color="auto"/>
        <w:left w:val="none" w:sz="0" w:space="0" w:color="auto"/>
        <w:bottom w:val="none" w:sz="0" w:space="0" w:color="auto"/>
        <w:right w:val="none" w:sz="0" w:space="0" w:color="auto"/>
      </w:divBdr>
      <w:divsChild>
        <w:div w:id="1078409006">
          <w:marLeft w:val="0"/>
          <w:marRight w:val="0"/>
          <w:marTop w:val="0"/>
          <w:marBottom w:val="0"/>
          <w:divBdr>
            <w:top w:val="none" w:sz="0" w:space="0" w:color="auto"/>
            <w:left w:val="none" w:sz="0" w:space="0" w:color="auto"/>
            <w:bottom w:val="none" w:sz="0" w:space="0" w:color="auto"/>
            <w:right w:val="none" w:sz="0" w:space="0" w:color="auto"/>
          </w:divBdr>
        </w:div>
      </w:divsChild>
    </w:div>
    <w:div w:id="1879926332">
      <w:marLeft w:val="0"/>
      <w:marRight w:val="0"/>
      <w:marTop w:val="0"/>
      <w:marBottom w:val="0"/>
      <w:divBdr>
        <w:top w:val="none" w:sz="0" w:space="0" w:color="auto"/>
        <w:left w:val="none" w:sz="0" w:space="0" w:color="auto"/>
        <w:bottom w:val="none" w:sz="0" w:space="0" w:color="auto"/>
        <w:right w:val="none" w:sz="0" w:space="0" w:color="auto"/>
      </w:divBdr>
    </w:div>
    <w:div w:id="1881087590">
      <w:marLeft w:val="0"/>
      <w:marRight w:val="0"/>
      <w:marTop w:val="120"/>
      <w:marBottom w:val="120"/>
      <w:divBdr>
        <w:top w:val="none" w:sz="0" w:space="0" w:color="auto"/>
        <w:left w:val="none" w:sz="0" w:space="0" w:color="auto"/>
        <w:bottom w:val="none" w:sz="0" w:space="0" w:color="auto"/>
        <w:right w:val="none" w:sz="0" w:space="0" w:color="auto"/>
      </w:divBdr>
    </w:div>
    <w:div w:id="1883784957">
      <w:marLeft w:val="0"/>
      <w:marRight w:val="0"/>
      <w:marTop w:val="0"/>
      <w:marBottom w:val="180"/>
      <w:divBdr>
        <w:top w:val="none" w:sz="0" w:space="0" w:color="auto"/>
        <w:left w:val="none" w:sz="0" w:space="0" w:color="auto"/>
        <w:bottom w:val="none" w:sz="0" w:space="0" w:color="auto"/>
        <w:right w:val="none" w:sz="0" w:space="0" w:color="auto"/>
      </w:divBdr>
    </w:div>
    <w:div w:id="1886403470">
      <w:marLeft w:val="0"/>
      <w:marRight w:val="0"/>
      <w:marTop w:val="0"/>
      <w:marBottom w:val="0"/>
      <w:divBdr>
        <w:top w:val="none" w:sz="0" w:space="0" w:color="auto"/>
        <w:left w:val="none" w:sz="0" w:space="0" w:color="auto"/>
        <w:bottom w:val="none" w:sz="0" w:space="0" w:color="auto"/>
        <w:right w:val="none" w:sz="0" w:space="0" w:color="auto"/>
      </w:divBdr>
    </w:div>
    <w:div w:id="1887522336">
      <w:marLeft w:val="0"/>
      <w:marRight w:val="0"/>
      <w:marTop w:val="180"/>
      <w:marBottom w:val="180"/>
      <w:divBdr>
        <w:top w:val="none" w:sz="0" w:space="0" w:color="auto"/>
        <w:left w:val="none" w:sz="0" w:space="0" w:color="auto"/>
        <w:bottom w:val="none" w:sz="0" w:space="0" w:color="auto"/>
        <w:right w:val="none" w:sz="0" w:space="0" w:color="auto"/>
      </w:divBdr>
    </w:div>
    <w:div w:id="1888183429">
      <w:marLeft w:val="0"/>
      <w:marRight w:val="0"/>
      <w:marTop w:val="180"/>
      <w:marBottom w:val="180"/>
      <w:divBdr>
        <w:top w:val="none" w:sz="0" w:space="0" w:color="auto"/>
        <w:left w:val="none" w:sz="0" w:space="0" w:color="auto"/>
        <w:bottom w:val="none" w:sz="0" w:space="0" w:color="auto"/>
        <w:right w:val="none" w:sz="0" w:space="0" w:color="auto"/>
      </w:divBdr>
    </w:div>
    <w:div w:id="1893154004">
      <w:marLeft w:val="0"/>
      <w:marRight w:val="0"/>
      <w:marTop w:val="0"/>
      <w:marBottom w:val="0"/>
      <w:divBdr>
        <w:top w:val="none" w:sz="0" w:space="0" w:color="auto"/>
        <w:left w:val="none" w:sz="0" w:space="0" w:color="auto"/>
        <w:bottom w:val="none" w:sz="0" w:space="0" w:color="auto"/>
        <w:right w:val="none" w:sz="0" w:space="0" w:color="auto"/>
      </w:divBdr>
      <w:divsChild>
        <w:div w:id="1742408407">
          <w:marLeft w:val="0"/>
          <w:marRight w:val="0"/>
          <w:marTop w:val="0"/>
          <w:marBottom w:val="0"/>
          <w:divBdr>
            <w:top w:val="none" w:sz="0" w:space="0" w:color="auto"/>
            <w:left w:val="none" w:sz="0" w:space="0" w:color="auto"/>
            <w:bottom w:val="none" w:sz="0" w:space="0" w:color="auto"/>
            <w:right w:val="none" w:sz="0" w:space="0" w:color="auto"/>
          </w:divBdr>
        </w:div>
      </w:divsChild>
    </w:div>
    <w:div w:id="1893535310">
      <w:marLeft w:val="0"/>
      <w:marRight w:val="0"/>
      <w:marTop w:val="0"/>
      <w:marBottom w:val="0"/>
      <w:divBdr>
        <w:top w:val="none" w:sz="0" w:space="0" w:color="auto"/>
        <w:left w:val="none" w:sz="0" w:space="0" w:color="auto"/>
        <w:bottom w:val="none" w:sz="0" w:space="0" w:color="auto"/>
        <w:right w:val="none" w:sz="0" w:space="0" w:color="auto"/>
      </w:divBdr>
    </w:div>
    <w:div w:id="1895383738">
      <w:marLeft w:val="0"/>
      <w:marRight w:val="0"/>
      <w:marTop w:val="0"/>
      <w:marBottom w:val="0"/>
      <w:divBdr>
        <w:top w:val="none" w:sz="0" w:space="0" w:color="auto"/>
        <w:left w:val="none" w:sz="0" w:space="0" w:color="auto"/>
        <w:bottom w:val="none" w:sz="0" w:space="0" w:color="auto"/>
        <w:right w:val="none" w:sz="0" w:space="0" w:color="auto"/>
      </w:divBdr>
    </w:div>
    <w:div w:id="1897550993">
      <w:marLeft w:val="0"/>
      <w:marRight w:val="0"/>
      <w:marTop w:val="240"/>
      <w:marBottom w:val="180"/>
      <w:divBdr>
        <w:top w:val="none" w:sz="0" w:space="0" w:color="auto"/>
        <w:left w:val="none" w:sz="0" w:space="0" w:color="auto"/>
        <w:bottom w:val="none" w:sz="0" w:space="0" w:color="auto"/>
        <w:right w:val="none" w:sz="0" w:space="0" w:color="auto"/>
      </w:divBdr>
    </w:div>
    <w:div w:id="1905141089">
      <w:marLeft w:val="0"/>
      <w:marRight w:val="0"/>
      <w:marTop w:val="0"/>
      <w:marBottom w:val="240"/>
      <w:divBdr>
        <w:top w:val="none" w:sz="0" w:space="0" w:color="auto"/>
        <w:left w:val="none" w:sz="0" w:space="0" w:color="auto"/>
        <w:bottom w:val="none" w:sz="0" w:space="0" w:color="auto"/>
        <w:right w:val="none" w:sz="0" w:space="0" w:color="auto"/>
      </w:divBdr>
    </w:div>
    <w:div w:id="1908803247">
      <w:marLeft w:val="0"/>
      <w:marRight w:val="0"/>
      <w:marTop w:val="0"/>
      <w:marBottom w:val="240"/>
      <w:divBdr>
        <w:top w:val="none" w:sz="0" w:space="0" w:color="auto"/>
        <w:left w:val="none" w:sz="0" w:space="0" w:color="auto"/>
        <w:bottom w:val="none" w:sz="0" w:space="0" w:color="auto"/>
        <w:right w:val="none" w:sz="0" w:space="0" w:color="auto"/>
      </w:divBdr>
    </w:div>
    <w:div w:id="1909421407">
      <w:marLeft w:val="0"/>
      <w:marRight w:val="0"/>
      <w:marTop w:val="0"/>
      <w:marBottom w:val="0"/>
      <w:divBdr>
        <w:top w:val="none" w:sz="0" w:space="0" w:color="auto"/>
        <w:left w:val="none" w:sz="0" w:space="0" w:color="auto"/>
        <w:bottom w:val="none" w:sz="0" w:space="0" w:color="auto"/>
        <w:right w:val="none" w:sz="0" w:space="0" w:color="auto"/>
      </w:divBdr>
    </w:div>
    <w:div w:id="1910378299">
      <w:marLeft w:val="0"/>
      <w:marRight w:val="0"/>
      <w:marTop w:val="0"/>
      <w:marBottom w:val="240"/>
      <w:divBdr>
        <w:top w:val="none" w:sz="0" w:space="0" w:color="auto"/>
        <w:left w:val="none" w:sz="0" w:space="0" w:color="auto"/>
        <w:bottom w:val="none" w:sz="0" w:space="0" w:color="auto"/>
        <w:right w:val="none" w:sz="0" w:space="0" w:color="auto"/>
      </w:divBdr>
    </w:div>
    <w:div w:id="1911428892">
      <w:marLeft w:val="0"/>
      <w:marRight w:val="0"/>
      <w:marTop w:val="0"/>
      <w:marBottom w:val="180"/>
      <w:divBdr>
        <w:top w:val="none" w:sz="0" w:space="0" w:color="auto"/>
        <w:left w:val="none" w:sz="0" w:space="0" w:color="auto"/>
        <w:bottom w:val="none" w:sz="0" w:space="0" w:color="auto"/>
        <w:right w:val="none" w:sz="0" w:space="0" w:color="auto"/>
      </w:divBdr>
    </w:div>
    <w:div w:id="1917200425">
      <w:marLeft w:val="0"/>
      <w:marRight w:val="0"/>
      <w:marTop w:val="180"/>
      <w:marBottom w:val="180"/>
      <w:divBdr>
        <w:top w:val="none" w:sz="0" w:space="0" w:color="auto"/>
        <w:left w:val="none" w:sz="0" w:space="0" w:color="auto"/>
        <w:bottom w:val="none" w:sz="0" w:space="0" w:color="auto"/>
        <w:right w:val="none" w:sz="0" w:space="0" w:color="auto"/>
      </w:divBdr>
    </w:div>
    <w:div w:id="1918587855">
      <w:marLeft w:val="0"/>
      <w:marRight w:val="0"/>
      <w:marTop w:val="0"/>
      <w:marBottom w:val="240"/>
      <w:divBdr>
        <w:top w:val="none" w:sz="0" w:space="0" w:color="auto"/>
        <w:left w:val="none" w:sz="0" w:space="0" w:color="auto"/>
        <w:bottom w:val="none" w:sz="0" w:space="0" w:color="auto"/>
        <w:right w:val="none" w:sz="0" w:space="0" w:color="auto"/>
      </w:divBdr>
    </w:div>
    <w:div w:id="1921062816">
      <w:marLeft w:val="0"/>
      <w:marRight w:val="0"/>
      <w:marTop w:val="0"/>
      <w:marBottom w:val="180"/>
      <w:divBdr>
        <w:top w:val="none" w:sz="0" w:space="0" w:color="auto"/>
        <w:left w:val="none" w:sz="0" w:space="0" w:color="auto"/>
        <w:bottom w:val="none" w:sz="0" w:space="0" w:color="auto"/>
        <w:right w:val="none" w:sz="0" w:space="0" w:color="auto"/>
      </w:divBdr>
    </w:div>
    <w:div w:id="1922174162">
      <w:marLeft w:val="0"/>
      <w:marRight w:val="0"/>
      <w:marTop w:val="0"/>
      <w:marBottom w:val="60"/>
      <w:divBdr>
        <w:top w:val="none" w:sz="0" w:space="0" w:color="auto"/>
        <w:left w:val="none" w:sz="0" w:space="0" w:color="auto"/>
        <w:bottom w:val="none" w:sz="0" w:space="0" w:color="auto"/>
        <w:right w:val="none" w:sz="0" w:space="0" w:color="auto"/>
      </w:divBdr>
    </w:div>
    <w:div w:id="1922174841">
      <w:marLeft w:val="0"/>
      <w:marRight w:val="0"/>
      <w:marTop w:val="0"/>
      <w:marBottom w:val="240"/>
      <w:divBdr>
        <w:top w:val="none" w:sz="0" w:space="0" w:color="auto"/>
        <w:left w:val="none" w:sz="0" w:space="0" w:color="auto"/>
        <w:bottom w:val="none" w:sz="0" w:space="0" w:color="auto"/>
        <w:right w:val="none" w:sz="0" w:space="0" w:color="auto"/>
      </w:divBdr>
    </w:div>
    <w:div w:id="1929263586">
      <w:marLeft w:val="0"/>
      <w:marRight w:val="0"/>
      <w:marTop w:val="0"/>
      <w:marBottom w:val="0"/>
      <w:divBdr>
        <w:top w:val="none" w:sz="0" w:space="0" w:color="auto"/>
        <w:left w:val="none" w:sz="0" w:space="0" w:color="auto"/>
        <w:bottom w:val="none" w:sz="0" w:space="0" w:color="auto"/>
        <w:right w:val="none" w:sz="0" w:space="0" w:color="auto"/>
      </w:divBdr>
      <w:divsChild>
        <w:div w:id="1255091329">
          <w:marLeft w:val="0"/>
          <w:marRight w:val="0"/>
          <w:marTop w:val="0"/>
          <w:marBottom w:val="0"/>
          <w:divBdr>
            <w:top w:val="none" w:sz="0" w:space="0" w:color="auto"/>
            <w:left w:val="none" w:sz="0" w:space="0" w:color="auto"/>
            <w:bottom w:val="none" w:sz="0" w:space="0" w:color="auto"/>
            <w:right w:val="none" w:sz="0" w:space="0" w:color="auto"/>
          </w:divBdr>
        </w:div>
      </w:divsChild>
    </w:div>
    <w:div w:id="1929344418">
      <w:marLeft w:val="0"/>
      <w:marRight w:val="0"/>
      <w:marTop w:val="0"/>
      <w:marBottom w:val="0"/>
      <w:divBdr>
        <w:top w:val="none" w:sz="0" w:space="0" w:color="auto"/>
        <w:left w:val="none" w:sz="0" w:space="0" w:color="auto"/>
        <w:bottom w:val="none" w:sz="0" w:space="0" w:color="auto"/>
        <w:right w:val="none" w:sz="0" w:space="0" w:color="auto"/>
      </w:divBdr>
      <w:divsChild>
        <w:div w:id="1304386519">
          <w:marLeft w:val="0"/>
          <w:marRight w:val="0"/>
          <w:marTop w:val="0"/>
          <w:marBottom w:val="0"/>
          <w:divBdr>
            <w:top w:val="none" w:sz="0" w:space="0" w:color="auto"/>
            <w:left w:val="none" w:sz="0" w:space="0" w:color="auto"/>
            <w:bottom w:val="none" w:sz="0" w:space="0" w:color="auto"/>
            <w:right w:val="none" w:sz="0" w:space="0" w:color="auto"/>
          </w:divBdr>
        </w:div>
      </w:divsChild>
    </w:div>
    <w:div w:id="1932928958">
      <w:marLeft w:val="0"/>
      <w:marRight w:val="0"/>
      <w:marTop w:val="0"/>
      <w:marBottom w:val="180"/>
      <w:divBdr>
        <w:top w:val="none" w:sz="0" w:space="0" w:color="auto"/>
        <w:left w:val="none" w:sz="0" w:space="0" w:color="auto"/>
        <w:bottom w:val="none" w:sz="0" w:space="0" w:color="auto"/>
        <w:right w:val="none" w:sz="0" w:space="0" w:color="auto"/>
      </w:divBdr>
    </w:div>
    <w:div w:id="1933246782">
      <w:marLeft w:val="0"/>
      <w:marRight w:val="0"/>
      <w:marTop w:val="0"/>
      <w:marBottom w:val="0"/>
      <w:divBdr>
        <w:top w:val="none" w:sz="0" w:space="0" w:color="auto"/>
        <w:left w:val="none" w:sz="0" w:space="0" w:color="auto"/>
        <w:bottom w:val="none" w:sz="0" w:space="0" w:color="auto"/>
        <w:right w:val="none" w:sz="0" w:space="0" w:color="auto"/>
      </w:divBdr>
    </w:div>
    <w:div w:id="1933275026">
      <w:marLeft w:val="0"/>
      <w:marRight w:val="0"/>
      <w:marTop w:val="120"/>
      <w:marBottom w:val="120"/>
      <w:divBdr>
        <w:top w:val="none" w:sz="0" w:space="0" w:color="auto"/>
        <w:left w:val="none" w:sz="0" w:space="0" w:color="auto"/>
        <w:bottom w:val="none" w:sz="0" w:space="0" w:color="auto"/>
        <w:right w:val="none" w:sz="0" w:space="0" w:color="auto"/>
      </w:divBdr>
    </w:div>
    <w:div w:id="1934974486">
      <w:marLeft w:val="0"/>
      <w:marRight w:val="0"/>
      <w:marTop w:val="0"/>
      <w:marBottom w:val="240"/>
      <w:divBdr>
        <w:top w:val="none" w:sz="0" w:space="0" w:color="auto"/>
        <w:left w:val="none" w:sz="0" w:space="0" w:color="auto"/>
        <w:bottom w:val="none" w:sz="0" w:space="0" w:color="auto"/>
        <w:right w:val="none" w:sz="0" w:space="0" w:color="auto"/>
      </w:divBdr>
    </w:div>
    <w:div w:id="1935048122">
      <w:marLeft w:val="0"/>
      <w:marRight w:val="0"/>
      <w:marTop w:val="0"/>
      <w:marBottom w:val="0"/>
      <w:divBdr>
        <w:top w:val="none" w:sz="0" w:space="0" w:color="auto"/>
        <w:left w:val="none" w:sz="0" w:space="0" w:color="auto"/>
        <w:bottom w:val="none" w:sz="0" w:space="0" w:color="auto"/>
        <w:right w:val="none" w:sz="0" w:space="0" w:color="auto"/>
      </w:divBdr>
    </w:div>
    <w:div w:id="1936788509">
      <w:marLeft w:val="0"/>
      <w:marRight w:val="0"/>
      <w:marTop w:val="0"/>
      <w:marBottom w:val="240"/>
      <w:divBdr>
        <w:top w:val="none" w:sz="0" w:space="0" w:color="auto"/>
        <w:left w:val="none" w:sz="0" w:space="0" w:color="auto"/>
        <w:bottom w:val="none" w:sz="0" w:space="0" w:color="auto"/>
        <w:right w:val="none" w:sz="0" w:space="0" w:color="auto"/>
      </w:divBdr>
    </w:div>
    <w:div w:id="1938250465">
      <w:marLeft w:val="0"/>
      <w:marRight w:val="0"/>
      <w:marTop w:val="0"/>
      <w:marBottom w:val="0"/>
      <w:divBdr>
        <w:top w:val="none" w:sz="0" w:space="0" w:color="auto"/>
        <w:left w:val="none" w:sz="0" w:space="0" w:color="auto"/>
        <w:bottom w:val="none" w:sz="0" w:space="0" w:color="auto"/>
        <w:right w:val="none" w:sz="0" w:space="0" w:color="auto"/>
      </w:divBdr>
    </w:div>
    <w:div w:id="1940522858">
      <w:marLeft w:val="0"/>
      <w:marRight w:val="0"/>
      <w:marTop w:val="0"/>
      <w:marBottom w:val="0"/>
      <w:divBdr>
        <w:top w:val="none" w:sz="0" w:space="0" w:color="auto"/>
        <w:left w:val="none" w:sz="0" w:space="0" w:color="auto"/>
        <w:bottom w:val="none" w:sz="0" w:space="0" w:color="auto"/>
        <w:right w:val="none" w:sz="0" w:space="0" w:color="auto"/>
      </w:divBdr>
    </w:div>
    <w:div w:id="1940942704">
      <w:marLeft w:val="0"/>
      <w:marRight w:val="0"/>
      <w:marTop w:val="0"/>
      <w:marBottom w:val="240"/>
      <w:divBdr>
        <w:top w:val="none" w:sz="0" w:space="0" w:color="auto"/>
        <w:left w:val="none" w:sz="0" w:space="0" w:color="auto"/>
        <w:bottom w:val="none" w:sz="0" w:space="0" w:color="auto"/>
        <w:right w:val="none" w:sz="0" w:space="0" w:color="auto"/>
      </w:divBdr>
    </w:div>
    <w:div w:id="1941066645">
      <w:marLeft w:val="0"/>
      <w:marRight w:val="0"/>
      <w:marTop w:val="120"/>
      <w:marBottom w:val="240"/>
      <w:divBdr>
        <w:top w:val="none" w:sz="0" w:space="0" w:color="auto"/>
        <w:left w:val="none" w:sz="0" w:space="0" w:color="auto"/>
        <w:bottom w:val="none" w:sz="0" w:space="0" w:color="auto"/>
        <w:right w:val="none" w:sz="0" w:space="0" w:color="auto"/>
      </w:divBdr>
    </w:div>
    <w:div w:id="1941447124">
      <w:marLeft w:val="0"/>
      <w:marRight w:val="0"/>
      <w:marTop w:val="120"/>
      <w:marBottom w:val="120"/>
      <w:divBdr>
        <w:top w:val="none" w:sz="0" w:space="0" w:color="auto"/>
        <w:left w:val="none" w:sz="0" w:space="0" w:color="auto"/>
        <w:bottom w:val="none" w:sz="0" w:space="0" w:color="auto"/>
        <w:right w:val="none" w:sz="0" w:space="0" w:color="auto"/>
      </w:divBdr>
    </w:div>
    <w:div w:id="1942031272">
      <w:marLeft w:val="0"/>
      <w:marRight w:val="0"/>
      <w:marTop w:val="0"/>
      <w:marBottom w:val="180"/>
      <w:divBdr>
        <w:top w:val="none" w:sz="0" w:space="0" w:color="auto"/>
        <w:left w:val="none" w:sz="0" w:space="0" w:color="auto"/>
        <w:bottom w:val="none" w:sz="0" w:space="0" w:color="auto"/>
        <w:right w:val="none" w:sz="0" w:space="0" w:color="auto"/>
      </w:divBdr>
    </w:div>
    <w:div w:id="1942294802">
      <w:marLeft w:val="0"/>
      <w:marRight w:val="0"/>
      <w:marTop w:val="0"/>
      <w:marBottom w:val="0"/>
      <w:divBdr>
        <w:top w:val="none" w:sz="0" w:space="0" w:color="auto"/>
        <w:left w:val="none" w:sz="0" w:space="0" w:color="auto"/>
        <w:bottom w:val="none" w:sz="0" w:space="0" w:color="auto"/>
        <w:right w:val="none" w:sz="0" w:space="0" w:color="auto"/>
      </w:divBdr>
    </w:div>
    <w:div w:id="1945652214">
      <w:marLeft w:val="0"/>
      <w:marRight w:val="0"/>
      <w:marTop w:val="120"/>
      <w:marBottom w:val="120"/>
      <w:divBdr>
        <w:top w:val="none" w:sz="0" w:space="0" w:color="auto"/>
        <w:left w:val="none" w:sz="0" w:space="0" w:color="auto"/>
        <w:bottom w:val="none" w:sz="0" w:space="0" w:color="auto"/>
        <w:right w:val="none" w:sz="0" w:space="0" w:color="auto"/>
      </w:divBdr>
    </w:div>
    <w:div w:id="1946420088">
      <w:marLeft w:val="0"/>
      <w:marRight w:val="0"/>
      <w:marTop w:val="0"/>
      <w:marBottom w:val="180"/>
      <w:divBdr>
        <w:top w:val="none" w:sz="0" w:space="0" w:color="auto"/>
        <w:left w:val="none" w:sz="0" w:space="0" w:color="auto"/>
        <w:bottom w:val="none" w:sz="0" w:space="0" w:color="auto"/>
        <w:right w:val="none" w:sz="0" w:space="0" w:color="auto"/>
      </w:divBdr>
    </w:div>
    <w:div w:id="1950354033">
      <w:marLeft w:val="0"/>
      <w:marRight w:val="0"/>
      <w:marTop w:val="0"/>
      <w:marBottom w:val="180"/>
      <w:divBdr>
        <w:top w:val="none" w:sz="0" w:space="0" w:color="auto"/>
        <w:left w:val="none" w:sz="0" w:space="0" w:color="auto"/>
        <w:bottom w:val="none" w:sz="0" w:space="0" w:color="auto"/>
        <w:right w:val="none" w:sz="0" w:space="0" w:color="auto"/>
      </w:divBdr>
    </w:div>
    <w:div w:id="1954090044">
      <w:marLeft w:val="0"/>
      <w:marRight w:val="0"/>
      <w:marTop w:val="120"/>
      <w:marBottom w:val="120"/>
      <w:divBdr>
        <w:top w:val="none" w:sz="0" w:space="0" w:color="auto"/>
        <w:left w:val="none" w:sz="0" w:space="0" w:color="auto"/>
        <w:bottom w:val="none" w:sz="0" w:space="0" w:color="auto"/>
        <w:right w:val="none" w:sz="0" w:space="0" w:color="auto"/>
      </w:divBdr>
    </w:div>
    <w:div w:id="1955747696">
      <w:marLeft w:val="0"/>
      <w:marRight w:val="0"/>
      <w:marTop w:val="0"/>
      <w:marBottom w:val="180"/>
      <w:divBdr>
        <w:top w:val="none" w:sz="0" w:space="0" w:color="auto"/>
        <w:left w:val="none" w:sz="0" w:space="0" w:color="auto"/>
        <w:bottom w:val="none" w:sz="0" w:space="0" w:color="auto"/>
        <w:right w:val="none" w:sz="0" w:space="0" w:color="auto"/>
      </w:divBdr>
    </w:div>
    <w:div w:id="1956328152">
      <w:marLeft w:val="0"/>
      <w:marRight w:val="0"/>
      <w:marTop w:val="0"/>
      <w:marBottom w:val="0"/>
      <w:divBdr>
        <w:top w:val="none" w:sz="0" w:space="0" w:color="auto"/>
        <w:left w:val="none" w:sz="0" w:space="0" w:color="auto"/>
        <w:bottom w:val="none" w:sz="0" w:space="0" w:color="auto"/>
        <w:right w:val="none" w:sz="0" w:space="0" w:color="auto"/>
      </w:divBdr>
    </w:div>
    <w:div w:id="1957910421">
      <w:marLeft w:val="0"/>
      <w:marRight w:val="0"/>
      <w:marTop w:val="0"/>
      <w:marBottom w:val="240"/>
      <w:divBdr>
        <w:top w:val="none" w:sz="0" w:space="0" w:color="auto"/>
        <w:left w:val="none" w:sz="0" w:space="0" w:color="auto"/>
        <w:bottom w:val="none" w:sz="0" w:space="0" w:color="auto"/>
        <w:right w:val="none" w:sz="0" w:space="0" w:color="auto"/>
      </w:divBdr>
    </w:div>
    <w:div w:id="1958951810">
      <w:marLeft w:val="0"/>
      <w:marRight w:val="0"/>
      <w:marTop w:val="0"/>
      <w:marBottom w:val="0"/>
      <w:divBdr>
        <w:top w:val="none" w:sz="0" w:space="0" w:color="auto"/>
        <w:left w:val="none" w:sz="0" w:space="0" w:color="auto"/>
        <w:bottom w:val="none" w:sz="0" w:space="0" w:color="auto"/>
        <w:right w:val="none" w:sz="0" w:space="0" w:color="auto"/>
      </w:divBdr>
      <w:divsChild>
        <w:div w:id="1240020157">
          <w:marLeft w:val="0"/>
          <w:marRight w:val="0"/>
          <w:marTop w:val="0"/>
          <w:marBottom w:val="0"/>
          <w:divBdr>
            <w:top w:val="none" w:sz="0" w:space="0" w:color="auto"/>
            <w:left w:val="none" w:sz="0" w:space="0" w:color="auto"/>
            <w:bottom w:val="none" w:sz="0" w:space="0" w:color="auto"/>
            <w:right w:val="none" w:sz="0" w:space="0" w:color="auto"/>
          </w:divBdr>
        </w:div>
        <w:div w:id="1387215352">
          <w:marLeft w:val="0"/>
          <w:marRight w:val="0"/>
          <w:marTop w:val="0"/>
          <w:marBottom w:val="0"/>
          <w:divBdr>
            <w:top w:val="none" w:sz="0" w:space="0" w:color="auto"/>
            <w:left w:val="none" w:sz="0" w:space="0" w:color="auto"/>
            <w:bottom w:val="none" w:sz="0" w:space="0" w:color="auto"/>
            <w:right w:val="none" w:sz="0" w:space="0" w:color="auto"/>
          </w:divBdr>
        </w:div>
      </w:divsChild>
    </w:div>
    <w:div w:id="1959098818">
      <w:marLeft w:val="0"/>
      <w:marRight w:val="0"/>
      <w:marTop w:val="0"/>
      <w:marBottom w:val="0"/>
      <w:divBdr>
        <w:top w:val="none" w:sz="0" w:space="0" w:color="auto"/>
        <w:left w:val="none" w:sz="0" w:space="0" w:color="auto"/>
        <w:bottom w:val="none" w:sz="0" w:space="0" w:color="auto"/>
        <w:right w:val="none" w:sz="0" w:space="0" w:color="auto"/>
      </w:divBdr>
    </w:div>
    <w:div w:id="1959289287">
      <w:marLeft w:val="0"/>
      <w:marRight w:val="0"/>
      <w:marTop w:val="0"/>
      <w:marBottom w:val="240"/>
      <w:divBdr>
        <w:top w:val="none" w:sz="0" w:space="0" w:color="auto"/>
        <w:left w:val="none" w:sz="0" w:space="0" w:color="auto"/>
        <w:bottom w:val="none" w:sz="0" w:space="0" w:color="auto"/>
        <w:right w:val="none" w:sz="0" w:space="0" w:color="auto"/>
      </w:divBdr>
    </w:div>
    <w:div w:id="1960717329">
      <w:marLeft w:val="0"/>
      <w:marRight w:val="0"/>
      <w:marTop w:val="240"/>
      <w:marBottom w:val="240"/>
      <w:divBdr>
        <w:top w:val="none" w:sz="0" w:space="0" w:color="auto"/>
        <w:left w:val="none" w:sz="0" w:space="0" w:color="auto"/>
        <w:bottom w:val="none" w:sz="0" w:space="0" w:color="auto"/>
        <w:right w:val="none" w:sz="0" w:space="0" w:color="auto"/>
      </w:divBdr>
    </w:div>
    <w:div w:id="1960990635">
      <w:marLeft w:val="0"/>
      <w:marRight w:val="0"/>
      <w:marTop w:val="0"/>
      <w:marBottom w:val="0"/>
      <w:divBdr>
        <w:top w:val="none" w:sz="0" w:space="0" w:color="auto"/>
        <w:left w:val="none" w:sz="0" w:space="0" w:color="auto"/>
        <w:bottom w:val="none" w:sz="0" w:space="0" w:color="auto"/>
        <w:right w:val="none" w:sz="0" w:space="0" w:color="auto"/>
      </w:divBdr>
    </w:div>
    <w:div w:id="1961761889">
      <w:marLeft w:val="0"/>
      <w:marRight w:val="0"/>
      <w:marTop w:val="0"/>
      <w:marBottom w:val="0"/>
      <w:divBdr>
        <w:top w:val="none" w:sz="0" w:space="0" w:color="auto"/>
        <w:left w:val="none" w:sz="0" w:space="0" w:color="auto"/>
        <w:bottom w:val="none" w:sz="0" w:space="0" w:color="auto"/>
        <w:right w:val="none" w:sz="0" w:space="0" w:color="auto"/>
      </w:divBdr>
      <w:divsChild>
        <w:div w:id="1580090049">
          <w:marLeft w:val="0"/>
          <w:marRight w:val="0"/>
          <w:marTop w:val="0"/>
          <w:marBottom w:val="0"/>
          <w:divBdr>
            <w:top w:val="none" w:sz="0" w:space="0" w:color="auto"/>
            <w:left w:val="none" w:sz="0" w:space="0" w:color="auto"/>
            <w:bottom w:val="none" w:sz="0" w:space="0" w:color="auto"/>
            <w:right w:val="none" w:sz="0" w:space="0" w:color="auto"/>
          </w:divBdr>
        </w:div>
      </w:divsChild>
    </w:div>
    <w:div w:id="1963993335">
      <w:marLeft w:val="0"/>
      <w:marRight w:val="0"/>
      <w:marTop w:val="0"/>
      <w:marBottom w:val="180"/>
      <w:divBdr>
        <w:top w:val="none" w:sz="0" w:space="0" w:color="auto"/>
        <w:left w:val="none" w:sz="0" w:space="0" w:color="auto"/>
        <w:bottom w:val="none" w:sz="0" w:space="0" w:color="auto"/>
        <w:right w:val="none" w:sz="0" w:space="0" w:color="auto"/>
      </w:divBdr>
    </w:div>
    <w:div w:id="1965499754">
      <w:marLeft w:val="0"/>
      <w:marRight w:val="0"/>
      <w:marTop w:val="0"/>
      <w:marBottom w:val="0"/>
      <w:divBdr>
        <w:top w:val="none" w:sz="0" w:space="0" w:color="auto"/>
        <w:left w:val="none" w:sz="0" w:space="0" w:color="auto"/>
        <w:bottom w:val="none" w:sz="0" w:space="0" w:color="auto"/>
        <w:right w:val="none" w:sz="0" w:space="0" w:color="auto"/>
      </w:divBdr>
    </w:div>
    <w:div w:id="1965694392">
      <w:marLeft w:val="0"/>
      <w:marRight w:val="0"/>
      <w:marTop w:val="0"/>
      <w:marBottom w:val="240"/>
      <w:divBdr>
        <w:top w:val="none" w:sz="0" w:space="0" w:color="auto"/>
        <w:left w:val="none" w:sz="0" w:space="0" w:color="auto"/>
        <w:bottom w:val="none" w:sz="0" w:space="0" w:color="auto"/>
        <w:right w:val="none" w:sz="0" w:space="0" w:color="auto"/>
      </w:divBdr>
    </w:div>
    <w:div w:id="1967200719">
      <w:marLeft w:val="0"/>
      <w:marRight w:val="0"/>
      <w:marTop w:val="0"/>
      <w:marBottom w:val="240"/>
      <w:divBdr>
        <w:top w:val="none" w:sz="0" w:space="0" w:color="auto"/>
        <w:left w:val="none" w:sz="0" w:space="0" w:color="auto"/>
        <w:bottom w:val="none" w:sz="0" w:space="0" w:color="auto"/>
        <w:right w:val="none" w:sz="0" w:space="0" w:color="auto"/>
      </w:divBdr>
    </w:div>
    <w:div w:id="1968663624">
      <w:marLeft w:val="0"/>
      <w:marRight w:val="0"/>
      <w:marTop w:val="0"/>
      <w:marBottom w:val="180"/>
      <w:divBdr>
        <w:top w:val="none" w:sz="0" w:space="0" w:color="auto"/>
        <w:left w:val="none" w:sz="0" w:space="0" w:color="auto"/>
        <w:bottom w:val="none" w:sz="0" w:space="0" w:color="auto"/>
        <w:right w:val="none" w:sz="0" w:space="0" w:color="auto"/>
      </w:divBdr>
    </w:div>
    <w:div w:id="1969504661">
      <w:marLeft w:val="0"/>
      <w:marRight w:val="0"/>
      <w:marTop w:val="0"/>
      <w:marBottom w:val="240"/>
      <w:divBdr>
        <w:top w:val="none" w:sz="0" w:space="0" w:color="auto"/>
        <w:left w:val="none" w:sz="0" w:space="0" w:color="auto"/>
        <w:bottom w:val="none" w:sz="0" w:space="0" w:color="auto"/>
        <w:right w:val="none" w:sz="0" w:space="0" w:color="auto"/>
      </w:divBdr>
    </w:div>
    <w:div w:id="1971082956">
      <w:marLeft w:val="0"/>
      <w:marRight w:val="0"/>
      <w:marTop w:val="0"/>
      <w:marBottom w:val="0"/>
      <w:divBdr>
        <w:top w:val="none" w:sz="0" w:space="0" w:color="auto"/>
        <w:left w:val="none" w:sz="0" w:space="0" w:color="auto"/>
        <w:bottom w:val="none" w:sz="0" w:space="0" w:color="auto"/>
        <w:right w:val="none" w:sz="0" w:space="0" w:color="auto"/>
      </w:divBdr>
      <w:divsChild>
        <w:div w:id="1705254940">
          <w:marLeft w:val="0"/>
          <w:marRight w:val="0"/>
          <w:marTop w:val="0"/>
          <w:marBottom w:val="0"/>
          <w:divBdr>
            <w:top w:val="none" w:sz="0" w:space="0" w:color="auto"/>
            <w:left w:val="none" w:sz="0" w:space="0" w:color="auto"/>
            <w:bottom w:val="none" w:sz="0" w:space="0" w:color="auto"/>
            <w:right w:val="none" w:sz="0" w:space="0" w:color="auto"/>
          </w:divBdr>
        </w:div>
        <w:div w:id="1690326517">
          <w:marLeft w:val="0"/>
          <w:marRight w:val="0"/>
          <w:marTop w:val="0"/>
          <w:marBottom w:val="0"/>
          <w:divBdr>
            <w:top w:val="none" w:sz="0" w:space="0" w:color="auto"/>
            <w:left w:val="none" w:sz="0" w:space="0" w:color="auto"/>
            <w:bottom w:val="none" w:sz="0" w:space="0" w:color="auto"/>
            <w:right w:val="none" w:sz="0" w:space="0" w:color="auto"/>
          </w:divBdr>
        </w:div>
        <w:div w:id="731008503">
          <w:marLeft w:val="0"/>
          <w:marRight w:val="0"/>
          <w:marTop w:val="0"/>
          <w:marBottom w:val="0"/>
          <w:divBdr>
            <w:top w:val="none" w:sz="0" w:space="0" w:color="auto"/>
            <w:left w:val="none" w:sz="0" w:space="0" w:color="auto"/>
            <w:bottom w:val="none" w:sz="0" w:space="0" w:color="auto"/>
            <w:right w:val="none" w:sz="0" w:space="0" w:color="auto"/>
          </w:divBdr>
        </w:div>
        <w:div w:id="451093536">
          <w:marLeft w:val="0"/>
          <w:marRight w:val="0"/>
          <w:marTop w:val="0"/>
          <w:marBottom w:val="0"/>
          <w:divBdr>
            <w:top w:val="none" w:sz="0" w:space="0" w:color="auto"/>
            <w:left w:val="none" w:sz="0" w:space="0" w:color="auto"/>
            <w:bottom w:val="none" w:sz="0" w:space="0" w:color="auto"/>
            <w:right w:val="none" w:sz="0" w:space="0" w:color="auto"/>
          </w:divBdr>
        </w:div>
      </w:divsChild>
    </w:div>
    <w:div w:id="1973095331">
      <w:marLeft w:val="0"/>
      <w:marRight w:val="0"/>
      <w:marTop w:val="0"/>
      <w:marBottom w:val="240"/>
      <w:divBdr>
        <w:top w:val="none" w:sz="0" w:space="0" w:color="auto"/>
        <w:left w:val="none" w:sz="0" w:space="0" w:color="auto"/>
        <w:bottom w:val="none" w:sz="0" w:space="0" w:color="auto"/>
        <w:right w:val="none" w:sz="0" w:space="0" w:color="auto"/>
      </w:divBdr>
    </w:div>
    <w:div w:id="1973247577">
      <w:marLeft w:val="0"/>
      <w:marRight w:val="0"/>
      <w:marTop w:val="180"/>
      <w:marBottom w:val="180"/>
      <w:divBdr>
        <w:top w:val="none" w:sz="0" w:space="0" w:color="auto"/>
        <w:left w:val="none" w:sz="0" w:space="0" w:color="auto"/>
        <w:bottom w:val="none" w:sz="0" w:space="0" w:color="auto"/>
        <w:right w:val="none" w:sz="0" w:space="0" w:color="auto"/>
      </w:divBdr>
    </w:div>
    <w:div w:id="1978022340">
      <w:marLeft w:val="0"/>
      <w:marRight w:val="0"/>
      <w:marTop w:val="0"/>
      <w:marBottom w:val="180"/>
      <w:divBdr>
        <w:top w:val="none" w:sz="0" w:space="0" w:color="auto"/>
        <w:left w:val="none" w:sz="0" w:space="0" w:color="auto"/>
        <w:bottom w:val="none" w:sz="0" w:space="0" w:color="auto"/>
        <w:right w:val="none" w:sz="0" w:space="0" w:color="auto"/>
      </w:divBdr>
    </w:div>
    <w:div w:id="1980257027">
      <w:marLeft w:val="0"/>
      <w:marRight w:val="0"/>
      <w:marTop w:val="0"/>
      <w:marBottom w:val="240"/>
      <w:divBdr>
        <w:top w:val="none" w:sz="0" w:space="0" w:color="auto"/>
        <w:left w:val="none" w:sz="0" w:space="0" w:color="auto"/>
        <w:bottom w:val="none" w:sz="0" w:space="0" w:color="auto"/>
        <w:right w:val="none" w:sz="0" w:space="0" w:color="auto"/>
      </w:divBdr>
    </w:div>
    <w:div w:id="1980259213">
      <w:marLeft w:val="0"/>
      <w:marRight w:val="0"/>
      <w:marTop w:val="120"/>
      <w:marBottom w:val="120"/>
      <w:divBdr>
        <w:top w:val="none" w:sz="0" w:space="0" w:color="auto"/>
        <w:left w:val="none" w:sz="0" w:space="0" w:color="auto"/>
        <w:bottom w:val="none" w:sz="0" w:space="0" w:color="auto"/>
        <w:right w:val="none" w:sz="0" w:space="0" w:color="auto"/>
      </w:divBdr>
    </w:div>
    <w:div w:id="1980570471">
      <w:marLeft w:val="0"/>
      <w:marRight w:val="0"/>
      <w:marTop w:val="0"/>
      <w:marBottom w:val="0"/>
      <w:divBdr>
        <w:top w:val="none" w:sz="0" w:space="0" w:color="auto"/>
        <w:left w:val="none" w:sz="0" w:space="0" w:color="auto"/>
        <w:bottom w:val="none" w:sz="0" w:space="0" w:color="auto"/>
        <w:right w:val="none" w:sz="0" w:space="0" w:color="auto"/>
      </w:divBdr>
      <w:divsChild>
        <w:div w:id="1996374924">
          <w:marLeft w:val="0"/>
          <w:marRight w:val="0"/>
          <w:marTop w:val="0"/>
          <w:marBottom w:val="0"/>
          <w:divBdr>
            <w:top w:val="none" w:sz="0" w:space="0" w:color="auto"/>
            <w:left w:val="none" w:sz="0" w:space="0" w:color="auto"/>
            <w:bottom w:val="none" w:sz="0" w:space="0" w:color="auto"/>
            <w:right w:val="none" w:sz="0" w:space="0" w:color="auto"/>
          </w:divBdr>
        </w:div>
      </w:divsChild>
    </w:div>
    <w:div w:id="1982729472">
      <w:marLeft w:val="0"/>
      <w:marRight w:val="0"/>
      <w:marTop w:val="120"/>
      <w:marBottom w:val="180"/>
      <w:divBdr>
        <w:top w:val="none" w:sz="0" w:space="0" w:color="auto"/>
        <w:left w:val="none" w:sz="0" w:space="0" w:color="auto"/>
        <w:bottom w:val="none" w:sz="0" w:space="0" w:color="auto"/>
        <w:right w:val="none" w:sz="0" w:space="0" w:color="auto"/>
      </w:divBdr>
    </w:div>
    <w:div w:id="1984919342">
      <w:marLeft w:val="0"/>
      <w:marRight w:val="0"/>
      <w:marTop w:val="0"/>
      <w:marBottom w:val="240"/>
      <w:divBdr>
        <w:top w:val="none" w:sz="0" w:space="0" w:color="auto"/>
        <w:left w:val="none" w:sz="0" w:space="0" w:color="auto"/>
        <w:bottom w:val="none" w:sz="0" w:space="0" w:color="auto"/>
        <w:right w:val="none" w:sz="0" w:space="0" w:color="auto"/>
      </w:divBdr>
    </w:div>
    <w:div w:id="1985894003">
      <w:marLeft w:val="0"/>
      <w:marRight w:val="0"/>
      <w:marTop w:val="0"/>
      <w:marBottom w:val="0"/>
      <w:divBdr>
        <w:top w:val="none" w:sz="0" w:space="0" w:color="auto"/>
        <w:left w:val="none" w:sz="0" w:space="0" w:color="auto"/>
        <w:bottom w:val="none" w:sz="0" w:space="0" w:color="auto"/>
        <w:right w:val="none" w:sz="0" w:space="0" w:color="auto"/>
      </w:divBdr>
    </w:div>
    <w:div w:id="1986163187">
      <w:marLeft w:val="0"/>
      <w:marRight w:val="0"/>
      <w:marTop w:val="0"/>
      <w:marBottom w:val="180"/>
      <w:divBdr>
        <w:top w:val="none" w:sz="0" w:space="0" w:color="auto"/>
        <w:left w:val="none" w:sz="0" w:space="0" w:color="auto"/>
        <w:bottom w:val="none" w:sz="0" w:space="0" w:color="auto"/>
        <w:right w:val="none" w:sz="0" w:space="0" w:color="auto"/>
      </w:divBdr>
    </w:div>
    <w:div w:id="1986468291">
      <w:marLeft w:val="0"/>
      <w:marRight w:val="0"/>
      <w:marTop w:val="0"/>
      <w:marBottom w:val="240"/>
      <w:divBdr>
        <w:top w:val="none" w:sz="0" w:space="0" w:color="auto"/>
        <w:left w:val="none" w:sz="0" w:space="0" w:color="auto"/>
        <w:bottom w:val="none" w:sz="0" w:space="0" w:color="auto"/>
        <w:right w:val="none" w:sz="0" w:space="0" w:color="auto"/>
      </w:divBdr>
    </w:div>
    <w:div w:id="1987931241">
      <w:marLeft w:val="0"/>
      <w:marRight w:val="0"/>
      <w:marTop w:val="180"/>
      <w:marBottom w:val="180"/>
      <w:divBdr>
        <w:top w:val="none" w:sz="0" w:space="0" w:color="auto"/>
        <w:left w:val="none" w:sz="0" w:space="0" w:color="auto"/>
        <w:bottom w:val="none" w:sz="0" w:space="0" w:color="auto"/>
        <w:right w:val="none" w:sz="0" w:space="0" w:color="auto"/>
      </w:divBdr>
    </w:div>
    <w:div w:id="1988779448">
      <w:marLeft w:val="0"/>
      <w:marRight w:val="0"/>
      <w:marTop w:val="0"/>
      <w:marBottom w:val="0"/>
      <w:divBdr>
        <w:top w:val="none" w:sz="0" w:space="0" w:color="auto"/>
        <w:left w:val="none" w:sz="0" w:space="0" w:color="auto"/>
        <w:bottom w:val="none" w:sz="0" w:space="0" w:color="auto"/>
        <w:right w:val="none" w:sz="0" w:space="0" w:color="auto"/>
      </w:divBdr>
      <w:divsChild>
        <w:div w:id="1312171931">
          <w:marLeft w:val="0"/>
          <w:marRight w:val="0"/>
          <w:marTop w:val="0"/>
          <w:marBottom w:val="0"/>
          <w:divBdr>
            <w:top w:val="none" w:sz="0" w:space="0" w:color="auto"/>
            <w:left w:val="none" w:sz="0" w:space="0" w:color="auto"/>
            <w:bottom w:val="none" w:sz="0" w:space="0" w:color="auto"/>
            <w:right w:val="none" w:sz="0" w:space="0" w:color="auto"/>
          </w:divBdr>
        </w:div>
      </w:divsChild>
    </w:div>
    <w:div w:id="1989239420">
      <w:marLeft w:val="0"/>
      <w:marRight w:val="0"/>
      <w:marTop w:val="0"/>
      <w:marBottom w:val="180"/>
      <w:divBdr>
        <w:top w:val="none" w:sz="0" w:space="0" w:color="auto"/>
        <w:left w:val="none" w:sz="0" w:space="0" w:color="auto"/>
        <w:bottom w:val="none" w:sz="0" w:space="0" w:color="auto"/>
        <w:right w:val="none" w:sz="0" w:space="0" w:color="auto"/>
      </w:divBdr>
    </w:div>
    <w:div w:id="1990132122">
      <w:marLeft w:val="0"/>
      <w:marRight w:val="0"/>
      <w:marTop w:val="60"/>
      <w:marBottom w:val="180"/>
      <w:divBdr>
        <w:top w:val="none" w:sz="0" w:space="0" w:color="auto"/>
        <w:left w:val="none" w:sz="0" w:space="0" w:color="auto"/>
        <w:bottom w:val="none" w:sz="0" w:space="0" w:color="auto"/>
        <w:right w:val="none" w:sz="0" w:space="0" w:color="auto"/>
      </w:divBdr>
    </w:div>
    <w:div w:id="1990594996">
      <w:marLeft w:val="0"/>
      <w:marRight w:val="0"/>
      <w:marTop w:val="0"/>
      <w:marBottom w:val="0"/>
      <w:divBdr>
        <w:top w:val="none" w:sz="0" w:space="0" w:color="auto"/>
        <w:left w:val="none" w:sz="0" w:space="0" w:color="auto"/>
        <w:bottom w:val="none" w:sz="0" w:space="0" w:color="auto"/>
        <w:right w:val="none" w:sz="0" w:space="0" w:color="auto"/>
      </w:divBdr>
      <w:divsChild>
        <w:div w:id="4331098">
          <w:marLeft w:val="0"/>
          <w:marRight w:val="0"/>
          <w:marTop w:val="0"/>
          <w:marBottom w:val="0"/>
          <w:divBdr>
            <w:top w:val="none" w:sz="0" w:space="0" w:color="auto"/>
            <w:left w:val="none" w:sz="0" w:space="0" w:color="auto"/>
            <w:bottom w:val="none" w:sz="0" w:space="0" w:color="auto"/>
            <w:right w:val="none" w:sz="0" w:space="0" w:color="auto"/>
          </w:divBdr>
        </w:div>
      </w:divsChild>
    </w:div>
    <w:div w:id="1993364627">
      <w:marLeft w:val="0"/>
      <w:marRight w:val="0"/>
      <w:marTop w:val="180"/>
      <w:marBottom w:val="180"/>
      <w:divBdr>
        <w:top w:val="none" w:sz="0" w:space="0" w:color="auto"/>
        <w:left w:val="none" w:sz="0" w:space="0" w:color="auto"/>
        <w:bottom w:val="none" w:sz="0" w:space="0" w:color="auto"/>
        <w:right w:val="none" w:sz="0" w:space="0" w:color="auto"/>
      </w:divBdr>
    </w:div>
    <w:div w:id="1994795009">
      <w:marLeft w:val="0"/>
      <w:marRight w:val="0"/>
      <w:marTop w:val="0"/>
      <w:marBottom w:val="0"/>
      <w:divBdr>
        <w:top w:val="none" w:sz="0" w:space="0" w:color="auto"/>
        <w:left w:val="none" w:sz="0" w:space="0" w:color="auto"/>
        <w:bottom w:val="none" w:sz="0" w:space="0" w:color="auto"/>
        <w:right w:val="none" w:sz="0" w:space="0" w:color="auto"/>
      </w:divBdr>
    </w:div>
    <w:div w:id="1994944810">
      <w:marLeft w:val="0"/>
      <w:marRight w:val="0"/>
      <w:marTop w:val="120"/>
      <w:marBottom w:val="240"/>
      <w:divBdr>
        <w:top w:val="none" w:sz="0" w:space="0" w:color="auto"/>
        <w:left w:val="none" w:sz="0" w:space="0" w:color="auto"/>
        <w:bottom w:val="none" w:sz="0" w:space="0" w:color="auto"/>
        <w:right w:val="none" w:sz="0" w:space="0" w:color="auto"/>
      </w:divBdr>
    </w:div>
    <w:div w:id="1995910200">
      <w:marLeft w:val="0"/>
      <w:marRight w:val="0"/>
      <w:marTop w:val="100"/>
      <w:marBottom w:val="0"/>
      <w:divBdr>
        <w:top w:val="none" w:sz="0" w:space="0" w:color="auto"/>
        <w:left w:val="none" w:sz="0" w:space="0" w:color="auto"/>
        <w:bottom w:val="none" w:sz="0" w:space="0" w:color="auto"/>
        <w:right w:val="none" w:sz="0" w:space="0" w:color="auto"/>
      </w:divBdr>
      <w:divsChild>
        <w:div w:id="766997416">
          <w:marLeft w:val="0"/>
          <w:marRight w:val="0"/>
          <w:marTop w:val="0"/>
          <w:marBottom w:val="180"/>
          <w:divBdr>
            <w:top w:val="none" w:sz="0" w:space="0" w:color="auto"/>
            <w:left w:val="none" w:sz="0" w:space="0" w:color="auto"/>
            <w:bottom w:val="none" w:sz="0" w:space="0" w:color="auto"/>
            <w:right w:val="none" w:sz="0" w:space="0" w:color="auto"/>
          </w:divBdr>
        </w:div>
        <w:div w:id="703483458">
          <w:marLeft w:val="0"/>
          <w:marRight w:val="0"/>
          <w:marTop w:val="0"/>
          <w:marBottom w:val="180"/>
          <w:divBdr>
            <w:top w:val="none" w:sz="0" w:space="0" w:color="auto"/>
            <w:left w:val="none" w:sz="0" w:space="0" w:color="auto"/>
            <w:bottom w:val="none" w:sz="0" w:space="0" w:color="auto"/>
            <w:right w:val="none" w:sz="0" w:space="0" w:color="auto"/>
          </w:divBdr>
        </w:div>
        <w:div w:id="1339230721">
          <w:marLeft w:val="0"/>
          <w:marRight w:val="0"/>
          <w:marTop w:val="0"/>
          <w:marBottom w:val="180"/>
          <w:divBdr>
            <w:top w:val="none" w:sz="0" w:space="0" w:color="auto"/>
            <w:left w:val="none" w:sz="0" w:space="0" w:color="auto"/>
            <w:bottom w:val="none" w:sz="0" w:space="0" w:color="auto"/>
            <w:right w:val="none" w:sz="0" w:space="0" w:color="auto"/>
          </w:divBdr>
        </w:div>
        <w:div w:id="1310939925">
          <w:marLeft w:val="0"/>
          <w:marRight w:val="0"/>
          <w:marTop w:val="0"/>
          <w:marBottom w:val="180"/>
          <w:divBdr>
            <w:top w:val="none" w:sz="0" w:space="0" w:color="auto"/>
            <w:left w:val="none" w:sz="0" w:space="0" w:color="auto"/>
            <w:bottom w:val="none" w:sz="0" w:space="0" w:color="auto"/>
            <w:right w:val="none" w:sz="0" w:space="0" w:color="auto"/>
          </w:divBdr>
        </w:div>
        <w:div w:id="1359621541">
          <w:marLeft w:val="0"/>
          <w:marRight w:val="0"/>
          <w:marTop w:val="0"/>
          <w:marBottom w:val="180"/>
          <w:divBdr>
            <w:top w:val="none" w:sz="0" w:space="0" w:color="auto"/>
            <w:left w:val="none" w:sz="0" w:space="0" w:color="auto"/>
            <w:bottom w:val="none" w:sz="0" w:space="0" w:color="auto"/>
            <w:right w:val="none" w:sz="0" w:space="0" w:color="auto"/>
          </w:divBdr>
        </w:div>
      </w:divsChild>
    </w:div>
    <w:div w:id="1996952398">
      <w:marLeft w:val="0"/>
      <w:marRight w:val="0"/>
      <w:marTop w:val="0"/>
      <w:marBottom w:val="240"/>
      <w:divBdr>
        <w:top w:val="none" w:sz="0" w:space="0" w:color="auto"/>
        <w:left w:val="none" w:sz="0" w:space="0" w:color="auto"/>
        <w:bottom w:val="none" w:sz="0" w:space="0" w:color="auto"/>
        <w:right w:val="none" w:sz="0" w:space="0" w:color="auto"/>
      </w:divBdr>
    </w:div>
    <w:div w:id="1999268250">
      <w:marLeft w:val="0"/>
      <w:marRight w:val="0"/>
      <w:marTop w:val="0"/>
      <w:marBottom w:val="0"/>
      <w:divBdr>
        <w:top w:val="none" w:sz="0" w:space="0" w:color="auto"/>
        <w:left w:val="none" w:sz="0" w:space="0" w:color="auto"/>
        <w:bottom w:val="none" w:sz="0" w:space="0" w:color="auto"/>
        <w:right w:val="none" w:sz="0" w:space="0" w:color="auto"/>
      </w:divBdr>
    </w:div>
    <w:div w:id="2000695814">
      <w:marLeft w:val="0"/>
      <w:marRight w:val="0"/>
      <w:marTop w:val="60"/>
      <w:marBottom w:val="0"/>
      <w:divBdr>
        <w:top w:val="none" w:sz="0" w:space="0" w:color="auto"/>
        <w:left w:val="none" w:sz="0" w:space="0" w:color="auto"/>
        <w:bottom w:val="none" w:sz="0" w:space="0" w:color="auto"/>
        <w:right w:val="none" w:sz="0" w:space="0" w:color="auto"/>
      </w:divBdr>
    </w:div>
    <w:div w:id="2000767848">
      <w:marLeft w:val="0"/>
      <w:marRight w:val="0"/>
      <w:marTop w:val="0"/>
      <w:marBottom w:val="0"/>
      <w:divBdr>
        <w:top w:val="none" w:sz="0" w:space="0" w:color="auto"/>
        <w:left w:val="none" w:sz="0" w:space="0" w:color="auto"/>
        <w:bottom w:val="none" w:sz="0" w:space="0" w:color="auto"/>
        <w:right w:val="none" w:sz="0" w:space="0" w:color="auto"/>
      </w:divBdr>
      <w:divsChild>
        <w:div w:id="972516793">
          <w:marLeft w:val="0"/>
          <w:marRight w:val="0"/>
          <w:marTop w:val="0"/>
          <w:marBottom w:val="0"/>
          <w:divBdr>
            <w:top w:val="none" w:sz="0" w:space="0" w:color="auto"/>
            <w:left w:val="none" w:sz="0" w:space="0" w:color="auto"/>
            <w:bottom w:val="none" w:sz="0" w:space="0" w:color="auto"/>
            <w:right w:val="none" w:sz="0" w:space="0" w:color="auto"/>
          </w:divBdr>
        </w:div>
      </w:divsChild>
    </w:div>
    <w:div w:id="2002080596">
      <w:marLeft w:val="0"/>
      <w:marRight w:val="0"/>
      <w:marTop w:val="100"/>
      <w:marBottom w:val="120"/>
      <w:divBdr>
        <w:top w:val="none" w:sz="0" w:space="0" w:color="auto"/>
        <w:left w:val="none" w:sz="0" w:space="0" w:color="auto"/>
        <w:bottom w:val="none" w:sz="0" w:space="0" w:color="auto"/>
        <w:right w:val="none" w:sz="0" w:space="0" w:color="auto"/>
      </w:divBdr>
      <w:divsChild>
        <w:div w:id="1315527172">
          <w:marLeft w:val="0"/>
          <w:marRight w:val="0"/>
          <w:marTop w:val="0"/>
          <w:marBottom w:val="180"/>
          <w:divBdr>
            <w:top w:val="none" w:sz="0" w:space="0" w:color="auto"/>
            <w:left w:val="none" w:sz="0" w:space="0" w:color="auto"/>
            <w:bottom w:val="none" w:sz="0" w:space="0" w:color="auto"/>
            <w:right w:val="none" w:sz="0" w:space="0" w:color="auto"/>
          </w:divBdr>
        </w:div>
      </w:divsChild>
    </w:div>
    <w:div w:id="2003853289">
      <w:marLeft w:val="0"/>
      <w:marRight w:val="0"/>
      <w:marTop w:val="0"/>
      <w:marBottom w:val="0"/>
      <w:divBdr>
        <w:top w:val="none" w:sz="0" w:space="0" w:color="auto"/>
        <w:left w:val="none" w:sz="0" w:space="0" w:color="auto"/>
        <w:bottom w:val="none" w:sz="0" w:space="0" w:color="auto"/>
        <w:right w:val="none" w:sz="0" w:space="0" w:color="auto"/>
      </w:divBdr>
      <w:divsChild>
        <w:div w:id="2146655462">
          <w:marLeft w:val="0"/>
          <w:marRight w:val="0"/>
          <w:marTop w:val="0"/>
          <w:marBottom w:val="0"/>
          <w:divBdr>
            <w:top w:val="none" w:sz="0" w:space="0" w:color="auto"/>
            <w:left w:val="none" w:sz="0" w:space="0" w:color="auto"/>
            <w:bottom w:val="none" w:sz="0" w:space="0" w:color="auto"/>
            <w:right w:val="none" w:sz="0" w:space="0" w:color="auto"/>
          </w:divBdr>
          <w:divsChild>
            <w:div w:id="565920534">
              <w:marLeft w:val="0"/>
              <w:marRight w:val="0"/>
              <w:marTop w:val="120"/>
              <w:marBottom w:val="120"/>
              <w:divBdr>
                <w:top w:val="none" w:sz="0" w:space="0" w:color="auto"/>
                <w:left w:val="none" w:sz="0" w:space="0" w:color="auto"/>
                <w:bottom w:val="none" w:sz="0" w:space="0" w:color="auto"/>
                <w:right w:val="none" w:sz="0" w:space="0" w:color="auto"/>
              </w:divBdr>
            </w:div>
            <w:div w:id="1091049969">
              <w:marLeft w:val="0"/>
              <w:marRight w:val="0"/>
              <w:marTop w:val="0"/>
              <w:marBottom w:val="60"/>
              <w:divBdr>
                <w:top w:val="none" w:sz="0" w:space="0" w:color="auto"/>
                <w:left w:val="none" w:sz="0" w:space="0" w:color="auto"/>
                <w:bottom w:val="none" w:sz="0" w:space="0" w:color="auto"/>
                <w:right w:val="none" w:sz="0" w:space="0" w:color="auto"/>
              </w:divBdr>
            </w:div>
            <w:div w:id="1293905302">
              <w:marLeft w:val="0"/>
              <w:marRight w:val="0"/>
              <w:marTop w:val="0"/>
              <w:marBottom w:val="60"/>
              <w:divBdr>
                <w:top w:val="none" w:sz="0" w:space="0" w:color="auto"/>
                <w:left w:val="none" w:sz="0" w:space="0" w:color="auto"/>
                <w:bottom w:val="none" w:sz="0" w:space="0" w:color="auto"/>
                <w:right w:val="none" w:sz="0" w:space="0" w:color="auto"/>
              </w:divBdr>
            </w:div>
            <w:div w:id="898901919">
              <w:marLeft w:val="0"/>
              <w:marRight w:val="0"/>
              <w:marTop w:val="0"/>
              <w:marBottom w:val="60"/>
              <w:divBdr>
                <w:top w:val="none" w:sz="0" w:space="0" w:color="auto"/>
                <w:left w:val="none" w:sz="0" w:space="0" w:color="auto"/>
                <w:bottom w:val="none" w:sz="0" w:space="0" w:color="auto"/>
                <w:right w:val="none" w:sz="0" w:space="0" w:color="auto"/>
              </w:divBdr>
            </w:div>
            <w:div w:id="516309479">
              <w:marLeft w:val="0"/>
              <w:marRight w:val="0"/>
              <w:marTop w:val="0"/>
              <w:marBottom w:val="60"/>
              <w:divBdr>
                <w:top w:val="none" w:sz="0" w:space="0" w:color="auto"/>
                <w:left w:val="none" w:sz="0" w:space="0" w:color="auto"/>
                <w:bottom w:val="none" w:sz="0" w:space="0" w:color="auto"/>
                <w:right w:val="none" w:sz="0" w:space="0" w:color="auto"/>
              </w:divBdr>
            </w:div>
            <w:div w:id="1302342949">
              <w:marLeft w:val="0"/>
              <w:marRight w:val="0"/>
              <w:marTop w:val="0"/>
              <w:marBottom w:val="60"/>
              <w:divBdr>
                <w:top w:val="none" w:sz="0" w:space="0" w:color="auto"/>
                <w:left w:val="none" w:sz="0" w:space="0" w:color="auto"/>
                <w:bottom w:val="none" w:sz="0" w:space="0" w:color="auto"/>
                <w:right w:val="none" w:sz="0" w:space="0" w:color="auto"/>
              </w:divBdr>
            </w:div>
            <w:div w:id="2023431324">
              <w:marLeft w:val="0"/>
              <w:marRight w:val="0"/>
              <w:marTop w:val="0"/>
              <w:marBottom w:val="60"/>
              <w:divBdr>
                <w:top w:val="none" w:sz="0" w:space="0" w:color="auto"/>
                <w:left w:val="none" w:sz="0" w:space="0" w:color="auto"/>
                <w:bottom w:val="none" w:sz="0" w:space="0" w:color="auto"/>
                <w:right w:val="none" w:sz="0" w:space="0" w:color="auto"/>
              </w:divBdr>
            </w:div>
            <w:div w:id="693307701">
              <w:marLeft w:val="0"/>
              <w:marRight w:val="0"/>
              <w:marTop w:val="0"/>
              <w:marBottom w:val="60"/>
              <w:divBdr>
                <w:top w:val="none" w:sz="0" w:space="0" w:color="auto"/>
                <w:left w:val="none" w:sz="0" w:space="0" w:color="auto"/>
                <w:bottom w:val="none" w:sz="0" w:space="0" w:color="auto"/>
                <w:right w:val="none" w:sz="0" w:space="0" w:color="auto"/>
              </w:divBdr>
            </w:div>
            <w:div w:id="771900253">
              <w:marLeft w:val="0"/>
              <w:marRight w:val="0"/>
              <w:marTop w:val="0"/>
              <w:marBottom w:val="60"/>
              <w:divBdr>
                <w:top w:val="none" w:sz="0" w:space="0" w:color="auto"/>
                <w:left w:val="none" w:sz="0" w:space="0" w:color="auto"/>
                <w:bottom w:val="none" w:sz="0" w:space="0" w:color="auto"/>
                <w:right w:val="none" w:sz="0" w:space="0" w:color="auto"/>
              </w:divBdr>
            </w:div>
            <w:div w:id="1651329858">
              <w:marLeft w:val="0"/>
              <w:marRight w:val="0"/>
              <w:marTop w:val="0"/>
              <w:marBottom w:val="60"/>
              <w:divBdr>
                <w:top w:val="none" w:sz="0" w:space="0" w:color="auto"/>
                <w:left w:val="none" w:sz="0" w:space="0" w:color="auto"/>
                <w:bottom w:val="none" w:sz="0" w:space="0" w:color="auto"/>
                <w:right w:val="none" w:sz="0" w:space="0" w:color="auto"/>
              </w:divBdr>
            </w:div>
            <w:div w:id="931670527">
              <w:marLeft w:val="0"/>
              <w:marRight w:val="0"/>
              <w:marTop w:val="0"/>
              <w:marBottom w:val="60"/>
              <w:divBdr>
                <w:top w:val="none" w:sz="0" w:space="0" w:color="auto"/>
                <w:left w:val="none" w:sz="0" w:space="0" w:color="auto"/>
                <w:bottom w:val="none" w:sz="0" w:space="0" w:color="auto"/>
                <w:right w:val="none" w:sz="0" w:space="0" w:color="auto"/>
              </w:divBdr>
            </w:div>
            <w:div w:id="1026440357">
              <w:marLeft w:val="0"/>
              <w:marRight w:val="0"/>
              <w:marTop w:val="0"/>
              <w:marBottom w:val="60"/>
              <w:divBdr>
                <w:top w:val="none" w:sz="0" w:space="0" w:color="auto"/>
                <w:left w:val="none" w:sz="0" w:space="0" w:color="auto"/>
                <w:bottom w:val="none" w:sz="0" w:space="0" w:color="auto"/>
                <w:right w:val="none" w:sz="0" w:space="0" w:color="auto"/>
              </w:divBdr>
            </w:div>
            <w:div w:id="787815655">
              <w:marLeft w:val="0"/>
              <w:marRight w:val="0"/>
              <w:marTop w:val="0"/>
              <w:marBottom w:val="60"/>
              <w:divBdr>
                <w:top w:val="none" w:sz="0" w:space="0" w:color="auto"/>
                <w:left w:val="none" w:sz="0" w:space="0" w:color="auto"/>
                <w:bottom w:val="none" w:sz="0" w:space="0" w:color="auto"/>
                <w:right w:val="none" w:sz="0" w:space="0" w:color="auto"/>
              </w:divBdr>
            </w:div>
            <w:div w:id="1205944494">
              <w:marLeft w:val="0"/>
              <w:marRight w:val="0"/>
              <w:marTop w:val="0"/>
              <w:marBottom w:val="60"/>
              <w:divBdr>
                <w:top w:val="none" w:sz="0" w:space="0" w:color="auto"/>
                <w:left w:val="none" w:sz="0" w:space="0" w:color="auto"/>
                <w:bottom w:val="none" w:sz="0" w:space="0" w:color="auto"/>
                <w:right w:val="none" w:sz="0" w:space="0" w:color="auto"/>
              </w:divBdr>
            </w:div>
            <w:div w:id="2030141400">
              <w:marLeft w:val="0"/>
              <w:marRight w:val="0"/>
              <w:marTop w:val="0"/>
              <w:marBottom w:val="180"/>
              <w:divBdr>
                <w:top w:val="none" w:sz="0" w:space="0" w:color="auto"/>
                <w:left w:val="none" w:sz="0" w:space="0" w:color="auto"/>
                <w:bottom w:val="none" w:sz="0" w:space="0" w:color="auto"/>
                <w:right w:val="none" w:sz="0" w:space="0" w:color="auto"/>
              </w:divBdr>
            </w:div>
            <w:div w:id="685715830">
              <w:marLeft w:val="0"/>
              <w:marRight w:val="0"/>
              <w:marTop w:val="0"/>
              <w:marBottom w:val="60"/>
              <w:divBdr>
                <w:top w:val="none" w:sz="0" w:space="0" w:color="auto"/>
                <w:left w:val="none" w:sz="0" w:space="0" w:color="auto"/>
                <w:bottom w:val="none" w:sz="0" w:space="0" w:color="auto"/>
                <w:right w:val="none" w:sz="0" w:space="0" w:color="auto"/>
              </w:divBdr>
            </w:div>
            <w:div w:id="13457621">
              <w:marLeft w:val="0"/>
              <w:marRight w:val="0"/>
              <w:marTop w:val="0"/>
              <w:marBottom w:val="60"/>
              <w:divBdr>
                <w:top w:val="none" w:sz="0" w:space="0" w:color="auto"/>
                <w:left w:val="none" w:sz="0" w:space="0" w:color="auto"/>
                <w:bottom w:val="none" w:sz="0" w:space="0" w:color="auto"/>
                <w:right w:val="none" w:sz="0" w:space="0" w:color="auto"/>
              </w:divBdr>
            </w:div>
            <w:div w:id="28066295">
              <w:marLeft w:val="0"/>
              <w:marRight w:val="0"/>
              <w:marTop w:val="0"/>
              <w:marBottom w:val="60"/>
              <w:divBdr>
                <w:top w:val="none" w:sz="0" w:space="0" w:color="auto"/>
                <w:left w:val="none" w:sz="0" w:space="0" w:color="auto"/>
                <w:bottom w:val="none" w:sz="0" w:space="0" w:color="auto"/>
                <w:right w:val="none" w:sz="0" w:space="0" w:color="auto"/>
              </w:divBdr>
            </w:div>
            <w:div w:id="875629763">
              <w:marLeft w:val="0"/>
              <w:marRight w:val="0"/>
              <w:marTop w:val="0"/>
              <w:marBottom w:val="60"/>
              <w:divBdr>
                <w:top w:val="none" w:sz="0" w:space="0" w:color="auto"/>
                <w:left w:val="none" w:sz="0" w:space="0" w:color="auto"/>
                <w:bottom w:val="none" w:sz="0" w:space="0" w:color="auto"/>
                <w:right w:val="none" w:sz="0" w:space="0" w:color="auto"/>
              </w:divBdr>
            </w:div>
            <w:div w:id="730228139">
              <w:marLeft w:val="0"/>
              <w:marRight w:val="0"/>
              <w:marTop w:val="0"/>
              <w:marBottom w:val="60"/>
              <w:divBdr>
                <w:top w:val="none" w:sz="0" w:space="0" w:color="auto"/>
                <w:left w:val="none" w:sz="0" w:space="0" w:color="auto"/>
                <w:bottom w:val="none" w:sz="0" w:space="0" w:color="auto"/>
                <w:right w:val="none" w:sz="0" w:space="0" w:color="auto"/>
              </w:divBdr>
            </w:div>
            <w:div w:id="1891111477">
              <w:marLeft w:val="0"/>
              <w:marRight w:val="0"/>
              <w:marTop w:val="0"/>
              <w:marBottom w:val="60"/>
              <w:divBdr>
                <w:top w:val="none" w:sz="0" w:space="0" w:color="auto"/>
                <w:left w:val="none" w:sz="0" w:space="0" w:color="auto"/>
                <w:bottom w:val="none" w:sz="0" w:space="0" w:color="auto"/>
                <w:right w:val="none" w:sz="0" w:space="0" w:color="auto"/>
              </w:divBdr>
            </w:div>
            <w:div w:id="262104826">
              <w:marLeft w:val="0"/>
              <w:marRight w:val="0"/>
              <w:marTop w:val="0"/>
              <w:marBottom w:val="60"/>
              <w:divBdr>
                <w:top w:val="none" w:sz="0" w:space="0" w:color="auto"/>
                <w:left w:val="none" w:sz="0" w:space="0" w:color="auto"/>
                <w:bottom w:val="none" w:sz="0" w:space="0" w:color="auto"/>
                <w:right w:val="none" w:sz="0" w:space="0" w:color="auto"/>
              </w:divBdr>
            </w:div>
            <w:div w:id="411439132">
              <w:marLeft w:val="0"/>
              <w:marRight w:val="0"/>
              <w:marTop w:val="0"/>
              <w:marBottom w:val="60"/>
              <w:divBdr>
                <w:top w:val="none" w:sz="0" w:space="0" w:color="auto"/>
                <w:left w:val="none" w:sz="0" w:space="0" w:color="auto"/>
                <w:bottom w:val="none" w:sz="0" w:space="0" w:color="auto"/>
                <w:right w:val="none" w:sz="0" w:space="0" w:color="auto"/>
              </w:divBdr>
            </w:div>
            <w:div w:id="99882608">
              <w:marLeft w:val="0"/>
              <w:marRight w:val="0"/>
              <w:marTop w:val="0"/>
              <w:marBottom w:val="60"/>
              <w:divBdr>
                <w:top w:val="none" w:sz="0" w:space="0" w:color="auto"/>
                <w:left w:val="none" w:sz="0" w:space="0" w:color="auto"/>
                <w:bottom w:val="none" w:sz="0" w:space="0" w:color="auto"/>
                <w:right w:val="none" w:sz="0" w:space="0" w:color="auto"/>
              </w:divBdr>
            </w:div>
            <w:div w:id="1613124645">
              <w:marLeft w:val="0"/>
              <w:marRight w:val="0"/>
              <w:marTop w:val="0"/>
              <w:marBottom w:val="60"/>
              <w:divBdr>
                <w:top w:val="none" w:sz="0" w:space="0" w:color="auto"/>
                <w:left w:val="none" w:sz="0" w:space="0" w:color="auto"/>
                <w:bottom w:val="none" w:sz="0" w:space="0" w:color="auto"/>
                <w:right w:val="none" w:sz="0" w:space="0" w:color="auto"/>
              </w:divBdr>
            </w:div>
            <w:div w:id="600456440">
              <w:marLeft w:val="0"/>
              <w:marRight w:val="0"/>
              <w:marTop w:val="0"/>
              <w:marBottom w:val="60"/>
              <w:divBdr>
                <w:top w:val="none" w:sz="0" w:space="0" w:color="auto"/>
                <w:left w:val="none" w:sz="0" w:space="0" w:color="auto"/>
                <w:bottom w:val="none" w:sz="0" w:space="0" w:color="auto"/>
                <w:right w:val="none" w:sz="0" w:space="0" w:color="auto"/>
              </w:divBdr>
            </w:div>
            <w:div w:id="276104203">
              <w:marLeft w:val="0"/>
              <w:marRight w:val="0"/>
              <w:marTop w:val="0"/>
              <w:marBottom w:val="60"/>
              <w:divBdr>
                <w:top w:val="none" w:sz="0" w:space="0" w:color="auto"/>
                <w:left w:val="none" w:sz="0" w:space="0" w:color="auto"/>
                <w:bottom w:val="none" w:sz="0" w:space="0" w:color="auto"/>
                <w:right w:val="none" w:sz="0" w:space="0" w:color="auto"/>
              </w:divBdr>
            </w:div>
            <w:div w:id="662314641">
              <w:marLeft w:val="0"/>
              <w:marRight w:val="0"/>
              <w:marTop w:val="0"/>
              <w:marBottom w:val="60"/>
              <w:divBdr>
                <w:top w:val="none" w:sz="0" w:space="0" w:color="auto"/>
                <w:left w:val="none" w:sz="0" w:space="0" w:color="auto"/>
                <w:bottom w:val="none" w:sz="0" w:space="0" w:color="auto"/>
                <w:right w:val="none" w:sz="0" w:space="0" w:color="auto"/>
              </w:divBdr>
            </w:div>
            <w:div w:id="835993237">
              <w:marLeft w:val="0"/>
              <w:marRight w:val="0"/>
              <w:marTop w:val="0"/>
              <w:marBottom w:val="60"/>
              <w:divBdr>
                <w:top w:val="none" w:sz="0" w:space="0" w:color="auto"/>
                <w:left w:val="none" w:sz="0" w:space="0" w:color="auto"/>
                <w:bottom w:val="none" w:sz="0" w:space="0" w:color="auto"/>
                <w:right w:val="none" w:sz="0" w:space="0" w:color="auto"/>
              </w:divBdr>
            </w:div>
            <w:div w:id="1963921522">
              <w:marLeft w:val="0"/>
              <w:marRight w:val="0"/>
              <w:marTop w:val="0"/>
              <w:marBottom w:val="60"/>
              <w:divBdr>
                <w:top w:val="none" w:sz="0" w:space="0" w:color="auto"/>
                <w:left w:val="none" w:sz="0" w:space="0" w:color="auto"/>
                <w:bottom w:val="none" w:sz="0" w:space="0" w:color="auto"/>
                <w:right w:val="none" w:sz="0" w:space="0" w:color="auto"/>
              </w:divBdr>
            </w:div>
          </w:divsChild>
        </w:div>
        <w:div w:id="948510598">
          <w:marLeft w:val="0"/>
          <w:marRight w:val="0"/>
          <w:marTop w:val="0"/>
          <w:marBottom w:val="0"/>
          <w:divBdr>
            <w:top w:val="none" w:sz="0" w:space="0" w:color="auto"/>
            <w:left w:val="none" w:sz="0" w:space="0" w:color="auto"/>
            <w:bottom w:val="none" w:sz="0" w:space="0" w:color="auto"/>
            <w:right w:val="none" w:sz="0" w:space="0" w:color="auto"/>
          </w:divBdr>
          <w:divsChild>
            <w:div w:id="27491960">
              <w:marLeft w:val="0"/>
              <w:marRight w:val="0"/>
              <w:marTop w:val="0"/>
              <w:marBottom w:val="60"/>
              <w:divBdr>
                <w:top w:val="none" w:sz="0" w:space="0" w:color="auto"/>
                <w:left w:val="none" w:sz="0" w:space="0" w:color="auto"/>
                <w:bottom w:val="none" w:sz="0" w:space="0" w:color="auto"/>
                <w:right w:val="none" w:sz="0" w:space="0" w:color="auto"/>
              </w:divBdr>
            </w:div>
            <w:div w:id="1944609417">
              <w:marLeft w:val="0"/>
              <w:marRight w:val="0"/>
              <w:marTop w:val="0"/>
              <w:marBottom w:val="60"/>
              <w:divBdr>
                <w:top w:val="none" w:sz="0" w:space="0" w:color="auto"/>
                <w:left w:val="none" w:sz="0" w:space="0" w:color="auto"/>
                <w:bottom w:val="none" w:sz="0" w:space="0" w:color="auto"/>
                <w:right w:val="none" w:sz="0" w:space="0" w:color="auto"/>
              </w:divBdr>
            </w:div>
            <w:div w:id="954410874">
              <w:marLeft w:val="0"/>
              <w:marRight w:val="0"/>
              <w:marTop w:val="0"/>
              <w:marBottom w:val="60"/>
              <w:divBdr>
                <w:top w:val="none" w:sz="0" w:space="0" w:color="auto"/>
                <w:left w:val="none" w:sz="0" w:space="0" w:color="auto"/>
                <w:bottom w:val="none" w:sz="0" w:space="0" w:color="auto"/>
                <w:right w:val="none" w:sz="0" w:space="0" w:color="auto"/>
              </w:divBdr>
            </w:div>
            <w:div w:id="2087605223">
              <w:marLeft w:val="0"/>
              <w:marRight w:val="0"/>
              <w:marTop w:val="0"/>
              <w:marBottom w:val="60"/>
              <w:divBdr>
                <w:top w:val="none" w:sz="0" w:space="0" w:color="auto"/>
                <w:left w:val="none" w:sz="0" w:space="0" w:color="auto"/>
                <w:bottom w:val="none" w:sz="0" w:space="0" w:color="auto"/>
                <w:right w:val="none" w:sz="0" w:space="0" w:color="auto"/>
              </w:divBdr>
            </w:div>
            <w:div w:id="1391074586">
              <w:marLeft w:val="0"/>
              <w:marRight w:val="0"/>
              <w:marTop w:val="0"/>
              <w:marBottom w:val="60"/>
              <w:divBdr>
                <w:top w:val="none" w:sz="0" w:space="0" w:color="auto"/>
                <w:left w:val="none" w:sz="0" w:space="0" w:color="auto"/>
                <w:bottom w:val="none" w:sz="0" w:space="0" w:color="auto"/>
                <w:right w:val="none" w:sz="0" w:space="0" w:color="auto"/>
              </w:divBdr>
            </w:div>
            <w:div w:id="2070372786">
              <w:marLeft w:val="0"/>
              <w:marRight w:val="0"/>
              <w:marTop w:val="0"/>
              <w:marBottom w:val="60"/>
              <w:divBdr>
                <w:top w:val="none" w:sz="0" w:space="0" w:color="auto"/>
                <w:left w:val="none" w:sz="0" w:space="0" w:color="auto"/>
                <w:bottom w:val="none" w:sz="0" w:space="0" w:color="auto"/>
                <w:right w:val="none" w:sz="0" w:space="0" w:color="auto"/>
              </w:divBdr>
            </w:div>
            <w:div w:id="364909050">
              <w:marLeft w:val="0"/>
              <w:marRight w:val="0"/>
              <w:marTop w:val="0"/>
              <w:marBottom w:val="60"/>
              <w:divBdr>
                <w:top w:val="none" w:sz="0" w:space="0" w:color="auto"/>
                <w:left w:val="none" w:sz="0" w:space="0" w:color="auto"/>
                <w:bottom w:val="none" w:sz="0" w:space="0" w:color="auto"/>
                <w:right w:val="none" w:sz="0" w:space="0" w:color="auto"/>
              </w:divBdr>
            </w:div>
            <w:div w:id="938608667">
              <w:marLeft w:val="0"/>
              <w:marRight w:val="0"/>
              <w:marTop w:val="0"/>
              <w:marBottom w:val="60"/>
              <w:divBdr>
                <w:top w:val="none" w:sz="0" w:space="0" w:color="auto"/>
                <w:left w:val="none" w:sz="0" w:space="0" w:color="auto"/>
                <w:bottom w:val="none" w:sz="0" w:space="0" w:color="auto"/>
                <w:right w:val="none" w:sz="0" w:space="0" w:color="auto"/>
              </w:divBdr>
            </w:div>
            <w:div w:id="2059934908">
              <w:marLeft w:val="0"/>
              <w:marRight w:val="0"/>
              <w:marTop w:val="0"/>
              <w:marBottom w:val="60"/>
              <w:divBdr>
                <w:top w:val="none" w:sz="0" w:space="0" w:color="auto"/>
                <w:left w:val="none" w:sz="0" w:space="0" w:color="auto"/>
                <w:bottom w:val="none" w:sz="0" w:space="0" w:color="auto"/>
                <w:right w:val="none" w:sz="0" w:space="0" w:color="auto"/>
              </w:divBdr>
            </w:div>
            <w:div w:id="1454516594">
              <w:marLeft w:val="0"/>
              <w:marRight w:val="0"/>
              <w:marTop w:val="0"/>
              <w:marBottom w:val="60"/>
              <w:divBdr>
                <w:top w:val="none" w:sz="0" w:space="0" w:color="auto"/>
                <w:left w:val="none" w:sz="0" w:space="0" w:color="auto"/>
                <w:bottom w:val="none" w:sz="0" w:space="0" w:color="auto"/>
                <w:right w:val="none" w:sz="0" w:space="0" w:color="auto"/>
              </w:divBdr>
            </w:div>
            <w:div w:id="476603977">
              <w:marLeft w:val="0"/>
              <w:marRight w:val="0"/>
              <w:marTop w:val="0"/>
              <w:marBottom w:val="60"/>
              <w:divBdr>
                <w:top w:val="none" w:sz="0" w:space="0" w:color="auto"/>
                <w:left w:val="none" w:sz="0" w:space="0" w:color="auto"/>
                <w:bottom w:val="none" w:sz="0" w:space="0" w:color="auto"/>
                <w:right w:val="none" w:sz="0" w:space="0" w:color="auto"/>
              </w:divBdr>
            </w:div>
            <w:div w:id="328557453">
              <w:marLeft w:val="0"/>
              <w:marRight w:val="0"/>
              <w:marTop w:val="0"/>
              <w:marBottom w:val="60"/>
              <w:divBdr>
                <w:top w:val="none" w:sz="0" w:space="0" w:color="auto"/>
                <w:left w:val="none" w:sz="0" w:space="0" w:color="auto"/>
                <w:bottom w:val="none" w:sz="0" w:space="0" w:color="auto"/>
                <w:right w:val="none" w:sz="0" w:space="0" w:color="auto"/>
              </w:divBdr>
            </w:div>
            <w:div w:id="1157572255">
              <w:marLeft w:val="0"/>
              <w:marRight w:val="0"/>
              <w:marTop w:val="0"/>
              <w:marBottom w:val="60"/>
              <w:divBdr>
                <w:top w:val="none" w:sz="0" w:space="0" w:color="auto"/>
                <w:left w:val="none" w:sz="0" w:space="0" w:color="auto"/>
                <w:bottom w:val="none" w:sz="0" w:space="0" w:color="auto"/>
                <w:right w:val="none" w:sz="0" w:space="0" w:color="auto"/>
              </w:divBdr>
            </w:div>
            <w:div w:id="724522246">
              <w:marLeft w:val="0"/>
              <w:marRight w:val="0"/>
              <w:marTop w:val="0"/>
              <w:marBottom w:val="60"/>
              <w:divBdr>
                <w:top w:val="none" w:sz="0" w:space="0" w:color="auto"/>
                <w:left w:val="none" w:sz="0" w:space="0" w:color="auto"/>
                <w:bottom w:val="none" w:sz="0" w:space="0" w:color="auto"/>
                <w:right w:val="none" w:sz="0" w:space="0" w:color="auto"/>
              </w:divBdr>
            </w:div>
            <w:div w:id="1850362430">
              <w:marLeft w:val="0"/>
              <w:marRight w:val="0"/>
              <w:marTop w:val="0"/>
              <w:marBottom w:val="60"/>
              <w:divBdr>
                <w:top w:val="none" w:sz="0" w:space="0" w:color="auto"/>
                <w:left w:val="none" w:sz="0" w:space="0" w:color="auto"/>
                <w:bottom w:val="none" w:sz="0" w:space="0" w:color="auto"/>
                <w:right w:val="none" w:sz="0" w:space="0" w:color="auto"/>
              </w:divBdr>
            </w:div>
            <w:div w:id="989558238">
              <w:marLeft w:val="0"/>
              <w:marRight w:val="0"/>
              <w:marTop w:val="0"/>
              <w:marBottom w:val="60"/>
              <w:divBdr>
                <w:top w:val="none" w:sz="0" w:space="0" w:color="auto"/>
                <w:left w:val="none" w:sz="0" w:space="0" w:color="auto"/>
                <w:bottom w:val="none" w:sz="0" w:space="0" w:color="auto"/>
                <w:right w:val="none" w:sz="0" w:space="0" w:color="auto"/>
              </w:divBdr>
            </w:div>
            <w:div w:id="2110537436">
              <w:marLeft w:val="0"/>
              <w:marRight w:val="0"/>
              <w:marTop w:val="0"/>
              <w:marBottom w:val="60"/>
              <w:divBdr>
                <w:top w:val="none" w:sz="0" w:space="0" w:color="auto"/>
                <w:left w:val="none" w:sz="0" w:space="0" w:color="auto"/>
                <w:bottom w:val="none" w:sz="0" w:space="0" w:color="auto"/>
                <w:right w:val="none" w:sz="0" w:space="0" w:color="auto"/>
              </w:divBdr>
            </w:div>
            <w:div w:id="478771043">
              <w:marLeft w:val="0"/>
              <w:marRight w:val="0"/>
              <w:marTop w:val="0"/>
              <w:marBottom w:val="60"/>
              <w:divBdr>
                <w:top w:val="none" w:sz="0" w:space="0" w:color="auto"/>
                <w:left w:val="none" w:sz="0" w:space="0" w:color="auto"/>
                <w:bottom w:val="none" w:sz="0" w:space="0" w:color="auto"/>
                <w:right w:val="none" w:sz="0" w:space="0" w:color="auto"/>
              </w:divBdr>
            </w:div>
            <w:div w:id="1336884777">
              <w:marLeft w:val="0"/>
              <w:marRight w:val="0"/>
              <w:marTop w:val="0"/>
              <w:marBottom w:val="60"/>
              <w:divBdr>
                <w:top w:val="none" w:sz="0" w:space="0" w:color="auto"/>
                <w:left w:val="none" w:sz="0" w:space="0" w:color="auto"/>
                <w:bottom w:val="none" w:sz="0" w:space="0" w:color="auto"/>
                <w:right w:val="none" w:sz="0" w:space="0" w:color="auto"/>
              </w:divBdr>
            </w:div>
            <w:div w:id="1235435554">
              <w:marLeft w:val="0"/>
              <w:marRight w:val="0"/>
              <w:marTop w:val="0"/>
              <w:marBottom w:val="60"/>
              <w:divBdr>
                <w:top w:val="none" w:sz="0" w:space="0" w:color="auto"/>
                <w:left w:val="none" w:sz="0" w:space="0" w:color="auto"/>
                <w:bottom w:val="none" w:sz="0" w:space="0" w:color="auto"/>
                <w:right w:val="none" w:sz="0" w:space="0" w:color="auto"/>
              </w:divBdr>
            </w:div>
            <w:div w:id="35587437">
              <w:marLeft w:val="0"/>
              <w:marRight w:val="0"/>
              <w:marTop w:val="0"/>
              <w:marBottom w:val="60"/>
              <w:divBdr>
                <w:top w:val="none" w:sz="0" w:space="0" w:color="auto"/>
                <w:left w:val="none" w:sz="0" w:space="0" w:color="auto"/>
                <w:bottom w:val="none" w:sz="0" w:space="0" w:color="auto"/>
                <w:right w:val="none" w:sz="0" w:space="0" w:color="auto"/>
              </w:divBdr>
            </w:div>
            <w:div w:id="739407057">
              <w:marLeft w:val="0"/>
              <w:marRight w:val="0"/>
              <w:marTop w:val="0"/>
              <w:marBottom w:val="60"/>
              <w:divBdr>
                <w:top w:val="none" w:sz="0" w:space="0" w:color="auto"/>
                <w:left w:val="none" w:sz="0" w:space="0" w:color="auto"/>
                <w:bottom w:val="none" w:sz="0" w:space="0" w:color="auto"/>
                <w:right w:val="none" w:sz="0" w:space="0" w:color="auto"/>
              </w:divBdr>
            </w:div>
            <w:div w:id="787427803">
              <w:marLeft w:val="0"/>
              <w:marRight w:val="0"/>
              <w:marTop w:val="120"/>
              <w:marBottom w:val="60"/>
              <w:divBdr>
                <w:top w:val="none" w:sz="0" w:space="0" w:color="auto"/>
                <w:left w:val="none" w:sz="0" w:space="0" w:color="auto"/>
                <w:bottom w:val="none" w:sz="0" w:space="0" w:color="auto"/>
                <w:right w:val="none" w:sz="0" w:space="0" w:color="auto"/>
              </w:divBdr>
            </w:div>
            <w:div w:id="756366188">
              <w:marLeft w:val="0"/>
              <w:marRight w:val="0"/>
              <w:marTop w:val="0"/>
              <w:marBottom w:val="60"/>
              <w:divBdr>
                <w:top w:val="none" w:sz="0" w:space="0" w:color="auto"/>
                <w:left w:val="none" w:sz="0" w:space="0" w:color="auto"/>
                <w:bottom w:val="none" w:sz="0" w:space="0" w:color="auto"/>
                <w:right w:val="none" w:sz="0" w:space="0" w:color="auto"/>
              </w:divBdr>
            </w:div>
            <w:div w:id="791703445">
              <w:marLeft w:val="0"/>
              <w:marRight w:val="0"/>
              <w:marTop w:val="0"/>
              <w:marBottom w:val="60"/>
              <w:divBdr>
                <w:top w:val="none" w:sz="0" w:space="0" w:color="auto"/>
                <w:left w:val="none" w:sz="0" w:space="0" w:color="auto"/>
                <w:bottom w:val="none" w:sz="0" w:space="0" w:color="auto"/>
                <w:right w:val="none" w:sz="0" w:space="0" w:color="auto"/>
              </w:divBdr>
            </w:div>
            <w:div w:id="156822754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04969469">
      <w:marLeft w:val="0"/>
      <w:marRight w:val="0"/>
      <w:marTop w:val="0"/>
      <w:marBottom w:val="240"/>
      <w:divBdr>
        <w:top w:val="none" w:sz="0" w:space="0" w:color="auto"/>
        <w:left w:val="none" w:sz="0" w:space="0" w:color="auto"/>
        <w:bottom w:val="none" w:sz="0" w:space="0" w:color="auto"/>
        <w:right w:val="none" w:sz="0" w:space="0" w:color="auto"/>
      </w:divBdr>
    </w:div>
    <w:div w:id="2005283293">
      <w:marLeft w:val="0"/>
      <w:marRight w:val="0"/>
      <w:marTop w:val="0"/>
      <w:marBottom w:val="0"/>
      <w:divBdr>
        <w:top w:val="none" w:sz="0" w:space="0" w:color="auto"/>
        <w:left w:val="none" w:sz="0" w:space="0" w:color="auto"/>
        <w:bottom w:val="none" w:sz="0" w:space="0" w:color="auto"/>
        <w:right w:val="none" w:sz="0" w:space="0" w:color="auto"/>
      </w:divBdr>
      <w:divsChild>
        <w:div w:id="1384131790">
          <w:marLeft w:val="0"/>
          <w:marRight w:val="0"/>
          <w:marTop w:val="0"/>
          <w:marBottom w:val="0"/>
          <w:divBdr>
            <w:top w:val="none" w:sz="0" w:space="0" w:color="auto"/>
            <w:left w:val="none" w:sz="0" w:space="0" w:color="auto"/>
            <w:bottom w:val="none" w:sz="0" w:space="0" w:color="auto"/>
            <w:right w:val="none" w:sz="0" w:space="0" w:color="auto"/>
          </w:divBdr>
        </w:div>
      </w:divsChild>
    </w:div>
    <w:div w:id="2006080876">
      <w:marLeft w:val="0"/>
      <w:marRight w:val="0"/>
      <w:marTop w:val="180"/>
      <w:marBottom w:val="180"/>
      <w:divBdr>
        <w:top w:val="none" w:sz="0" w:space="0" w:color="auto"/>
        <w:left w:val="none" w:sz="0" w:space="0" w:color="auto"/>
        <w:bottom w:val="none" w:sz="0" w:space="0" w:color="auto"/>
        <w:right w:val="none" w:sz="0" w:space="0" w:color="auto"/>
      </w:divBdr>
    </w:div>
    <w:div w:id="2006783671">
      <w:marLeft w:val="0"/>
      <w:marRight w:val="0"/>
      <w:marTop w:val="0"/>
      <w:marBottom w:val="0"/>
      <w:divBdr>
        <w:top w:val="none" w:sz="0" w:space="0" w:color="auto"/>
        <w:left w:val="none" w:sz="0" w:space="0" w:color="auto"/>
        <w:bottom w:val="none" w:sz="0" w:space="0" w:color="auto"/>
        <w:right w:val="none" w:sz="0" w:space="0" w:color="auto"/>
      </w:divBdr>
    </w:div>
    <w:div w:id="2007324558">
      <w:marLeft w:val="0"/>
      <w:marRight w:val="0"/>
      <w:marTop w:val="0"/>
      <w:marBottom w:val="0"/>
      <w:divBdr>
        <w:top w:val="none" w:sz="0" w:space="0" w:color="auto"/>
        <w:left w:val="none" w:sz="0" w:space="0" w:color="auto"/>
        <w:bottom w:val="none" w:sz="0" w:space="0" w:color="auto"/>
        <w:right w:val="none" w:sz="0" w:space="0" w:color="auto"/>
      </w:divBdr>
      <w:divsChild>
        <w:div w:id="459424527">
          <w:marLeft w:val="0"/>
          <w:marRight w:val="0"/>
          <w:marTop w:val="0"/>
          <w:marBottom w:val="0"/>
          <w:divBdr>
            <w:top w:val="none" w:sz="0" w:space="0" w:color="auto"/>
            <w:left w:val="none" w:sz="0" w:space="0" w:color="auto"/>
            <w:bottom w:val="none" w:sz="0" w:space="0" w:color="auto"/>
            <w:right w:val="none" w:sz="0" w:space="0" w:color="auto"/>
          </w:divBdr>
        </w:div>
        <w:div w:id="722869530">
          <w:marLeft w:val="0"/>
          <w:marRight w:val="0"/>
          <w:marTop w:val="0"/>
          <w:marBottom w:val="0"/>
          <w:divBdr>
            <w:top w:val="none" w:sz="0" w:space="0" w:color="auto"/>
            <w:left w:val="none" w:sz="0" w:space="0" w:color="auto"/>
            <w:bottom w:val="none" w:sz="0" w:space="0" w:color="auto"/>
            <w:right w:val="none" w:sz="0" w:space="0" w:color="auto"/>
          </w:divBdr>
        </w:div>
      </w:divsChild>
    </w:div>
    <w:div w:id="2011591395">
      <w:marLeft w:val="0"/>
      <w:marRight w:val="0"/>
      <w:marTop w:val="120"/>
      <w:marBottom w:val="120"/>
      <w:divBdr>
        <w:top w:val="none" w:sz="0" w:space="0" w:color="auto"/>
        <w:left w:val="none" w:sz="0" w:space="0" w:color="auto"/>
        <w:bottom w:val="none" w:sz="0" w:space="0" w:color="auto"/>
        <w:right w:val="none" w:sz="0" w:space="0" w:color="auto"/>
      </w:divBdr>
    </w:div>
    <w:div w:id="2014839308">
      <w:marLeft w:val="0"/>
      <w:marRight w:val="0"/>
      <w:marTop w:val="100"/>
      <w:marBottom w:val="0"/>
      <w:divBdr>
        <w:top w:val="none" w:sz="0" w:space="0" w:color="auto"/>
        <w:left w:val="none" w:sz="0" w:space="0" w:color="auto"/>
        <w:bottom w:val="none" w:sz="0" w:space="0" w:color="auto"/>
        <w:right w:val="none" w:sz="0" w:space="0" w:color="auto"/>
      </w:divBdr>
    </w:div>
    <w:div w:id="2019379425">
      <w:marLeft w:val="0"/>
      <w:marRight w:val="0"/>
      <w:marTop w:val="0"/>
      <w:marBottom w:val="0"/>
      <w:divBdr>
        <w:top w:val="none" w:sz="0" w:space="0" w:color="auto"/>
        <w:left w:val="none" w:sz="0" w:space="0" w:color="auto"/>
        <w:bottom w:val="none" w:sz="0" w:space="0" w:color="auto"/>
        <w:right w:val="none" w:sz="0" w:space="0" w:color="auto"/>
      </w:divBdr>
      <w:divsChild>
        <w:div w:id="1693066456">
          <w:marLeft w:val="0"/>
          <w:marRight w:val="0"/>
          <w:marTop w:val="0"/>
          <w:marBottom w:val="0"/>
          <w:divBdr>
            <w:top w:val="none" w:sz="0" w:space="0" w:color="auto"/>
            <w:left w:val="none" w:sz="0" w:space="0" w:color="auto"/>
            <w:bottom w:val="none" w:sz="0" w:space="0" w:color="auto"/>
            <w:right w:val="none" w:sz="0" w:space="0" w:color="auto"/>
          </w:divBdr>
        </w:div>
      </w:divsChild>
    </w:div>
    <w:div w:id="2021350842">
      <w:marLeft w:val="0"/>
      <w:marRight w:val="0"/>
      <w:marTop w:val="0"/>
      <w:marBottom w:val="0"/>
      <w:divBdr>
        <w:top w:val="none" w:sz="0" w:space="0" w:color="auto"/>
        <w:left w:val="none" w:sz="0" w:space="0" w:color="auto"/>
        <w:bottom w:val="none" w:sz="0" w:space="0" w:color="auto"/>
        <w:right w:val="none" w:sz="0" w:space="0" w:color="auto"/>
      </w:divBdr>
      <w:divsChild>
        <w:div w:id="1525173079">
          <w:marLeft w:val="0"/>
          <w:marRight w:val="0"/>
          <w:marTop w:val="0"/>
          <w:marBottom w:val="0"/>
          <w:divBdr>
            <w:top w:val="none" w:sz="0" w:space="0" w:color="auto"/>
            <w:left w:val="none" w:sz="0" w:space="0" w:color="auto"/>
            <w:bottom w:val="none" w:sz="0" w:space="0" w:color="auto"/>
            <w:right w:val="none" w:sz="0" w:space="0" w:color="auto"/>
          </w:divBdr>
        </w:div>
        <w:div w:id="1945722019">
          <w:marLeft w:val="0"/>
          <w:marRight w:val="0"/>
          <w:marTop w:val="0"/>
          <w:marBottom w:val="0"/>
          <w:divBdr>
            <w:top w:val="none" w:sz="0" w:space="0" w:color="auto"/>
            <w:left w:val="none" w:sz="0" w:space="0" w:color="auto"/>
            <w:bottom w:val="none" w:sz="0" w:space="0" w:color="auto"/>
            <w:right w:val="none" w:sz="0" w:space="0" w:color="auto"/>
          </w:divBdr>
        </w:div>
      </w:divsChild>
    </w:div>
    <w:div w:id="2025548177">
      <w:marLeft w:val="0"/>
      <w:marRight w:val="0"/>
      <w:marTop w:val="100"/>
      <w:marBottom w:val="0"/>
      <w:divBdr>
        <w:top w:val="none" w:sz="0" w:space="0" w:color="auto"/>
        <w:left w:val="none" w:sz="0" w:space="0" w:color="auto"/>
        <w:bottom w:val="none" w:sz="0" w:space="0" w:color="auto"/>
        <w:right w:val="none" w:sz="0" w:space="0" w:color="auto"/>
      </w:divBdr>
    </w:div>
    <w:div w:id="2027514483">
      <w:marLeft w:val="0"/>
      <w:marRight w:val="0"/>
      <w:marTop w:val="0"/>
      <w:marBottom w:val="0"/>
      <w:divBdr>
        <w:top w:val="none" w:sz="0" w:space="0" w:color="auto"/>
        <w:left w:val="none" w:sz="0" w:space="0" w:color="auto"/>
        <w:bottom w:val="none" w:sz="0" w:space="0" w:color="auto"/>
        <w:right w:val="none" w:sz="0" w:space="0" w:color="auto"/>
      </w:divBdr>
      <w:divsChild>
        <w:div w:id="118112133">
          <w:marLeft w:val="0"/>
          <w:marRight w:val="0"/>
          <w:marTop w:val="0"/>
          <w:marBottom w:val="0"/>
          <w:divBdr>
            <w:top w:val="none" w:sz="0" w:space="0" w:color="auto"/>
            <w:left w:val="none" w:sz="0" w:space="0" w:color="auto"/>
            <w:bottom w:val="none" w:sz="0" w:space="0" w:color="auto"/>
            <w:right w:val="none" w:sz="0" w:space="0" w:color="auto"/>
          </w:divBdr>
        </w:div>
      </w:divsChild>
    </w:div>
    <w:div w:id="2028016693">
      <w:marLeft w:val="0"/>
      <w:marRight w:val="0"/>
      <w:marTop w:val="0"/>
      <w:marBottom w:val="240"/>
      <w:divBdr>
        <w:top w:val="none" w:sz="0" w:space="0" w:color="auto"/>
        <w:left w:val="none" w:sz="0" w:space="0" w:color="auto"/>
        <w:bottom w:val="none" w:sz="0" w:space="0" w:color="auto"/>
        <w:right w:val="none" w:sz="0" w:space="0" w:color="auto"/>
      </w:divBdr>
    </w:div>
    <w:div w:id="2028825271">
      <w:marLeft w:val="0"/>
      <w:marRight w:val="0"/>
      <w:marTop w:val="0"/>
      <w:marBottom w:val="240"/>
      <w:divBdr>
        <w:top w:val="none" w:sz="0" w:space="0" w:color="auto"/>
        <w:left w:val="none" w:sz="0" w:space="0" w:color="auto"/>
        <w:bottom w:val="none" w:sz="0" w:space="0" w:color="auto"/>
        <w:right w:val="none" w:sz="0" w:space="0" w:color="auto"/>
      </w:divBdr>
    </w:div>
    <w:div w:id="2029133432">
      <w:marLeft w:val="0"/>
      <w:marRight w:val="0"/>
      <w:marTop w:val="180"/>
      <w:marBottom w:val="180"/>
      <w:divBdr>
        <w:top w:val="none" w:sz="0" w:space="0" w:color="auto"/>
        <w:left w:val="none" w:sz="0" w:space="0" w:color="auto"/>
        <w:bottom w:val="none" w:sz="0" w:space="0" w:color="auto"/>
        <w:right w:val="none" w:sz="0" w:space="0" w:color="auto"/>
      </w:divBdr>
    </w:div>
    <w:div w:id="2030331791">
      <w:marLeft w:val="0"/>
      <w:marRight w:val="0"/>
      <w:marTop w:val="0"/>
      <w:marBottom w:val="0"/>
      <w:divBdr>
        <w:top w:val="none" w:sz="0" w:space="0" w:color="auto"/>
        <w:left w:val="none" w:sz="0" w:space="0" w:color="auto"/>
        <w:bottom w:val="none" w:sz="0" w:space="0" w:color="auto"/>
        <w:right w:val="none" w:sz="0" w:space="0" w:color="auto"/>
      </w:divBdr>
    </w:div>
    <w:div w:id="2030905724">
      <w:marLeft w:val="0"/>
      <w:marRight w:val="0"/>
      <w:marTop w:val="120"/>
      <w:marBottom w:val="120"/>
      <w:divBdr>
        <w:top w:val="none" w:sz="0" w:space="0" w:color="auto"/>
        <w:left w:val="none" w:sz="0" w:space="0" w:color="auto"/>
        <w:bottom w:val="none" w:sz="0" w:space="0" w:color="auto"/>
        <w:right w:val="none" w:sz="0" w:space="0" w:color="auto"/>
      </w:divBdr>
    </w:div>
    <w:div w:id="2032993481">
      <w:marLeft w:val="0"/>
      <w:marRight w:val="0"/>
      <w:marTop w:val="120"/>
      <w:marBottom w:val="240"/>
      <w:divBdr>
        <w:top w:val="none" w:sz="0" w:space="0" w:color="auto"/>
        <w:left w:val="none" w:sz="0" w:space="0" w:color="auto"/>
        <w:bottom w:val="none" w:sz="0" w:space="0" w:color="auto"/>
        <w:right w:val="none" w:sz="0" w:space="0" w:color="auto"/>
      </w:divBdr>
    </w:div>
    <w:div w:id="2034067371">
      <w:marLeft w:val="0"/>
      <w:marRight w:val="0"/>
      <w:marTop w:val="0"/>
      <w:marBottom w:val="240"/>
      <w:divBdr>
        <w:top w:val="none" w:sz="0" w:space="0" w:color="auto"/>
        <w:left w:val="none" w:sz="0" w:space="0" w:color="auto"/>
        <w:bottom w:val="none" w:sz="0" w:space="0" w:color="auto"/>
        <w:right w:val="none" w:sz="0" w:space="0" w:color="auto"/>
      </w:divBdr>
    </w:div>
    <w:div w:id="2034115019">
      <w:marLeft w:val="0"/>
      <w:marRight w:val="0"/>
      <w:marTop w:val="0"/>
      <w:marBottom w:val="0"/>
      <w:divBdr>
        <w:top w:val="none" w:sz="0" w:space="0" w:color="auto"/>
        <w:left w:val="none" w:sz="0" w:space="0" w:color="auto"/>
        <w:bottom w:val="none" w:sz="0" w:space="0" w:color="auto"/>
        <w:right w:val="none" w:sz="0" w:space="0" w:color="auto"/>
      </w:divBdr>
      <w:divsChild>
        <w:div w:id="1767269162">
          <w:marLeft w:val="0"/>
          <w:marRight w:val="0"/>
          <w:marTop w:val="0"/>
          <w:marBottom w:val="0"/>
          <w:divBdr>
            <w:top w:val="none" w:sz="0" w:space="0" w:color="auto"/>
            <w:left w:val="none" w:sz="0" w:space="0" w:color="auto"/>
            <w:bottom w:val="none" w:sz="0" w:space="0" w:color="auto"/>
            <w:right w:val="none" w:sz="0" w:space="0" w:color="auto"/>
          </w:divBdr>
        </w:div>
      </w:divsChild>
    </w:div>
    <w:div w:id="2034651430">
      <w:marLeft w:val="0"/>
      <w:marRight w:val="0"/>
      <w:marTop w:val="0"/>
      <w:marBottom w:val="0"/>
      <w:divBdr>
        <w:top w:val="none" w:sz="0" w:space="0" w:color="auto"/>
        <w:left w:val="none" w:sz="0" w:space="0" w:color="auto"/>
        <w:bottom w:val="none" w:sz="0" w:space="0" w:color="auto"/>
        <w:right w:val="none" w:sz="0" w:space="0" w:color="auto"/>
      </w:divBdr>
      <w:divsChild>
        <w:div w:id="1183393998">
          <w:marLeft w:val="0"/>
          <w:marRight w:val="0"/>
          <w:marTop w:val="0"/>
          <w:marBottom w:val="0"/>
          <w:divBdr>
            <w:top w:val="none" w:sz="0" w:space="0" w:color="auto"/>
            <w:left w:val="none" w:sz="0" w:space="0" w:color="auto"/>
            <w:bottom w:val="none" w:sz="0" w:space="0" w:color="auto"/>
            <w:right w:val="none" w:sz="0" w:space="0" w:color="auto"/>
          </w:divBdr>
        </w:div>
      </w:divsChild>
    </w:div>
    <w:div w:id="2035498144">
      <w:marLeft w:val="0"/>
      <w:marRight w:val="0"/>
      <w:marTop w:val="0"/>
      <w:marBottom w:val="240"/>
      <w:divBdr>
        <w:top w:val="none" w:sz="0" w:space="0" w:color="auto"/>
        <w:left w:val="none" w:sz="0" w:space="0" w:color="auto"/>
        <w:bottom w:val="none" w:sz="0" w:space="0" w:color="auto"/>
        <w:right w:val="none" w:sz="0" w:space="0" w:color="auto"/>
      </w:divBdr>
    </w:div>
    <w:div w:id="2037264592">
      <w:marLeft w:val="0"/>
      <w:marRight w:val="0"/>
      <w:marTop w:val="0"/>
      <w:marBottom w:val="0"/>
      <w:divBdr>
        <w:top w:val="none" w:sz="0" w:space="0" w:color="auto"/>
        <w:left w:val="none" w:sz="0" w:space="0" w:color="auto"/>
        <w:bottom w:val="none" w:sz="0" w:space="0" w:color="auto"/>
        <w:right w:val="none" w:sz="0" w:space="0" w:color="auto"/>
      </w:divBdr>
    </w:div>
    <w:div w:id="2038309489">
      <w:marLeft w:val="0"/>
      <w:marRight w:val="0"/>
      <w:marTop w:val="180"/>
      <w:marBottom w:val="180"/>
      <w:divBdr>
        <w:top w:val="none" w:sz="0" w:space="0" w:color="auto"/>
        <w:left w:val="none" w:sz="0" w:space="0" w:color="auto"/>
        <w:bottom w:val="none" w:sz="0" w:space="0" w:color="auto"/>
        <w:right w:val="none" w:sz="0" w:space="0" w:color="auto"/>
      </w:divBdr>
    </w:div>
    <w:div w:id="2042972717">
      <w:marLeft w:val="0"/>
      <w:marRight w:val="0"/>
      <w:marTop w:val="0"/>
      <w:marBottom w:val="0"/>
      <w:divBdr>
        <w:top w:val="none" w:sz="0" w:space="0" w:color="auto"/>
        <w:left w:val="none" w:sz="0" w:space="0" w:color="auto"/>
        <w:bottom w:val="none" w:sz="0" w:space="0" w:color="auto"/>
        <w:right w:val="none" w:sz="0" w:space="0" w:color="auto"/>
      </w:divBdr>
    </w:div>
    <w:div w:id="2044210016">
      <w:marLeft w:val="0"/>
      <w:marRight w:val="0"/>
      <w:marTop w:val="0"/>
      <w:marBottom w:val="240"/>
      <w:divBdr>
        <w:top w:val="none" w:sz="0" w:space="0" w:color="auto"/>
        <w:left w:val="none" w:sz="0" w:space="0" w:color="auto"/>
        <w:bottom w:val="none" w:sz="0" w:space="0" w:color="auto"/>
        <w:right w:val="none" w:sz="0" w:space="0" w:color="auto"/>
      </w:divBdr>
    </w:div>
    <w:div w:id="2044597362">
      <w:marLeft w:val="0"/>
      <w:marRight w:val="0"/>
      <w:marTop w:val="0"/>
      <w:marBottom w:val="180"/>
      <w:divBdr>
        <w:top w:val="none" w:sz="0" w:space="0" w:color="auto"/>
        <w:left w:val="none" w:sz="0" w:space="0" w:color="auto"/>
        <w:bottom w:val="none" w:sz="0" w:space="0" w:color="auto"/>
        <w:right w:val="none" w:sz="0" w:space="0" w:color="auto"/>
      </w:divBdr>
    </w:div>
    <w:div w:id="2045134476">
      <w:marLeft w:val="0"/>
      <w:marRight w:val="0"/>
      <w:marTop w:val="0"/>
      <w:marBottom w:val="0"/>
      <w:divBdr>
        <w:top w:val="none" w:sz="0" w:space="0" w:color="auto"/>
        <w:left w:val="none" w:sz="0" w:space="0" w:color="auto"/>
        <w:bottom w:val="none" w:sz="0" w:space="0" w:color="auto"/>
        <w:right w:val="none" w:sz="0" w:space="0" w:color="auto"/>
      </w:divBdr>
      <w:divsChild>
        <w:div w:id="1108619874">
          <w:marLeft w:val="0"/>
          <w:marRight w:val="0"/>
          <w:marTop w:val="0"/>
          <w:marBottom w:val="0"/>
          <w:divBdr>
            <w:top w:val="none" w:sz="0" w:space="0" w:color="auto"/>
            <w:left w:val="none" w:sz="0" w:space="0" w:color="auto"/>
            <w:bottom w:val="none" w:sz="0" w:space="0" w:color="auto"/>
            <w:right w:val="none" w:sz="0" w:space="0" w:color="auto"/>
          </w:divBdr>
        </w:div>
      </w:divsChild>
    </w:div>
    <w:div w:id="2047177851">
      <w:marLeft w:val="0"/>
      <w:marRight w:val="0"/>
      <w:marTop w:val="0"/>
      <w:marBottom w:val="240"/>
      <w:divBdr>
        <w:top w:val="none" w:sz="0" w:space="0" w:color="auto"/>
        <w:left w:val="none" w:sz="0" w:space="0" w:color="auto"/>
        <w:bottom w:val="none" w:sz="0" w:space="0" w:color="auto"/>
        <w:right w:val="none" w:sz="0" w:space="0" w:color="auto"/>
      </w:divBdr>
    </w:div>
    <w:div w:id="2047442711">
      <w:marLeft w:val="0"/>
      <w:marRight w:val="0"/>
      <w:marTop w:val="0"/>
      <w:marBottom w:val="180"/>
      <w:divBdr>
        <w:top w:val="none" w:sz="0" w:space="0" w:color="auto"/>
        <w:left w:val="none" w:sz="0" w:space="0" w:color="auto"/>
        <w:bottom w:val="none" w:sz="0" w:space="0" w:color="auto"/>
        <w:right w:val="none" w:sz="0" w:space="0" w:color="auto"/>
      </w:divBdr>
    </w:div>
    <w:div w:id="2048723328">
      <w:marLeft w:val="0"/>
      <w:marRight w:val="0"/>
      <w:marTop w:val="0"/>
      <w:marBottom w:val="180"/>
      <w:divBdr>
        <w:top w:val="none" w:sz="0" w:space="0" w:color="auto"/>
        <w:left w:val="none" w:sz="0" w:space="0" w:color="auto"/>
        <w:bottom w:val="none" w:sz="0" w:space="0" w:color="auto"/>
        <w:right w:val="none" w:sz="0" w:space="0" w:color="auto"/>
      </w:divBdr>
    </w:div>
    <w:div w:id="2048992366">
      <w:marLeft w:val="0"/>
      <w:marRight w:val="0"/>
      <w:marTop w:val="0"/>
      <w:marBottom w:val="0"/>
      <w:divBdr>
        <w:top w:val="none" w:sz="0" w:space="0" w:color="auto"/>
        <w:left w:val="none" w:sz="0" w:space="0" w:color="auto"/>
        <w:bottom w:val="none" w:sz="0" w:space="0" w:color="auto"/>
        <w:right w:val="none" w:sz="0" w:space="0" w:color="auto"/>
      </w:divBdr>
      <w:divsChild>
        <w:div w:id="1868982549">
          <w:marLeft w:val="0"/>
          <w:marRight w:val="0"/>
          <w:marTop w:val="0"/>
          <w:marBottom w:val="0"/>
          <w:divBdr>
            <w:top w:val="none" w:sz="0" w:space="0" w:color="auto"/>
            <w:left w:val="none" w:sz="0" w:space="0" w:color="auto"/>
            <w:bottom w:val="none" w:sz="0" w:space="0" w:color="auto"/>
            <w:right w:val="none" w:sz="0" w:space="0" w:color="auto"/>
          </w:divBdr>
        </w:div>
      </w:divsChild>
    </w:div>
    <w:div w:id="2051832302">
      <w:marLeft w:val="0"/>
      <w:marRight w:val="0"/>
      <w:marTop w:val="0"/>
      <w:marBottom w:val="0"/>
      <w:divBdr>
        <w:top w:val="none" w:sz="0" w:space="0" w:color="auto"/>
        <w:left w:val="none" w:sz="0" w:space="0" w:color="auto"/>
        <w:bottom w:val="none" w:sz="0" w:space="0" w:color="auto"/>
        <w:right w:val="none" w:sz="0" w:space="0" w:color="auto"/>
      </w:divBdr>
    </w:div>
    <w:div w:id="2053311466">
      <w:marLeft w:val="0"/>
      <w:marRight w:val="0"/>
      <w:marTop w:val="0"/>
      <w:marBottom w:val="240"/>
      <w:divBdr>
        <w:top w:val="none" w:sz="0" w:space="0" w:color="auto"/>
        <w:left w:val="none" w:sz="0" w:space="0" w:color="auto"/>
        <w:bottom w:val="none" w:sz="0" w:space="0" w:color="auto"/>
        <w:right w:val="none" w:sz="0" w:space="0" w:color="auto"/>
      </w:divBdr>
    </w:div>
    <w:div w:id="2055032501">
      <w:marLeft w:val="0"/>
      <w:marRight w:val="0"/>
      <w:marTop w:val="0"/>
      <w:marBottom w:val="0"/>
      <w:divBdr>
        <w:top w:val="none" w:sz="0" w:space="0" w:color="auto"/>
        <w:left w:val="none" w:sz="0" w:space="0" w:color="auto"/>
        <w:bottom w:val="none" w:sz="0" w:space="0" w:color="auto"/>
        <w:right w:val="none" w:sz="0" w:space="0" w:color="auto"/>
      </w:divBdr>
      <w:divsChild>
        <w:div w:id="535848717">
          <w:marLeft w:val="0"/>
          <w:marRight w:val="0"/>
          <w:marTop w:val="0"/>
          <w:marBottom w:val="0"/>
          <w:divBdr>
            <w:top w:val="none" w:sz="0" w:space="0" w:color="auto"/>
            <w:left w:val="none" w:sz="0" w:space="0" w:color="auto"/>
            <w:bottom w:val="none" w:sz="0" w:space="0" w:color="auto"/>
            <w:right w:val="none" w:sz="0" w:space="0" w:color="auto"/>
          </w:divBdr>
        </w:div>
      </w:divsChild>
    </w:div>
    <w:div w:id="2056853612">
      <w:marLeft w:val="0"/>
      <w:marRight w:val="0"/>
      <w:marTop w:val="100"/>
      <w:marBottom w:val="0"/>
      <w:divBdr>
        <w:top w:val="none" w:sz="0" w:space="0" w:color="auto"/>
        <w:left w:val="none" w:sz="0" w:space="0" w:color="auto"/>
        <w:bottom w:val="none" w:sz="0" w:space="0" w:color="auto"/>
        <w:right w:val="none" w:sz="0" w:space="0" w:color="auto"/>
      </w:divBdr>
    </w:div>
    <w:div w:id="2057267063">
      <w:marLeft w:val="0"/>
      <w:marRight w:val="0"/>
      <w:marTop w:val="0"/>
      <w:marBottom w:val="0"/>
      <w:divBdr>
        <w:top w:val="none" w:sz="0" w:space="0" w:color="auto"/>
        <w:left w:val="none" w:sz="0" w:space="0" w:color="auto"/>
        <w:bottom w:val="none" w:sz="0" w:space="0" w:color="auto"/>
        <w:right w:val="none" w:sz="0" w:space="0" w:color="auto"/>
      </w:divBdr>
      <w:divsChild>
        <w:div w:id="652684504">
          <w:marLeft w:val="0"/>
          <w:marRight w:val="0"/>
          <w:marTop w:val="0"/>
          <w:marBottom w:val="0"/>
          <w:divBdr>
            <w:top w:val="none" w:sz="0" w:space="0" w:color="auto"/>
            <w:left w:val="none" w:sz="0" w:space="0" w:color="auto"/>
            <w:bottom w:val="none" w:sz="0" w:space="0" w:color="auto"/>
            <w:right w:val="none" w:sz="0" w:space="0" w:color="auto"/>
          </w:divBdr>
        </w:div>
      </w:divsChild>
    </w:div>
    <w:div w:id="2060129063">
      <w:marLeft w:val="0"/>
      <w:marRight w:val="0"/>
      <w:marTop w:val="0"/>
      <w:marBottom w:val="240"/>
      <w:divBdr>
        <w:top w:val="none" w:sz="0" w:space="0" w:color="auto"/>
        <w:left w:val="none" w:sz="0" w:space="0" w:color="auto"/>
        <w:bottom w:val="none" w:sz="0" w:space="0" w:color="auto"/>
        <w:right w:val="none" w:sz="0" w:space="0" w:color="auto"/>
      </w:divBdr>
    </w:div>
    <w:div w:id="2065441513">
      <w:marLeft w:val="0"/>
      <w:marRight w:val="0"/>
      <w:marTop w:val="180"/>
      <w:marBottom w:val="180"/>
      <w:divBdr>
        <w:top w:val="none" w:sz="0" w:space="0" w:color="auto"/>
        <w:left w:val="none" w:sz="0" w:space="0" w:color="auto"/>
        <w:bottom w:val="none" w:sz="0" w:space="0" w:color="auto"/>
        <w:right w:val="none" w:sz="0" w:space="0" w:color="auto"/>
      </w:divBdr>
    </w:div>
    <w:div w:id="2065564498">
      <w:marLeft w:val="0"/>
      <w:marRight w:val="0"/>
      <w:marTop w:val="0"/>
      <w:marBottom w:val="0"/>
      <w:divBdr>
        <w:top w:val="none" w:sz="0" w:space="0" w:color="auto"/>
        <w:left w:val="none" w:sz="0" w:space="0" w:color="auto"/>
        <w:bottom w:val="none" w:sz="0" w:space="0" w:color="auto"/>
        <w:right w:val="none" w:sz="0" w:space="0" w:color="auto"/>
      </w:divBdr>
    </w:div>
    <w:div w:id="2068650930">
      <w:marLeft w:val="0"/>
      <w:marRight w:val="0"/>
      <w:marTop w:val="180"/>
      <w:marBottom w:val="180"/>
      <w:divBdr>
        <w:top w:val="none" w:sz="0" w:space="0" w:color="auto"/>
        <w:left w:val="none" w:sz="0" w:space="0" w:color="auto"/>
        <w:bottom w:val="none" w:sz="0" w:space="0" w:color="auto"/>
        <w:right w:val="none" w:sz="0" w:space="0" w:color="auto"/>
      </w:divBdr>
    </w:div>
    <w:div w:id="2072576040">
      <w:marLeft w:val="0"/>
      <w:marRight w:val="0"/>
      <w:marTop w:val="0"/>
      <w:marBottom w:val="240"/>
      <w:divBdr>
        <w:top w:val="none" w:sz="0" w:space="0" w:color="auto"/>
        <w:left w:val="none" w:sz="0" w:space="0" w:color="auto"/>
        <w:bottom w:val="none" w:sz="0" w:space="0" w:color="auto"/>
        <w:right w:val="none" w:sz="0" w:space="0" w:color="auto"/>
      </w:divBdr>
    </w:div>
    <w:div w:id="2074697487">
      <w:marLeft w:val="0"/>
      <w:marRight w:val="0"/>
      <w:marTop w:val="0"/>
      <w:marBottom w:val="0"/>
      <w:divBdr>
        <w:top w:val="none" w:sz="0" w:space="0" w:color="auto"/>
        <w:left w:val="none" w:sz="0" w:space="0" w:color="auto"/>
        <w:bottom w:val="none" w:sz="0" w:space="0" w:color="auto"/>
        <w:right w:val="none" w:sz="0" w:space="0" w:color="auto"/>
      </w:divBdr>
      <w:divsChild>
        <w:div w:id="748507472">
          <w:marLeft w:val="0"/>
          <w:marRight w:val="0"/>
          <w:marTop w:val="0"/>
          <w:marBottom w:val="0"/>
          <w:divBdr>
            <w:top w:val="none" w:sz="0" w:space="0" w:color="auto"/>
            <w:left w:val="none" w:sz="0" w:space="0" w:color="auto"/>
            <w:bottom w:val="none" w:sz="0" w:space="0" w:color="auto"/>
            <w:right w:val="none" w:sz="0" w:space="0" w:color="auto"/>
          </w:divBdr>
        </w:div>
      </w:divsChild>
    </w:div>
    <w:div w:id="2074888801">
      <w:marLeft w:val="0"/>
      <w:marRight w:val="0"/>
      <w:marTop w:val="120"/>
      <w:marBottom w:val="120"/>
      <w:divBdr>
        <w:top w:val="none" w:sz="0" w:space="0" w:color="auto"/>
        <w:left w:val="none" w:sz="0" w:space="0" w:color="auto"/>
        <w:bottom w:val="none" w:sz="0" w:space="0" w:color="auto"/>
        <w:right w:val="none" w:sz="0" w:space="0" w:color="auto"/>
      </w:divBdr>
    </w:div>
    <w:div w:id="2077431995">
      <w:marLeft w:val="0"/>
      <w:marRight w:val="0"/>
      <w:marTop w:val="0"/>
      <w:marBottom w:val="180"/>
      <w:divBdr>
        <w:top w:val="none" w:sz="0" w:space="0" w:color="auto"/>
        <w:left w:val="none" w:sz="0" w:space="0" w:color="auto"/>
        <w:bottom w:val="none" w:sz="0" w:space="0" w:color="auto"/>
        <w:right w:val="none" w:sz="0" w:space="0" w:color="auto"/>
      </w:divBdr>
    </w:div>
    <w:div w:id="2079130840">
      <w:marLeft w:val="0"/>
      <w:marRight w:val="0"/>
      <w:marTop w:val="120"/>
      <w:marBottom w:val="120"/>
      <w:divBdr>
        <w:top w:val="none" w:sz="0" w:space="0" w:color="auto"/>
        <w:left w:val="none" w:sz="0" w:space="0" w:color="auto"/>
        <w:bottom w:val="none" w:sz="0" w:space="0" w:color="auto"/>
        <w:right w:val="none" w:sz="0" w:space="0" w:color="auto"/>
      </w:divBdr>
    </w:div>
    <w:div w:id="2081052167">
      <w:marLeft w:val="0"/>
      <w:marRight w:val="0"/>
      <w:marTop w:val="0"/>
      <w:marBottom w:val="0"/>
      <w:divBdr>
        <w:top w:val="none" w:sz="0" w:space="0" w:color="auto"/>
        <w:left w:val="none" w:sz="0" w:space="0" w:color="auto"/>
        <w:bottom w:val="none" w:sz="0" w:space="0" w:color="auto"/>
        <w:right w:val="none" w:sz="0" w:space="0" w:color="auto"/>
      </w:divBdr>
    </w:div>
    <w:div w:id="2082217993">
      <w:marLeft w:val="0"/>
      <w:marRight w:val="0"/>
      <w:marTop w:val="0"/>
      <w:marBottom w:val="240"/>
      <w:divBdr>
        <w:top w:val="none" w:sz="0" w:space="0" w:color="auto"/>
        <w:left w:val="none" w:sz="0" w:space="0" w:color="auto"/>
        <w:bottom w:val="none" w:sz="0" w:space="0" w:color="auto"/>
        <w:right w:val="none" w:sz="0" w:space="0" w:color="auto"/>
      </w:divBdr>
    </w:div>
    <w:div w:id="2085108740">
      <w:marLeft w:val="0"/>
      <w:marRight w:val="0"/>
      <w:marTop w:val="0"/>
      <w:marBottom w:val="0"/>
      <w:divBdr>
        <w:top w:val="none" w:sz="0" w:space="0" w:color="auto"/>
        <w:left w:val="none" w:sz="0" w:space="0" w:color="auto"/>
        <w:bottom w:val="none" w:sz="0" w:space="0" w:color="auto"/>
        <w:right w:val="none" w:sz="0" w:space="0" w:color="auto"/>
      </w:divBdr>
    </w:div>
    <w:div w:id="2090342630">
      <w:marLeft w:val="0"/>
      <w:marRight w:val="0"/>
      <w:marTop w:val="0"/>
      <w:marBottom w:val="0"/>
      <w:divBdr>
        <w:top w:val="none" w:sz="0" w:space="0" w:color="auto"/>
        <w:left w:val="none" w:sz="0" w:space="0" w:color="auto"/>
        <w:bottom w:val="none" w:sz="0" w:space="0" w:color="auto"/>
        <w:right w:val="none" w:sz="0" w:space="0" w:color="auto"/>
      </w:divBdr>
      <w:divsChild>
        <w:div w:id="671030112">
          <w:marLeft w:val="0"/>
          <w:marRight w:val="0"/>
          <w:marTop w:val="0"/>
          <w:marBottom w:val="0"/>
          <w:divBdr>
            <w:top w:val="none" w:sz="0" w:space="0" w:color="auto"/>
            <w:left w:val="none" w:sz="0" w:space="0" w:color="auto"/>
            <w:bottom w:val="none" w:sz="0" w:space="0" w:color="auto"/>
            <w:right w:val="none" w:sz="0" w:space="0" w:color="auto"/>
          </w:divBdr>
        </w:div>
        <w:div w:id="904993360">
          <w:marLeft w:val="0"/>
          <w:marRight w:val="0"/>
          <w:marTop w:val="0"/>
          <w:marBottom w:val="0"/>
          <w:divBdr>
            <w:top w:val="none" w:sz="0" w:space="0" w:color="auto"/>
            <w:left w:val="none" w:sz="0" w:space="0" w:color="auto"/>
            <w:bottom w:val="none" w:sz="0" w:space="0" w:color="auto"/>
            <w:right w:val="none" w:sz="0" w:space="0" w:color="auto"/>
          </w:divBdr>
        </w:div>
      </w:divsChild>
    </w:div>
    <w:div w:id="2091148020">
      <w:marLeft w:val="0"/>
      <w:marRight w:val="0"/>
      <w:marTop w:val="0"/>
      <w:marBottom w:val="0"/>
      <w:divBdr>
        <w:top w:val="none" w:sz="0" w:space="0" w:color="auto"/>
        <w:left w:val="none" w:sz="0" w:space="0" w:color="auto"/>
        <w:bottom w:val="none" w:sz="0" w:space="0" w:color="auto"/>
        <w:right w:val="none" w:sz="0" w:space="0" w:color="auto"/>
      </w:divBdr>
    </w:div>
    <w:div w:id="2091655349">
      <w:marLeft w:val="0"/>
      <w:marRight w:val="0"/>
      <w:marTop w:val="0"/>
      <w:marBottom w:val="0"/>
      <w:divBdr>
        <w:top w:val="none" w:sz="0" w:space="0" w:color="auto"/>
        <w:left w:val="none" w:sz="0" w:space="0" w:color="auto"/>
        <w:bottom w:val="none" w:sz="0" w:space="0" w:color="auto"/>
        <w:right w:val="none" w:sz="0" w:space="0" w:color="auto"/>
      </w:divBdr>
      <w:divsChild>
        <w:div w:id="639071097">
          <w:marLeft w:val="0"/>
          <w:marRight w:val="0"/>
          <w:marTop w:val="0"/>
          <w:marBottom w:val="0"/>
          <w:divBdr>
            <w:top w:val="none" w:sz="0" w:space="0" w:color="auto"/>
            <w:left w:val="none" w:sz="0" w:space="0" w:color="auto"/>
            <w:bottom w:val="none" w:sz="0" w:space="0" w:color="auto"/>
            <w:right w:val="none" w:sz="0" w:space="0" w:color="auto"/>
          </w:divBdr>
        </w:div>
        <w:div w:id="292488032">
          <w:marLeft w:val="0"/>
          <w:marRight w:val="0"/>
          <w:marTop w:val="0"/>
          <w:marBottom w:val="0"/>
          <w:divBdr>
            <w:top w:val="none" w:sz="0" w:space="0" w:color="auto"/>
            <w:left w:val="none" w:sz="0" w:space="0" w:color="auto"/>
            <w:bottom w:val="none" w:sz="0" w:space="0" w:color="auto"/>
            <w:right w:val="none" w:sz="0" w:space="0" w:color="auto"/>
          </w:divBdr>
        </w:div>
      </w:divsChild>
    </w:div>
    <w:div w:id="2092509632">
      <w:marLeft w:val="0"/>
      <w:marRight w:val="0"/>
      <w:marTop w:val="0"/>
      <w:marBottom w:val="0"/>
      <w:divBdr>
        <w:top w:val="none" w:sz="0" w:space="0" w:color="auto"/>
        <w:left w:val="none" w:sz="0" w:space="0" w:color="auto"/>
        <w:bottom w:val="none" w:sz="0" w:space="0" w:color="auto"/>
        <w:right w:val="none" w:sz="0" w:space="0" w:color="auto"/>
      </w:divBdr>
    </w:div>
    <w:div w:id="2094550656">
      <w:marLeft w:val="0"/>
      <w:marRight w:val="0"/>
      <w:marTop w:val="180"/>
      <w:marBottom w:val="180"/>
      <w:divBdr>
        <w:top w:val="none" w:sz="0" w:space="0" w:color="auto"/>
        <w:left w:val="none" w:sz="0" w:space="0" w:color="auto"/>
        <w:bottom w:val="none" w:sz="0" w:space="0" w:color="auto"/>
        <w:right w:val="none" w:sz="0" w:space="0" w:color="auto"/>
      </w:divBdr>
    </w:div>
    <w:div w:id="2096628881">
      <w:marLeft w:val="0"/>
      <w:marRight w:val="0"/>
      <w:marTop w:val="180"/>
      <w:marBottom w:val="180"/>
      <w:divBdr>
        <w:top w:val="none" w:sz="0" w:space="0" w:color="auto"/>
        <w:left w:val="none" w:sz="0" w:space="0" w:color="auto"/>
        <w:bottom w:val="none" w:sz="0" w:space="0" w:color="auto"/>
        <w:right w:val="none" w:sz="0" w:space="0" w:color="auto"/>
      </w:divBdr>
    </w:div>
    <w:div w:id="2097172366">
      <w:marLeft w:val="0"/>
      <w:marRight w:val="0"/>
      <w:marTop w:val="0"/>
      <w:marBottom w:val="240"/>
      <w:divBdr>
        <w:top w:val="none" w:sz="0" w:space="0" w:color="auto"/>
        <w:left w:val="none" w:sz="0" w:space="0" w:color="auto"/>
        <w:bottom w:val="none" w:sz="0" w:space="0" w:color="auto"/>
        <w:right w:val="none" w:sz="0" w:space="0" w:color="auto"/>
      </w:divBdr>
    </w:div>
    <w:div w:id="2097508621">
      <w:marLeft w:val="0"/>
      <w:marRight w:val="0"/>
      <w:marTop w:val="120"/>
      <w:marBottom w:val="120"/>
      <w:divBdr>
        <w:top w:val="none" w:sz="0" w:space="0" w:color="auto"/>
        <w:left w:val="none" w:sz="0" w:space="0" w:color="auto"/>
        <w:bottom w:val="none" w:sz="0" w:space="0" w:color="auto"/>
        <w:right w:val="none" w:sz="0" w:space="0" w:color="auto"/>
      </w:divBdr>
    </w:div>
    <w:div w:id="2097903051">
      <w:marLeft w:val="0"/>
      <w:marRight w:val="0"/>
      <w:marTop w:val="0"/>
      <w:marBottom w:val="0"/>
      <w:divBdr>
        <w:top w:val="none" w:sz="0" w:space="0" w:color="auto"/>
        <w:left w:val="none" w:sz="0" w:space="0" w:color="auto"/>
        <w:bottom w:val="none" w:sz="0" w:space="0" w:color="auto"/>
        <w:right w:val="none" w:sz="0" w:space="0" w:color="auto"/>
      </w:divBdr>
    </w:div>
    <w:div w:id="2097941519">
      <w:marLeft w:val="0"/>
      <w:marRight w:val="0"/>
      <w:marTop w:val="0"/>
      <w:marBottom w:val="240"/>
      <w:divBdr>
        <w:top w:val="none" w:sz="0" w:space="0" w:color="auto"/>
        <w:left w:val="none" w:sz="0" w:space="0" w:color="auto"/>
        <w:bottom w:val="none" w:sz="0" w:space="0" w:color="auto"/>
        <w:right w:val="none" w:sz="0" w:space="0" w:color="auto"/>
      </w:divBdr>
    </w:div>
    <w:div w:id="2098162489">
      <w:marLeft w:val="0"/>
      <w:marRight w:val="0"/>
      <w:marTop w:val="0"/>
      <w:marBottom w:val="0"/>
      <w:divBdr>
        <w:top w:val="none" w:sz="0" w:space="0" w:color="auto"/>
        <w:left w:val="none" w:sz="0" w:space="0" w:color="auto"/>
        <w:bottom w:val="none" w:sz="0" w:space="0" w:color="auto"/>
        <w:right w:val="none" w:sz="0" w:space="0" w:color="auto"/>
      </w:divBdr>
      <w:divsChild>
        <w:div w:id="1477918529">
          <w:marLeft w:val="0"/>
          <w:marRight w:val="0"/>
          <w:marTop w:val="0"/>
          <w:marBottom w:val="0"/>
          <w:divBdr>
            <w:top w:val="none" w:sz="0" w:space="0" w:color="auto"/>
            <w:left w:val="none" w:sz="0" w:space="0" w:color="auto"/>
            <w:bottom w:val="none" w:sz="0" w:space="0" w:color="auto"/>
            <w:right w:val="none" w:sz="0" w:space="0" w:color="auto"/>
          </w:divBdr>
        </w:div>
        <w:div w:id="1107967334">
          <w:marLeft w:val="0"/>
          <w:marRight w:val="0"/>
          <w:marTop w:val="0"/>
          <w:marBottom w:val="0"/>
          <w:divBdr>
            <w:top w:val="none" w:sz="0" w:space="0" w:color="auto"/>
            <w:left w:val="none" w:sz="0" w:space="0" w:color="auto"/>
            <w:bottom w:val="none" w:sz="0" w:space="0" w:color="auto"/>
            <w:right w:val="none" w:sz="0" w:space="0" w:color="auto"/>
          </w:divBdr>
        </w:div>
      </w:divsChild>
    </w:div>
    <w:div w:id="2098820286">
      <w:marLeft w:val="0"/>
      <w:marRight w:val="0"/>
      <w:marTop w:val="0"/>
      <w:marBottom w:val="240"/>
      <w:divBdr>
        <w:top w:val="none" w:sz="0" w:space="0" w:color="auto"/>
        <w:left w:val="none" w:sz="0" w:space="0" w:color="auto"/>
        <w:bottom w:val="none" w:sz="0" w:space="0" w:color="auto"/>
        <w:right w:val="none" w:sz="0" w:space="0" w:color="auto"/>
      </w:divBdr>
    </w:div>
    <w:div w:id="2104915311">
      <w:marLeft w:val="0"/>
      <w:marRight w:val="0"/>
      <w:marTop w:val="0"/>
      <w:marBottom w:val="180"/>
      <w:divBdr>
        <w:top w:val="none" w:sz="0" w:space="0" w:color="auto"/>
        <w:left w:val="none" w:sz="0" w:space="0" w:color="auto"/>
        <w:bottom w:val="none" w:sz="0" w:space="0" w:color="auto"/>
        <w:right w:val="none" w:sz="0" w:space="0" w:color="auto"/>
      </w:divBdr>
    </w:div>
    <w:div w:id="2108232969">
      <w:marLeft w:val="0"/>
      <w:marRight w:val="0"/>
      <w:marTop w:val="180"/>
      <w:marBottom w:val="180"/>
      <w:divBdr>
        <w:top w:val="none" w:sz="0" w:space="0" w:color="auto"/>
        <w:left w:val="none" w:sz="0" w:space="0" w:color="auto"/>
        <w:bottom w:val="none" w:sz="0" w:space="0" w:color="auto"/>
        <w:right w:val="none" w:sz="0" w:space="0" w:color="auto"/>
      </w:divBdr>
    </w:div>
    <w:div w:id="2109349855">
      <w:marLeft w:val="0"/>
      <w:marRight w:val="0"/>
      <w:marTop w:val="0"/>
      <w:marBottom w:val="0"/>
      <w:divBdr>
        <w:top w:val="none" w:sz="0" w:space="0" w:color="auto"/>
        <w:left w:val="none" w:sz="0" w:space="0" w:color="auto"/>
        <w:bottom w:val="none" w:sz="0" w:space="0" w:color="auto"/>
        <w:right w:val="none" w:sz="0" w:space="0" w:color="auto"/>
      </w:divBdr>
    </w:div>
    <w:div w:id="2112167484">
      <w:marLeft w:val="0"/>
      <w:marRight w:val="0"/>
      <w:marTop w:val="0"/>
      <w:marBottom w:val="0"/>
      <w:divBdr>
        <w:top w:val="none" w:sz="0" w:space="0" w:color="auto"/>
        <w:left w:val="none" w:sz="0" w:space="0" w:color="auto"/>
        <w:bottom w:val="none" w:sz="0" w:space="0" w:color="auto"/>
        <w:right w:val="none" w:sz="0" w:space="0" w:color="auto"/>
      </w:divBdr>
    </w:div>
    <w:div w:id="2115123983">
      <w:marLeft w:val="0"/>
      <w:marRight w:val="0"/>
      <w:marTop w:val="0"/>
      <w:marBottom w:val="0"/>
      <w:divBdr>
        <w:top w:val="none" w:sz="0" w:space="0" w:color="auto"/>
        <w:left w:val="none" w:sz="0" w:space="0" w:color="auto"/>
        <w:bottom w:val="none" w:sz="0" w:space="0" w:color="auto"/>
        <w:right w:val="none" w:sz="0" w:space="0" w:color="auto"/>
      </w:divBdr>
      <w:divsChild>
        <w:div w:id="248196950">
          <w:marLeft w:val="0"/>
          <w:marRight w:val="0"/>
          <w:marTop w:val="0"/>
          <w:marBottom w:val="0"/>
          <w:divBdr>
            <w:top w:val="none" w:sz="0" w:space="0" w:color="auto"/>
            <w:left w:val="none" w:sz="0" w:space="0" w:color="auto"/>
            <w:bottom w:val="none" w:sz="0" w:space="0" w:color="auto"/>
            <w:right w:val="none" w:sz="0" w:space="0" w:color="auto"/>
          </w:divBdr>
        </w:div>
      </w:divsChild>
    </w:div>
    <w:div w:id="2115906544">
      <w:marLeft w:val="0"/>
      <w:marRight w:val="0"/>
      <w:marTop w:val="0"/>
      <w:marBottom w:val="240"/>
      <w:divBdr>
        <w:top w:val="none" w:sz="0" w:space="0" w:color="auto"/>
        <w:left w:val="none" w:sz="0" w:space="0" w:color="auto"/>
        <w:bottom w:val="none" w:sz="0" w:space="0" w:color="auto"/>
        <w:right w:val="none" w:sz="0" w:space="0" w:color="auto"/>
      </w:divBdr>
    </w:div>
    <w:div w:id="2116054387">
      <w:marLeft w:val="0"/>
      <w:marRight w:val="0"/>
      <w:marTop w:val="0"/>
      <w:marBottom w:val="0"/>
      <w:divBdr>
        <w:top w:val="none" w:sz="0" w:space="0" w:color="auto"/>
        <w:left w:val="none" w:sz="0" w:space="0" w:color="auto"/>
        <w:bottom w:val="none" w:sz="0" w:space="0" w:color="auto"/>
        <w:right w:val="none" w:sz="0" w:space="0" w:color="auto"/>
      </w:divBdr>
    </w:div>
    <w:div w:id="2117017046">
      <w:marLeft w:val="0"/>
      <w:marRight w:val="0"/>
      <w:marTop w:val="180"/>
      <w:marBottom w:val="180"/>
      <w:divBdr>
        <w:top w:val="none" w:sz="0" w:space="0" w:color="auto"/>
        <w:left w:val="none" w:sz="0" w:space="0" w:color="auto"/>
        <w:bottom w:val="none" w:sz="0" w:space="0" w:color="auto"/>
        <w:right w:val="none" w:sz="0" w:space="0" w:color="auto"/>
      </w:divBdr>
    </w:div>
    <w:div w:id="2121221589">
      <w:marLeft w:val="0"/>
      <w:marRight w:val="0"/>
      <w:marTop w:val="0"/>
      <w:marBottom w:val="0"/>
      <w:divBdr>
        <w:top w:val="none" w:sz="0" w:space="0" w:color="auto"/>
        <w:left w:val="none" w:sz="0" w:space="0" w:color="auto"/>
        <w:bottom w:val="none" w:sz="0" w:space="0" w:color="auto"/>
        <w:right w:val="none" w:sz="0" w:space="0" w:color="auto"/>
      </w:divBdr>
      <w:divsChild>
        <w:div w:id="2069568057">
          <w:marLeft w:val="0"/>
          <w:marRight w:val="0"/>
          <w:marTop w:val="0"/>
          <w:marBottom w:val="0"/>
          <w:divBdr>
            <w:top w:val="none" w:sz="0" w:space="0" w:color="auto"/>
            <w:left w:val="none" w:sz="0" w:space="0" w:color="auto"/>
            <w:bottom w:val="none" w:sz="0" w:space="0" w:color="auto"/>
            <w:right w:val="none" w:sz="0" w:space="0" w:color="auto"/>
          </w:divBdr>
        </w:div>
      </w:divsChild>
    </w:div>
    <w:div w:id="2123378510">
      <w:marLeft w:val="0"/>
      <w:marRight w:val="0"/>
      <w:marTop w:val="0"/>
      <w:marBottom w:val="0"/>
      <w:divBdr>
        <w:top w:val="none" w:sz="0" w:space="0" w:color="auto"/>
        <w:left w:val="none" w:sz="0" w:space="0" w:color="auto"/>
        <w:bottom w:val="none" w:sz="0" w:space="0" w:color="auto"/>
        <w:right w:val="none" w:sz="0" w:space="0" w:color="auto"/>
      </w:divBdr>
      <w:divsChild>
        <w:div w:id="1543130250">
          <w:marLeft w:val="0"/>
          <w:marRight w:val="0"/>
          <w:marTop w:val="0"/>
          <w:marBottom w:val="0"/>
          <w:divBdr>
            <w:top w:val="none" w:sz="0" w:space="0" w:color="auto"/>
            <w:left w:val="none" w:sz="0" w:space="0" w:color="auto"/>
            <w:bottom w:val="none" w:sz="0" w:space="0" w:color="auto"/>
            <w:right w:val="none" w:sz="0" w:space="0" w:color="auto"/>
          </w:divBdr>
        </w:div>
        <w:div w:id="1866940944">
          <w:marLeft w:val="0"/>
          <w:marRight w:val="0"/>
          <w:marTop w:val="0"/>
          <w:marBottom w:val="0"/>
          <w:divBdr>
            <w:top w:val="none" w:sz="0" w:space="0" w:color="auto"/>
            <w:left w:val="none" w:sz="0" w:space="0" w:color="auto"/>
            <w:bottom w:val="none" w:sz="0" w:space="0" w:color="auto"/>
            <w:right w:val="none" w:sz="0" w:space="0" w:color="auto"/>
          </w:divBdr>
        </w:div>
      </w:divsChild>
    </w:div>
    <w:div w:id="2124420443">
      <w:marLeft w:val="0"/>
      <w:marRight w:val="0"/>
      <w:marTop w:val="0"/>
      <w:marBottom w:val="240"/>
      <w:divBdr>
        <w:top w:val="none" w:sz="0" w:space="0" w:color="auto"/>
        <w:left w:val="none" w:sz="0" w:space="0" w:color="auto"/>
        <w:bottom w:val="none" w:sz="0" w:space="0" w:color="auto"/>
        <w:right w:val="none" w:sz="0" w:space="0" w:color="auto"/>
      </w:divBdr>
    </w:div>
    <w:div w:id="2127918387">
      <w:marLeft w:val="0"/>
      <w:marRight w:val="0"/>
      <w:marTop w:val="100"/>
      <w:marBottom w:val="0"/>
      <w:divBdr>
        <w:top w:val="none" w:sz="0" w:space="0" w:color="auto"/>
        <w:left w:val="none" w:sz="0" w:space="0" w:color="auto"/>
        <w:bottom w:val="none" w:sz="0" w:space="0" w:color="auto"/>
        <w:right w:val="none" w:sz="0" w:space="0" w:color="auto"/>
      </w:divBdr>
    </w:div>
    <w:div w:id="2129472619">
      <w:marLeft w:val="0"/>
      <w:marRight w:val="0"/>
      <w:marTop w:val="0"/>
      <w:marBottom w:val="180"/>
      <w:divBdr>
        <w:top w:val="none" w:sz="0" w:space="0" w:color="auto"/>
        <w:left w:val="none" w:sz="0" w:space="0" w:color="auto"/>
        <w:bottom w:val="none" w:sz="0" w:space="0" w:color="auto"/>
        <w:right w:val="none" w:sz="0" w:space="0" w:color="auto"/>
      </w:divBdr>
    </w:div>
    <w:div w:id="2130079546">
      <w:marLeft w:val="0"/>
      <w:marRight w:val="0"/>
      <w:marTop w:val="0"/>
      <w:marBottom w:val="240"/>
      <w:divBdr>
        <w:top w:val="none" w:sz="0" w:space="0" w:color="auto"/>
        <w:left w:val="none" w:sz="0" w:space="0" w:color="auto"/>
        <w:bottom w:val="none" w:sz="0" w:space="0" w:color="auto"/>
        <w:right w:val="none" w:sz="0" w:space="0" w:color="auto"/>
      </w:divBdr>
    </w:div>
    <w:div w:id="2130392122">
      <w:marLeft w:val="0"/>
      <w:marRight w:val="0"/>
      <w:marTop w:val="0"/>
      <w:marBottom w:val="240"/>
      <w:divBdr>
        <w:top w:val="none" w:sz="0" w:space="0" w:color="auto"/>
        <w:left w:val="none" w:sz="0" w:space="0" w:color="auto"/>
        <w:bottom w:val="none" w:sz="0" w:space="0" w:color="auto"/>
        <w:right w:val="none" w:sz="0" w:space="0" w:color="auto"/>
      </w:divBdr>
    </w:div>
    <w:div w:id="2130779677">
      <w:marLeft w:val="0"/>
      <w:marRight w:val="0"/>
      <w:marTop w:val="0"/>
      <w:marBottom w:val="0"/>
      <w:divBdr>
        <w:top w:val="none" w:sz="0" w:space="0" w:color="auto"/>
        <w:left w:val="none" w:sz="0" w:space="0" w:color="auto"/>
        <w:bottom w:val="none" w:sz="0" w:space="0" w:color="auto"/>
        <w:right w:val="none" w:sz="0" w:space="0" w:color="auto"/>
      </w:divBdr>
    </w:div>
    <w:div w:id="2133355806">
      <w:marLeft w:val="0"/>
      <w:marRight w:val="0"/>
      <w:marTop w:val="0"/>
      <w:marBottom w:val="0"/>
      <w:divBdr>
        <w:top w:val="none" w:sz="0" w:space="0" w:color="auto"/>
        <w:left w:val="none" w:sz="0" w:space="0" w:color="auto"/>
        <w:bottom w:val="none" w:sz="0" w:space="0" w:color="auto"/>
        <w:right w:val="none" w:sz="0" w:space="0" w:color="auto"/>
      </w:divBdr>
      <w:divsChild>
        <w:div w:id="251478711">
          <w:marLeft w:val="0"/>
          <w:marRight w:val="0"/>
          <w:marTop w:val="0"/>
          <w:marBottom w:val="0"/>
          <w:divBdr>
            <w:top w:val="none" w:sz="0" w:space="0" w:color="auto"/>
            <w:left w:val="none" w:sz="0" w:space="0" w:color="auto"/>
            <w:bottom w:val="none" w:sz="0" w:space="0" w:color="auto"/>
            <w:right w:val="none" w:sz="0" w:space="0" w:color="auto"/>
          </w:divBdr>
        </w:div>
      </w:divsChild>
    </w:div>
    <w:div w:id="2136288737">
      <w:marLeft w:val="0"/>
      <w:marRight w:val="0"/>
      <w:marTop w:val="0"/>
      <w:marBottom w:val="180"/>
      <w:divBdr>
        <w:top w:val="none" w:sz="0" w:space="0" w:color="auto"/>
        <w:left w:val="none" w:sz="0" w:space="0" w:color="auto"/>
        <w:bottom w:val="none" w:sz="0" w:space="0" w:color="auto"/>
        <w:right w:val="none" w:sz="0" w:space="0" w:color="auto"/>
      </w:divBdr>
    </w:div>
    <w:div w:id="2136292873">
      <w:marLeft w:val="0"/>
      <w:marRight w:val="0"/>
      <w:marTop w:val="0"/>
      <w:marBottom w:val="240"/>
      <w:divBdr>
        <w:top w:val="none" w:sz="0" w:space="0" w:color="auto"/>
        <w:left w:val="none" w:sz="0" w:space="0" w:color="auto"/>
        <w:bottom w:val="none" w:sz="0" w:space="0" w:color="auto"/>
        <w:right w:val="none" w:sz="0" w:space="0" w:color="auto"/>
      </w:divBdr>
    </w:div>
    <w:div w:id="2143034416">
      <w:marLeft w:val="0"/>
      <w:marRight w:val="0"/>
      <w:marTop w:val="120"/>
      <w:marBottom w:val="120"/>
      <w:divBdr>
        <w:top w:val="none" w:sz="0" w:space="0" w:color="auto"/>
        <w:left w:val="none" w:sz="0" w:space="0" w:color="auto"/>
        <w:bottom w:val="none" w:sz="0" w:space="0" w:color="auto"/>
        <w:right w:val="none" w:sz="0" w:space="0" w:color="auto"/>
      </w:divBdr>
    </w:div>
    <w:div w:id="2146966067">
      <w:marLeft w:val="0"/>
      <w:marRight w:val="0"/>
      <w:marTop w:val="18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333986/000156459021035086/eqh-ex103_39.htm" TargetMode="External"/><Relationship Id="rId13" Type="http://schemas.openxmlformats.org/officeDocument/2006/relationships/hyperlink" Target="https://www.sec.gov/Archives/edgar/data/1333986/000156459021035086/eqh-ex108_34.htm" TargetMode="External"/><Relationship Id="rId18" Type="http://schemas.openxmlformats.org/officeDocument/2006/relationships/hyperlink" Target="eqh-063021exhibit321.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sec.gov/Archives/edgar/data/1333986/000156459021035086/eqh-ex102_40.htm" TargetMode="External"/><Relationship Id="rId12" Type="http://schemas.openxmlformats.org/officeDocument/2006/relationships/hyperlink" Target="https://www.sec.gov/Archives/edgar/data/1333986/000156459021035086/eqh-ex107_35.htm" TargetMode="External"/><Relationship Id="rId17" Type="http://schemas.openxmlformats.org/officeDocument/2006/relationships/hyperlink" Target="eqh-063021exhibit312.htm" TargetMode="External"/><Relationship Id="rId2" Type="http://schemas.openxmlformats.org/officeDocument/2006/relationships/settings" Target="settings.xml"/><Relationship Id="rId16" Type="http://schemas.openxmlformats.org/officeDocument/2006/relationships/hyperlink" Target="eqh-063021exhibit311.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Archives/edgar/data/1333986/000156459021035086/eqh-ex101_32.htm" TargetMode="External"/><Relationship Id="rId11" Type="http://schemas.openxmlformats.org/officeDocument/2006/relationships/hyperlink" Target="https://www.sec.gov/Archives/edgar/data/1333986/000156459021035086/eqh-ex106_36.htm" TargetMode="External"/><Relationship Id="rId5" Type="http://schemas.openxmlformats.org/officeDocument/2006/relationships/hyperlink" Target="https://www.sec.gov/Archives/edgar/data/1333986/000133398620000015/eqh201910-k.htm" TargetMode="External"/><Relationship Id="rId15" Type="http://schemas.openxmlformats.org/officeDocument/2006/relationships/hyperlink" Target="https://www.sec.gov/Archives/edgar/data/727920/000119312521177935/d177305dex101.htm" TargetMode="External"/><Relationship Id="rId10" Type="http://schemas.openxmlformats.org/officeDocument/2006/relationships/hyperlink" Target="https://www.sec.gov/Archives/edgar/data/1333986/000156459021035086/eqh-ex105_37.htm" TargetMode="External"/><Relationship Id="rId19" Type="http://schemas.openxmlformats.org/officeDocument/2006/relationships/hyperlink" Target="eqh-063021exhibit322.htm" TargetMode="External"/><Relationship Id="rId4" Type="http://schemas.openxmlformats.org/officeDocument/2006/relationships/image" Target="file:///E:\projects\LLMs\new_data_collection\data_new\htm\Equitable%20Holdings,%20Inc\eqh-20210630_g1.jpg" TargetMode="External"/><Relationship Id="rId9" Type="http://schemas.openxmlformats.org/officeDocument/2006/relationships/hyperlink" Target="https://www.sec.gov/Archives/edgar/data/1333986/000156459021035086/eqh-ex104_38.htm" TargetMode="External"/><Relationship Id="rId14" Type="http://schemas.openxmlformats.org/officeDocument/2006/relationships/hyperlink" Target="https://www.sec.gov/Archives/edgar/data/1333986/000156459021035086/eqh-ex109_3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90089</Words>
  <Characters>513509</Characters>
  <Application>Microsoft Office Word</Application>
  <DocSecurity>0</DocSecurity>
  <Lines>4279</Lines>
  <Paragraphs>1204</Paragraphs>
  <ScaleCrop>false</ScaleCrop>
  <Company/>
  <LinksUpToDate>false</LinksUpToDate>
  <CharactersWithSpaces>602394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eqh-20210630</dc:title>
  <dc:subject/>
  <dc:creator>Chongjian.Yue</dc:creator>
  <cp:keywords/>
  <dc:description/>
  <cp:lastModifiedBy>Yue Chongjian</cp:lastModifiedBy>
  <cp:revision>1</cp:revision>
  <dcterms:created xsi:type="dcterms:W3CDTF">2024-01-04T15:42:00Z</dcterms:created>
  <dcterms:modified xsi:type="dcterms:W3CDTF">2024-01-04T15:42:00Z</dcterms:modified>
</cp:coreProperties>
</file>